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715E1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E9F12BB" w14:textId="7049D90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B0DEF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679E8066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46B0BB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051A923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550109">
        <w:rPr>
          <w:rFonts w:ascii="Book Antiqua" w:hAnsi="Book Antiqua" w:cs="Arial"/>
          <w:b/>
          <w:bCs/>
          <w:i/>
          <w:sz w:val="28"/>
          <w:szCs w:val="28"/>
        </w:rPr>
        <w:t>Koš</w:t>
      </w:r>
    </w:p>
    <w:p w14:paraId="67670397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601B4F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3A890E6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6FB2E3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D28937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78AD87B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930F58" w:rsidRPr="00402A07" w14:paraId="414A3870" w14:textId="77777777" w:rsidTr="00550109">
        <w:tc>
          <w:tcPr>
            <w:tcW w:w="5699" w:type="dxa"/>
            <w:vAlign w:val="center"/>
          </w:tcPr>
          <w:p w14:paraId="343BF7EE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7BA342E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930F58" w:rsidRPr="00402A07" w14:paraId="21E82D0E" w14:textId="77777777" w:rsidTr="00550109">
        <w:tc>
          <w:tcPr>
            <w:tcW w:w="5699" w:type="dxa"/>
            <w:vAlign w:val="center"/>
          </w:tcPr>
          <w:p w14:paraId="5763F43B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309D6994" w14:textId="77777777" w:rsidR="00930F58" w:rsidRPr="00402A07" w:rsidRDefault="00550109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Víťazstva 791/41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, 972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930F58" w:rsidRPr="00402A07" w14:paraId="7E1A13D7" w14:textId="77777777" w:rsidTr="00550109">
        <w:tc>
          <w:tcPr>
            <w:tcW w:w="5699" w:type="dxa"/>
            <w:vAlign w:val="center"/>
          </w:tcPr>
          <w:p w14:paraId="6315473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vzniku konsolidujúcej</w:t>
            </w:r>
            <w:r w:rsidR="00550109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4561" w:type="dxa"/>
          </w:tcPr>
          <w:p w14:paraId="42597CEB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4978227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0CEA60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2C3B42E" w14:textId="77777777" w:rsidR="00C836D2" w:rsidRPr="00402A07" w:rsidRDefault="00C836D2" w:rsidP="0055010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550109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18E4228D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C836D2" w:rsidRPr="00402A07" w14:paraId="23D7105C" w14:textId="77777777" w:rsidTr="00550109">
        <w:tc>
          <w:tcPr>
            <w:tcW w:w="5699" w:type="dxa"/>
            <w:vAlign w:val="center"/>
          </w:tcPr>
          <w:p w14:paraId="030E4CE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61" w:type="dxa"/>
          </w:tcPr>
          <w:p w14:paraId="56A8C694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C836D2" w:rsidRPr="00402A07" w14:paraId="03DEF474" w14:textId="77777777" w:rsidTr="00550109">
        <w:tc>
          <w:tcPr>
            <w:tcW w:w="5699" w:type="dxa"/>
            <w:vAlign w:val="center"/>
          </w:tcPr>
          <w:p w14:paraId="0C9B55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61" w:type="dxa"/>
          </w:tcPr>
          <w:p w14:paraId="3E37F5D6" w14:textId="77777777" w:rsidR="00C836D2" w:rsidRPr="00402A07" w:rsidRDefault="0055010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Nová 525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, 972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</w:tr>
      <w:tr w:rsidR="00C836D2" w:rsidRPr="00402A07" w14:paraId="677827CC" w14:textId="77777777" w:rsidTr="00550109">
        <w:tc>
          <w:tcPr>
            <w:tcW w:w="5699" w:type="dxa"/>
            <w:vAlign w:val="center"/>
          </w:tcPr>
          <w:p w14:paraId="1B54B43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61" w:type="dxa"/>
          </w:tcPr>
          <w:p w14:paraId="1B92BD62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079BBD17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CB1D81E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4DBD0304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561"/>
      </w:tblGrid>
      <w:tr w:rsidR="0048157C" w:rsidRPr="00402A07" w14:paraId="474B0321" w14:textId="77777777" w:rsidTr="00550109">
        <w:tc>
          <w:tcPr>
            <w:tcW w:w="5699" w:type="dxa"/>
            <w:vAlign w:val="center"/>
          </w:tcPr>
          <w:p w14:paraId="67297DB4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61" w:type="dxa"/>
          </w:tcPr>
          <w:p w14:paraId="3DC846A5" w14:textId="77777777" w:rsidR="0048157C" w:rsidRPr="00402A07" w:rsidRDefault="00550109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Košovská stavebná spoločnosť,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550109" w:rsidRPr="00402A07" w14:paraId="673E2827" w14:textId="77777777" w:rsidTr="00550109">
        <w:tc>
          <w:tcPr>
            <w:tcW w:w="5699" w:type="dxa"/>
            <w:vAlign w:val="center"/>
          </w:tcPr>
          <w:p w14:paraId="23C3E501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61" w:type="dxa"/>
          </w:tcPr>
          <w:p w14:paraId="2D350CF0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Víťazstva 791/41, 972 41 Koš</w:t>
            </w:r>
          </w:p>
        </w:tc>
      </w:tr>
      <w:tr w:rsidR="00550109" w:rsidRPr="00402A07" w14:paraId="07F63790" w14:textId="77777777" w:rsidTr="00550109">
        <w:tc>
          <w:tcPr>
            <w:tcW w:w="5699" w:type="dxa"/>
            <w:vAlign w:val="center"/>
          </w:tcPr>
          <w:p w14:paraId="56975F9F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61" w:type="dxa"/>
          </w:tcPr>
          <w:p w14:paraId="083C2F7B" w14:textId="77777777" w:rsidR="00550109" w:rsidRPr="00402A07" w:rsidRDefault="00550109" w:rsidP="0055010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26.01.2004</w:t>
            </w:r>
          </w:p>
        </w:tc>
      </w:tr>
    </w:tbl>
    <w:p w14:paraId="0BBE336E" w14:textId="77777777" w:rsidR="0048157C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AC7CB92" w14:textId="77777777" w:rsidR="00550109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DD953E3" w14:textId="77777777" w:rsidR="00550109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5741FFB" w14:textId="77777777" w:rsidR="00550109" w:rsidRPr="00402A07" w:rsidRDefault="0055010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2FBA50B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2AF76E10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33E66C1" w14:textId="77777777" w:rsidTr="00EE4A62">
        <w:tc>
          <w:tcPr>
            <w:tcW w:w="4781" w:type="dxa"/>
            <w:vAlign w:val="center"/>
          </w:tcPr>
          <w:p w14:paraId="71463832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E6D4F2" w14:textId="77777777" w:rsidR="003347AA" w:rsidRPr="000A5748" w:rsidRDefault="0055010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50</w:t>
            </w:r>
          </w:p>
          <w:p w14:paraId="0B840848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13CA7ACF" w14:textId="77777777" w:rsidTr="00EE4A62">
        <w:tc>
          <w:tcPr>
            <w:tcW w:w="4781" w:type="dxa"/>
            <w:vAlign w:val="center"/>
          </w:tcPr>
          <w:p w14:paraId="6BF8E79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6D9276E" w14:textId="0743B1A8" w:rsidR="003347AA" w:rsidRPr="000A5748" w:rsidRDefault="00C1699B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9D6147D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CEF9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b/>
          <w:i/>
          <w:sz w:val="24"/>
          <w:szCs w:val="24"/>
        </w:rPr>
        <w:t>Koš</w:t>
      </w:r>
    </w:p>
    <w:p w14:paraId="2ADFD76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856A38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5ECCD64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3451FE8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3DE5F76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3A4FED86" w14:textId="0B04CFE3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</w:t>
      </w:r>
      <w:r w:rsidR="00BD10F4">
        <w:rPr>
          <w:rFonts w:ascii="Book Antiqua" w:hAnsi="Book Antiqua" w:cs="Arial"/>
          <w:iCs/>
          <w:sz w:val="24"/>
          <w:szCs w:val="24"/>
        </w:rPr>
        <w:t>reálnou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7580ABE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7A0E56D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728E6E98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5D35C1E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725D2238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79F6B3F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86384E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CEEF207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25C7DB66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F389E69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A22117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DF9BDD" w14:textId="77777777" w:rsidR="004E15F5" w:rsidRPr="00402A07" w:rsidRDefault="004E15F5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86E819" w14:textId="77777777" w:rsidR="00402A07" w:rsidRPr="00402A07" w:rsidRDefault="00402A07" w:rsidP="004E15F5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b/>
          <w:i/>
          <w:sz w:val="24"/>
          <w:szCs w:val="24"/>
        </w:rPr>
        <w:t>Koš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582C580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4DF7EBD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1D0DFE31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CDD55FF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238FA5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550109">
        <w:rPr>
          <w:rFonts w:ascii="Book Antiqua" w:hAnsi="Book Antiqua" w:cs="Arial"/>
          <w:i/>
          <w:sz w:val="24"/>
          <w:szCs w:val="24"/>
        </w:rPr>
        <w:t>Koš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EE7D7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06C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72AC3AE8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8E65F3" w14:textId="77777777" w:rsidTr="00C03A55">
        <w:tc>
          <w:tcPr>
            <w:tcW w:w="4917" w:type="dxa"/>
          </w:tcPr>
          <w:p w14:paraId="545CCED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777F1F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1F8B2F4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9A0C13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6721CE7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FBC4B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B66D8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893E39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0C1BC61" w14:textId="77777777" w:rsidTr="00C03A55">
        <w:tc>
          <w:tcPr>
            <w:tcW w:w="4917" w:type="dxa"/>
          </w:tcPr>
          <w:p w14:paraId="7DEA1C86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550109">
              <w:rPr>
                <w:rFonts w:ascii="Book Antiqua" w:hAnsi="Book Antiqua" w:cs="Arial"/>
                <w:i/>
                <w:sz w:val="24"/>
                <w:szCs w:val="24"/>
              </w:rPr>
              <w:t>Koš</w:t>
            </w:r>
          </w:p>
        </w:tc>
        <w:tc>
          <w:tcPr>
            <w:tcW w:w="1529" w:type="dxa"/>
          </w:tcPr>
          <w:p w14:paraId="19554D9F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88F99DC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80E899A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30B9A01E" w14:textId="77777777" w:rsidTr="00C03A55">
        <w:tc>
          <w:tcPr>
            <w:tcW w:w="4917" w:type="dxa"/>
          </w:tcPr>
          <w:p w14:paraId="43648A23" w14:textId="1FE9072B" w:rsidR="00920612" w:rsidRDefault="007013AF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Košovská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stavebná spoločnosť,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 xml:space="preserve"> s.r.o</w:t>
            </w:r>
          </w:p>
        </w:tc>
        <w:tc>
          <w:tcPr>
            <w:tcW w:w="1529" w:type="dxa"/>
          </w:tcPr>
          <w:p w14:paraId="031443B3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B75DB7B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371D308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5C4059F1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BC7517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88DE13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16057BF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B712757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6EFF1D6D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>Rozpis konsolidačných úprav - súvaha</w:t>
      </w:r>
    </w:p>
    <w:p w14:paraId="4C18E34C" w14:textId="23EA4CE5" w:rsidR="009A7CC9" w:rsidRDefault="004118A2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118A2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3E772CE0" wp14:editId="01BF5346">
            <wp:extent cx="6120130" cy="389191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891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4A3F7" w14:textId="4469E9FE" w:rsidR="004118A2" w:rsidRDefault="004118A2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118A2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2D9FE3AE" wp14:editId="760F5BC8">
            <wp:extent cx="6120130" cy="21272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D4A875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3D9F3D0" w14:textId="67AD13D7" w:rsidR="009A7CC9" w:rsidRDefault="004118A2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118A2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5552BE98" wp14:editId="15BF51AD">
            <wp:extent cx="6120130" cy="400748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07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DF0F92" w14:textId="67A81BF2" w:rsidR="004118A2" w:rsidRDefault="004118A2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118A2">
        <w:rPr>
          <w:rFonts w:ascii="Book Antiqua" w:hAnsi="Book Antiqua" w:cs="Arial"/>
          <w:b/>
          <w:noProof/>
          <w:sz w:val="24"/>
          <w:szCs w:val="24"/>
        </w:rPr>
        <w:lastRenderedPageBreak/>
        <w:drawing>
          <wp:inline distT="0" distB="0" distL="0" distR="0" wp14:anchorId="2A84FBB5" wp14:editId="79FC54D9">
            <wp:extent cx="6120130" cy="1229360"/>
            <wp:effectExtent l="0" t="0" r="0" b="889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2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FF0C77" w14:textId="77777777" w:rsidR="004118A2" w:rsidRDefault="004118A2" w:rsidP="00550109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4B6B3925" w14:textId="604FF88C" w:rsidR="00C7312C" w:rsidRDefault="004A7847" w:rsidP="00550109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  <w:r w:rsidR="00550109">
        <w:rPr>
          <w:rFonts w:ascii="Book Antiqua" w:hAnsi="Book Antiqua" w:cs="Arial"/>
          <w:b/>
          <w:sz w:val="24"/>
          <w:szCs w:val="24"/>
        </w:rPr>
        <w:t xml:space="preserve">- </w:t>
      </w:r>
      <w:r w:rsidR="00C7312C"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p w14:paraId="342A9F1F" w14:textId="6227355C" w:rsidR="004E15F5" w:rsidRPr="00850931" w:rsidRDefault="004E15F5" w:rsidP="00550109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262AE82D" w14:textId="77777777" w:rsidR="004E15F5" w:rsidRPr="00850931" w:rsidRDefault="004E15F5" w:rsidP="004E15F5">
      <w:pPr>
        <w:autoSpaceDE w:val="0"/>
        <w:spacing w:before="120" w:after="120"/>
        <w:jc w:val="both"/>
        <w:rPr>
          <w:rFonts w:ascii="Book Antiqua" w:hAnsi="Book Antiqua" w:cs="Arial"/>
          <w:iCs/>
          <w:sz w:val="24"/>
          <w:szCs w:val="24"/>
        </w:rPr>
      </w:pPr>
      <w:r w:rsidRPr="00850931">
        <w:rPr>
          <w:rFonts w:ascii="Book Antiqua" w:hAnsi="Book Antiqua" w:cs="Arial"/>
          <w:iCs/>
          <w:sz w:val="24"/>
          <w:szCs w:val="24"/>
        </w:rPr>
        <w:t xml:space="preserve">Tieto informácie sú v tabuľkovej forme, ktoré sú súčasťou týchto poznámok.  </w:t>
      </w:r>
    </w:p>
    <w:p w14:paraId="5719D565" w14:textId="77777777" w:rsidR="004E15F5" w:rsidRPr="00850931" w:rsidRDefault="004E15F5" w:rsidP="004E15F5">
      <w:pPr>
        <w:jc w:val="both"/>
        <w:rPr>
          <w:rFonts w:ascii="Book Antiqua" w:hAnsi="Book Antiqua" w:cs="Arial"/>
          <w:b/>
          <w:sz w:val="24"/>
          <w:szCs w:val="24"/>
        </w:rPr>
      </w:pPr>
      <w:r w:rsidRPr="00850931">
        <w:rPr>
          <w:rFonts w:ascii="Book Antiqua" w:hAnsi="Book Antiqua" w:cs="Arial"/>
          <w:b/>
          <w:sz w:val="24"/>
          <w:szCs w:val="24"/>
        </w:rPr>
        <w:t>Tabuľky č. 1 – č. 25</w:t>
      </w:r>
    </w:p>
    <w:p w14:paraId="151C75BC" w14:textId="77777777" w:rsidR="004E15F5" w:rsidRPr="00850931" w:rsidRDefault="004E15F5" w:rsidP="004E15F5">
      <w:pPr>
        <w:spacing w:before="60" w:after="60"/>
        <w:jc w:val="both"/>
        <w:rPr>
          <w:rFonts w:ascii="Book Antiqua" w:hAnsi="Book Antiqua" w:cs="Arial"/>
          <w:sz w:val="24"/>
          <w:szCs w:val="24"/>
        </w:rPr>
      </w:pPr>
    </w:p>
    <w:p w14:paraId="7FDD724D" w14:textId="4B438D6D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/>
          <w:sz w:val="24"/>
          <w:szCs w:val="24"/>
        </w:rPr>
      </w:pPr>
      <w:r w:rsidRPr="00850931">
        <w:rPr>
          <w:rFonts w:ascii="Book Antiqua" w:hAnsi="Book Antiqua" w:cs="Arial"/>
          <w:b/>
          <w:sz w:val="24"/>
          <w:szCs w:val="24"/>
        </w:rPr>
        <w:t>Informácie o skutočnostiach, ktoré nastali po dni, ku ktorému sa zostavuje konsolidovaná účtovná závierka do dňa zostavenia konsolidovanej účtovnej závierky.</w:t>
      </w:r>
    </w:p>
    <w:p w14:paraId="6D76FF56" w14:textId="3DAE433E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/>
          <w:sz w:val="24"/>
          <w:szCs w:val="24"/>
        </w:rPr>
      </w:pPr>
    </w:p>
    <w:p w14:paraId="61566A94" w14:textId="59DD27AE" w:rsidR="004E15F5" w:rsidRPr="00850931" w:rsidRDefault="004E15F5" w:rsidP="004E15F5">
      <w:pPr>
        <w:tabs>
          <w:tab w:val="left" w:pos="360"/>
        </w:tabs>
        <w:jc w:val="both"/>
        <w:rPr>
          <w:rFonts w:ascii="Book Antiqua" w:hAnsi="Book Antiqua" w:cs="Arial"/>
          <w:bCs/>
          <w:sz w:val="24"/>
          <w:szCs w:val="24"/>
        </w:rPr>
      </w:pPr>
      <w:r w:rsidRPr="00850931">
        <w:rPr>
          <w:rFonts w:ascii="Book Antiqua" w:hAnsi="Book Antiqua" w:cs="Arial"/>
          <w:bCs/>
          <w:sz w:val="24"/>
          <w:szCs w:val="24"/>
        </w:rPr>
        <w:t xml:space="preserve">Obec Koš v súvislosti s pandémiou COVID 19 zaznamenala zníženie podielových daní. Na základe uvedeného sa automaticky znižujú aj položky súvisiace s koncentráciou obyvateľov, ako </w:t>
      </w:r>
      <w:r w:rsidR="0043359F" w:rsidRPr="00850931">
        <w:rPr>
          <w:rFonts w:ascii="Book Antiqua" w:hAnsi="Book Antiqua" w:cs="Arial"/>
          <w:bCs/>
          <w:sz w:val="24"/>
          <w:szCs w:val="24"/>
        </w:rPr>
        <w:t>napr. kultúrne</w:t>
      </w:r>
      <w:r w:rsidRPr="00850931">
        <w:rPr>
          <w:rFonts w:ascii="Book Antiqua" w:hAnsi="Book Antiqua" w:cs="Arial"/>
          <w:bCs/>
          <w:sz w:val="24"/>
          <w:szCs w:val="24"/>
        </w:rPr>
        <w:t xml:space="preserve"> akcie. </w:t>
      </w:r>
      <w:r w:rsidR="0043359F" w:rsidRPr="00850931">
        <w:rPr>
          <w:rFonts w:ascii="Book Antiqua" w:hAnsi="Book Antiqua" w:cs="Arial"/>
          <w:bCs/>
          <w:sz w:val="24"/>
          <w:szCs w:val="24"/>
        </w:rPr>
        <w:t>Obec je však finančne zdravá, má dostatok finančných prostriedkov v rezervnom fonde, preto sa ďalší očakávaný dopad pravdepodobne prejaví iba v rovine menšieho prebytku na konci roka 2020.</w:t>
      </w:r>
    </w:p>
    <w:sectPr w:rsidR="004E15F5" w:rsidRPr="00850931" w:rsidSect="005E267B">
      <w:footerReference w:type="default" r:id="rId1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FE826" w14:textId="77777777" w:rsidR="00D16FA7" w:rsidRDefault="00D16FA7">
      <w:r>
        <w:separator/>
      </w:r>
    </w:p>
  </w:endnote>
  <w:endnote w:type="continuationSeparator" w:id="0">
    <w:p w14:paraId="555DD43D" w14:textId="77777777" w:rsidR="00D16FA7" w:rsidRDefault="00D16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F494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1E9C22A9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7C24D" w14:textId="77777777" w:rsidR="00D16FA7" w:rsidRDefault="00D16FA7">
      <w:r>
        <w:separator/>
      </w:r>
    </w:p>
  </w:footnote>
  <w:footnote w:type="continuationSeparator" w:id="0">
    <w:p w14:paraId="2FB28BAB" w14:textId="77777777" w:rsidR="00D16FA7" w:rsidRDefault="00D16F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0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7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0"/>
  </w:num>
  <w:num w:numId="24">
    <w:abstractNumId w:val="32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2"/>
  </w:num>
  <w:num w:numId="39">
    <w:abstractNumId w:val="3"/>
  </w:num>
  <w:num w:numId="40">
    <w:abstractNumId w:val="45"/>
  </w:num>
  <w:num w:numId="41">
    <w:abstractNumId w:val="11"/>
  </w:num>
  <w:num w:numId="42">
    <w:abstractNumId w:val="43"/>
  </w:num>
  <w:num w:numId="43">
    <w:abstractNumId w:val="9"/>
  </w:num>
  <w:num w:numId="44">
    <w:abstractNumId w:val="1"/>
  </w:num>
  <w:num w:numId="45">
    <w:abstractNumId w:val="31"/>
  </w:num>
  <w:num w:numId="4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51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96DD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3160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DEF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18A2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359F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15F5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109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97996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13AF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0931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10F4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1699B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4A27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3A5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16FA7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BD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5CC7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D6B7A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7</cp:revision>
  <cp:lastPrinted>2021-05-13T06:38:00Z</cp:lastPrinted>
  <dcterms:created xsi:type="dcterms:W3CDTF">2021-05-13T06:29:00Z</dcterms:created>
  <dcterms:modified xsi:type="dcterms:W3CDTF">2021-05-15T13:16:00Z</dcterms:modified>
</cp:coreProperties>
</file>