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E32E4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bookmarkStart w:id="0" w:name="_GoBack"/>
      <w:bookmarkEnd w:id="0"/>
      <w:r w:rsidRPr="007F53F9">
        <w:rPr>
          <w:rFonts w:ascii="Times New Roman" w:hAnsi="Times New Roman"/>
          <w:b/>
          <w:bCs/>
        </w:rPr>
        <w:t xml:space="preserve">Poznámky </w:t>
      </w:r>
    </w:p>
    <w:p w14:paraId="1072F91E" w14:textId="7BC355AE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r w:rsidRPr="007F53F9">
        <w:rPr>
          <w:rFonts w:ascii="Times New Roman" w:hAnsi="Times New Roman"/>
          <w:b/>
          <w:bCs/>
        </w:rPr>
        <w:t>konsolidovanej účtovnej závierky zostavenej k 31.12.</w:t>
      </w:r>
      <w:r w:rsidR="00742C0C">
        <w:rPr>
          <w:rFonts w:ascii="Times New Roman" w:hAnsi="Times New Roman"/>
          <w:b/>
          <w:bCs/>
        </w:rPr>
        <w:t>2020</w:t>
      </w:r>
    </w:p>
    <w:p w14:paraId="25CBA4AE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r w:rsidRPr="007F53F9">
        <w:rPr>
          <w:rFonts w:ascii="Times New Roman" w:hAnsi="Times New Roman"/>
          <w:b/>
          <w:bCs/>
        </w:rPr>
        <w:t xml:space="preserve">účtovnej jednotky verejnej správy </w:t>
      </w:r>
    </w:p>
    <w:p w14:paraId="1079643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r w:rsidRPr="007F53F9">
        <w:rPr>
          <w:rFonts w:ascii="Times New Roman" w:hAnsi="Times New Roman"/>
          <w:b/>
          <w:bCs/>
        </w:rPr>
        <w:t>obce Závod</w:t>
      </w:r>
    </w:p>
    <w:p w14:paraId="1C05F330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2B4F392D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Všeobecné údaje</w:t>
      </w:r>
    </w:p>
    <w:p w14:paraId="19514ACB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5EAF003F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r w:rsidRPr="007F53F9">
        <w:rPr>
          <w:rFonts w:ascii="Times New Roman" w:hAnsi="Times New Roman"/>
          <w:b/>
          <w:i/>
        </w:rPr>
        <w:t>Identifikačné údaje o  konsolidujúcej účtovnej jednotke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3036"/>
      </w:tblGrid>
      <w:tr w:rsidR="00581895" w:rsidRPr="007F53F9" w14:paraId="6BA7B713" w14:textId="77777777" w:rsidTr="00581895">
        <w:trPr>
          <w:jc w:val="center"/>
        </w:trPr>
        <w:tc>
          <w:tcPr>
            <w:tcW w:w="0" w:type="auto"/>
            <w:vAlign w:val="center"/>
          </w:tcPr>
          <w:p w14:paraId="7AA95B0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Názov konsolidujúcej účtovnej jednotky</w:t>
            </w:r>
          </w:p>
        </w:tc>
        <w:tc>
          <w:tcPr>
            <w:tcW w:w="0" w:type="auto"/>
          </w:tcPr>
          <w:p w14:paraId="4E17370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Obec Závod</w:t>
            </w:r>
          </w:p>
        </w:tc>
      </w:tr>
      <w:tr w:rsidR="00581895" w:rsidRPr="007F53F9" w14:paraId="6A7D748B" w14:textId="77777777" w:rsidTr="00581895">
        <w:trPr>
          <w:jc w:val="center"/>
        </w:trPr>
        <w:tc>
          <w:tcPr>
            <w:tcW w:w="0" w:type="auto"/>
            <w:vAlign w:val="center"/>
          </w:tcPr>
          <w:p w14:paraId="1C274D70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Sídlo konsolidujúcej účtovnej jednotky</w:t>
            </w:r>
          </w:p>
        </w:tc>
        <w:tc>
          <w:tcPr>
            <w:tcW w:w="0" w:type="auto"/>
          </w:tcPr>
          <w:p w14:paraId="2AD28D2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Sokolská 243; 908 72  Závod</w:t>
            </w:r>
          </w:p>
        </w:tc>
      </w:tr>
      <w:tr w:rsidR="00581895" w:rsidRPr="007F53F9" w14:paraId="36971211" w14:textId="77777777" w:rsidTr="00581895">
        <w:trPr>
          <w:jc w:val="center"/>
        </w:trPr>
        <w:tc>
          <w:tcPr>
            <w:tcW w:w="0" w:type="auto"/>
            <w:vAlign w:val="center"/>
          </w:tcPr>
          <w:p w14:paraId="69ECE9D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Dátum založenia, vzniku konsolidujúcej účtovnej jednotky</w:t>
            </w:r>
          </w:p>
        </w:tc>
        <w:tc>
          <w:tcPr>
            <w:tcW w:w="0" w:type="auto"/>
          </w:tcPr>
          <w:p w14:paraId="40D4964E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1.1.1991</w:t>
            </w:r>
          </w:p>
        </w:tc>
      </w:tr>
    </w:tbl>
    <w:p w14:paraId="5C9CE6F2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0A54CAC7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Starostom obce je Ing. Peter Vrablec a zástupcom starostu je </w:t>
      </w:r>
      <w:r w:rsidR="00BB666E">
        <w:rPr>
          <w:rFonts w:ascii="Times New Roman" w:hAnsi="Times New Roman"/>
        </w:rPr>
        <w:t>Ing. Milan Šišolák</w:t>
      </w:r>
      <w:r w:rsidRPr="007F53F9">
        <w:rPr>
          <w:rFonts w:ascii="Times New Roman" w:hAnsi="Times New Roman"/>
        </w:rPr>
        <w:t>.</w:t>
      </w:r>
    </w:p>
    <w:p w14:paraId="71F3E73E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34FB2325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r w:rsidRPr="007F53F9">
        <w:rPr>
          <w:rFonts w:ascii="Times New Roman" w:hAnsi="Times New Roman"/>
          <w:b/>
          <w:i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3589"/>
      </w:tblGrid>
      <w:tr w:rsidR="00581895" w:rsidRPr="007F53F9" w14:paraId="5DB54FD6" w14:textId="77777777" w:rsidTr="00581895">
        <w:trPr>
          <w:jc w:val="center"/>
        </w:trPr>
        <w:tc>
          <w:tcPr>
            <w:tcW w:w="0" w:type="auto"/>
            <w:vAlign w:val="center"/>
          </w:tcPr>
          <w:p w14:paraId="2180126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Názov konsolidovanej účtovnej jednotky</w:t>
            </w:r>
          </w:p>
        </w:tc>
        <w:tc>
          <w:tcPr>
            <w:tcW w:w="0" w:type="auto"/>
          </w:tcPr>
          <w:p w14:paraId="494E58E6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Základná škola s materskou školou</w:t>
            </w:r>
          </w:p>
        </w:tc>
      </w:tr>
      <w:tr w:rsidR="00581895" w:rsidRPr="007F53F9" w14:paraId="21F08403" w14:textId="77777777" w:rsidTr="00581895">
        <w:trPr>
          <w:jc w:val="center"/>
        </w:trPr>
        <w:tc>
          <w:tcPr>
            <w:tcW w:w="0" w:type="auto"/>
            <w:vAlign w:val="center"/>
          </w:tcPr>
          <w:p w14:paraId="0FC4AE3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Sídlo konsolidovanej účtovnej jednotky</w:t>
            </w:r>
          </w:p>
        </w:tc>
        <w:tc>
          <w:tcPr>
            <w:tcW w:w="0" w:type="auto"/>
          </w:tcPr>
          <w:p w14:paraId="075D50C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Sokolská 81; 908 72  Závod</w:t>
            </w:r>
          </w:p>
        </w:tc>
      </w:tr>
      <w:tr w:rsidR="00581895" w:rsidRPr="007F53F9" w14:paraId="149AD065" w14:textId="77777777" w:rsidTr="00581895">
        <w:trPr>
          <w:trHeight w:val="452"/>
          <w:jc w:val="center"/>
        </w:trPr>
        <w:tc>
          <w:tcPr>
            <w:tcW w:w="0" w:type="auto"/>
            <w:vAlign w:val="center"/>
          </w:tcPr>
          <w:p w14:paraId="230536E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Dátum založenia konsolidovanej účtovnej jednotky</w:t>
            </w:r>
          </w:p>
        </w:tc>
        <w:tc>
          <w:tcPr>
            <w:tcW w:w="0" w:type="auto"/>
          </w:tcPr>
          <w:p w14:paraId="1A178D7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1.9. 2007</w:t>
            </w:r>
          </w:p>
        </w:tc>
      </w:tr>
    </w:tbl>
    <w:p w14:paraId="12397515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14D578F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F24D3E0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r w:rsidRPr="007F53F9">
        <w:rPr>
          <w:rFonts w:ascii="Times New Roman" w:hAnsi="Times New Roman"/>
          <w:b/>
          <w:i/>
        </w:rPr>
        <w:t xml:space="preserve">Informácie o zamestnancoch konsolidovaného celku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3680"/>
      </w:tblGrid>
      <w:tr w:rsidR="00581895" w:rsidRPr="007F53F9" w14:paraId="073F2133" w14:textId="77777777" w:rsidTr="0074152B">
        <w:trPr>
          <w:trHeight w:val="758"/>
          <w:jc w:val="center"/>
        </w:trPr>
        <w:tc>
          <w:tcPr>
            <w:tcW w:w="5382" w:type="dxa"/>
            <w:vAlign w:val="center"/>
          </w:tcPr>
          <w:p w14:paraId="52E12ACA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Priemerný počet zamestnancov  konsolidovaného celku počas účtovného obdobia</w:t>
            </w:r>
          </w:p>
        </w:tc>
        <w:tc>
          <w:tcPr>
            <w:tcW w:w="3680" w:type="dxa"/>
          </w:tcPr>
          <w:p w14:paraId="23336F3C" w14:textId="14261905" w:rsidR="00581895" w:rsidRPr="007F53F9" w:rsidRDefault="00CF4021" w:rsidP="007F53F9">
            <w:pPr>
              <w:spacing w:line="360" w:lineRule="auto"/>
              <w:rPr>
                <w:rFonts w:ascii="Times New Roman" w:hAnsi="Times New Roman"/>
                <w:i/>
                <w:color w:val="000000"/>
              </w:rPr>
            </w:pPr>
            <w:r>
              <w:rPr>
                <w:rFonts w:ascii="Times New Roman" w:hAnsi="Times New Roman"/>
                <w:i/>
                <w:color w:val="000000"/>
              </w:rPr>
              <w:t>62,05</w:t>
            </w:r>
            <w:r w:rsidR="00581895" w:rsidRPr="007F53F9">
              <w:rPr>
                <w:rFonts w:ascii="Times New Roman" w:hAnsi="Times New Roman"/>
                <w:i/>
                <w:color w:val="000000"/>
              </w:rPr>
              <w:t xml:space="preserve">  (v roku </w:t>
            </w:r>
            <w:r w:rsidR="00742C0C">
              <w:rPr>
                <w:rFonts w:ascii="Times New Roman" w:hAnsi="Times New Roman"/>
                <w:i/>
                <w:color w:val="000000"/>
              </w:rPr>
              <w:t>2019 to bolo 60,52</w:t>
            </w:r>
            <w:r w:rsidR="00581895" w:rsidRPr="007F53F9">
              <w:rPr>
                <w:rFonts w:ascii="Times New Roman" w:hAnsi="Times New Roman"/>
                <w:i/>
                <w:color w:val="000000"/>
              </w:rPr>
              <w:t>)</w:t>
            </w:r>
          </w:p>
        </w:tc>
      </w:tr>
      <w:tr w:rsidR="00581895" w:rsidRPr="007F53F9" w14:paraId="7C81EF3B" w14:textId="77777777" w:rsidTr="0074152B">
        <w:trPr>
          <w:jc w:val="center"/>
        </w:trPr>
        <w:tc>
          <w:tcPr>
            <w:tcW w:w="5382" w:type="dxa"/>
            <w:vAlign w:val="center"/>
          </w:tcPr>
          <w:p w14:paraId="1BE9512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 xml:space="preserve"> z toho : Počet  vedúcich  zamestnancov </w:t>
            </w:r>
          </w:p>
        </w:tc>
        <w:tc>
          <w:tcPr>
            <w:tcW w:w="3680" w:type="dxa"/>
          </w:tcPr>
          <w:p w14:paraId="60DC3FA1" w14:textId="28997332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  <w:i/>
                <w:color w:val="000000"/>
              </w:rPr>
            </w:pPr>
            <w:r w:rsidRPr="007F53F9">
              <w:rPr>
                <w:rFonts w:ascii="Times New Roman" w:hAnsi="Times New Roman"/>
                <w:i/>
                <w:color w:val="000000"/>
              </w:rPr>
              <w:t xml:space="preserve"> 3 (v roku </w:t>
            </w:r>
            <w:r w:rsidR="00742C0C">
              <w:rPr>
                <w:rFonts w:ascii="Times New Roman" w:hAnsi="Times New Roman"/>
                <w:i/>
                <w:color w:val="000000"/>
              </w:rPr>
              <w:t>2019</w:t>
            </w:r>
            <w:r w:rsidRPr="007F53F9">
              <w:rPr>
                <w:rFonts w:ascii="Times New Roman" w:hAnsi="Times New Roman"/>
                <w:i/>
                <w:color w:val="000000"/>
              </w:rPr>
              <w:t xml:space="preserve"> to bolo tiež 3)</w:t>
            </w:r>
          </w:p>
        </w:tc>
      </w:tr>
    </w:tbl>
    <w:p w14:paraId="1FC3B248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319B33C6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2A1DEE93" w14:textId="13C926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5956475B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 v prílohe, v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FC529C" w14:textId="30195A71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Konsolidovaná účtovná závierka k 31. decembru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FA21B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1DECF4D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6792017" w14:textId="77777777" w:rsidR="00581895" w:rsidRPr="007F53F9" w:rsidRDefault="00581895" w:rsidP="007F53F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0FD0D93E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>Medzi účtovnými jednotkami konsolidovaného celku neboli uskutočnené transakcie z dôvodu predaja majetku.</w:t>
      </w:r>
    </w:p>
    <w:p w14:paraId="5A2ACC8E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36F643CB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2093A54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b/>
          <w:lang w:val="sk-SK"/>
        </w:rPr>
      </w:pPr>
      <w:r w:rsidRPr="00137D2C">
        <w:rPr>
          <w:rFonts w:ascii="Times New Roman" w:hAnsi="Times New Roman"/>
          <w:b/>
          <w:lang w:val="sk-SK"/>
        </w:rPr>
        <w:t>Informácie o metódach oceňovania použitých pri ocenení jednotlivých položiek konsolidovanej účtovnej závierky:</w:t>
      </w:r>
    </w:p>
    <w:p w14:paraId="5B386929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1E2737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7F53F9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619AD20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7915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3F4C6505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70CC44CF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</w:p>
    <w:p w14:paraId="6778AACA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F53F9">
        <w:rPr>
          <w:rFonts w:ascii="Times New Roman" w:hAnsi="Times New Roman" w:cs="Times New Roman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1B3CEF50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0BB581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 </w:t>
      </w:r>
    </w:p>
    <w:p w14:paraId="4D253B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</w:p>
    <w:p w14:paraId="28580FD6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7F53F9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5564469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2F5753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7F53F9">
        <w:rPr>
          <w:rFonts w:ascii="Times New Roman" w:hAnsi="Times New Roman" w:cs="Times New Roman"/>
          <w:sz w:val="24"/>
          <w:szCs w:val="24"/>
        </w:rPr>
        <w:t xml:space="preserve">pri ich vzniku sa oceňujú menovitou hodnotou. Pohľadávky pri odplatnom nadobudnutí sa oceňujú obstarávacou cenou, t.j. vrátane nákladov súvisiacich s obstaraním. Toto </w:t>
      </w:r>
      <w:r w:rsidRPr="007F53F9">
        <w:rPr>
          <w:rFonts w:ascii="Times New Roman" w:hAnsi="Times New Roman" w:cs="Times New Roman"/>
          <w:sz w:val="24"/>
          <w:szCs w:val="24"/>
        </w:rPr>
        <w:lastRenderedPageBreak/>
        <w:t>ocenenie sa znižuje o pochybné,  nedobytným pohľadávky a o pohľadávky, pri ktorých existuje riziko nevymožiteľnosti.</w:t>
      </w:r>
    </w:p>
    <w:p w14:paraId="1D9D73D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C723BA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05665A4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2A1C72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53631FC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CC7F17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3D87FF1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5529F9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Účty </w:t>
      </w:r>
      <w:r w:rsidRPr="007F53F9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6DC0B266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caps/>
          <w:lang w:val="sk-SK"/>
        </w:rPr>
      </w:pPr>
    </w:p>
    <w:p w14:paraId="1488F7C1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metódach a postupoch konsolidácie</w:t>
      </w:r>
    </w:p>
    <w:p w14:paraId="659574F6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</w:rPr>
      </w:pPr>
    </w:p>
    <w:p w14:paraId="31B4F701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>Konsolidovaná  účtovná  závierka  Obce  Závod  bola z</w:t>
      </w:r>
      <w:r w:rsidR="007F53F9" w:rsidRPr="007F53F9">
        <w:rPr>
          <w:rFonts w:ascii="Times New Roman" w:hAnsi="Times New Roman"/>
        </w:rPr>
        <w:t xml:space="preserve">ostavená v súlade so zákonom </w:t>
      </w:r>
      <w:r w:rsidRPr="007F53F9">
        <w:rPr>
          <w:rFonts w:ascii="Times New Roman" w:hAnsi="Times New Roman"/>
        </w:rPr>
        <w:t xml:space="preserve">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0674C1F3" w14:textId="77777777" w:rsidR="007F53F9" w:rsidRPr="007F53F9" w:rsidRDefault="007F53F9" w:rsidP="007F53F9">
      <w:pPr>
        <w:spacing w:line="360" w:lineRule="auto"/>
        <w:jc w:val="both"/>
        <w:rPr>
          <w:rFonts w:ascii="Times New Roman" w:hAnsi="Times New Roman"/>
        </w:rPr>
      </w:pPr>
    </w:p>
    <w:p w14:paraId="48413FEC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  <w:b/>
          <w:i/>
        </w:rPr>
      </w:pPr>
      <w:r w:rsidRPr="007F53F9">
        <w:rPr>
          <w:rFonts w:ascii="Times New Roman" w:hAnsi="Times New Roman"/>
          <w:b/>
          <w:i/>
        </w:rPr>
        <w:t>Zahrnutie konsolidovaných účtovných jednotiek do konsolidovanej účtovnej závierky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2000"/>
        <w:gridCol w:w="2000"/>
        <w:gridCol w:w="1686"/>
      </w:tblGrid>
      <w:tr w:rsidR="00581895" w:rsidRPr="007F53F9" w14:paraId="6E7009FE" w14:textId="77777777" w:rsidTr="00581895">
        <w:trPr>
          <w:jc w:val="center"/>
        </w:trPr>
        <w:tc>
          <w:tcPr>
            <w:tcW w:w="3756" w:type="dxa"/>
          </w:tcPr>
          <w:p w14:paraId="0A3E26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 xml:space="preserve">Názov resp. obchodné meno </w:t>
            </w:r>
          </w:p>
          <w:p w14:paraId="0D65B5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>konsolidovanej účtovnej jednotky</w:t>
            </w:r>
          </w:p>
        </w:tc>
        <w:tc>
          <w:tcPr>
            <w:tcW w:w="2126" w:type="dxa"/>
          </w:tcPr>
          <w:p w14:paraId="11FEC75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 xml:space="preserve">Metóda </w:t>
            </w:r>
          </w:p>
          <w:p w14:paraId="7632F9B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>úplnej konsolidácie</w:t>
            </w:r>
          </w:p>
        </w:tc>
        <w:tc>
          <w:tcPr>
            <w:tcW w:w="2126" w:type="dxa"/>
          </w:tcPr>
          <w:p w14:paraId="1CA31E3A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 xml:space="preserve">Metóda </w:t>
            </w:r>
          </w:p>
          <w:p w14:paraId="38CB5FD4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>podielovej konsolidácie</w:t>
            </w:r>
          </w:p>
        </w:tc>
        <w:tc>
          <w:tcPr>
            <w:tcW w:w="1808" w:type="dxa"/>
          </w:tcPr>
          <w:p w14:paraId="6D2809C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 xml:space="preserve">Metóda </w:t>
            </w:r>
          </w:p>
          <w:p w14:paraId="340CE9BF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>vlastného imania</w:t>
            </w:r>
          </w:p>
        </w:tc>
      </w:tr>
      <w:tr w:rsidR="00581895" w:rsidRPr="007F53F9" w14:paraId="5AEBF7F6" w14:textId="77777777" w:rsidTr="00581895">
        <w:trPr>
          <w:jc w:val="center"/>
        </w:trPr>
        <w:tc>
          <w:tcPr>
            <w:tcW w:w="3756" w:type="dxa"/>
          </w:tcPr>
          <w:p w14:paraId="5B3C4BA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  <w:color w:val="0070C0"/>
              </w:rPr>
            </w:pPr>
            <w:r w:rsidRPr="007F53F9">
              <w:rPr>
                <w:rFonts w:ascii="Times New Roman" w:hAnsi="Times New Roman"/>
                <w:i/>
              </w:rPr>
              <w:t>Základná škola s materskou školou</w:t>
            </w:r>
          </w:p>
        </w:tc>
        <w:tc>
          <w:tcPr>
            <w:tcW w:w="2126" w:type="dxa"/>
          </w:tcPr>
          <w:p w14:paraId="332F6BEF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  <w:r w:rsidRPr="007F53F9">
              <w:rPr>
                <w:rFonts w:ascii="Times New Roman" w:hAnsi="Times New Roman"/>
                <w:i/>
              </w:rPr>
              <w:t>áno</w:t>
            </w:r>
          </w:p>
        </w:tc>
        <w:tc>
          <w:tcPr>
            <w:tcW w:w="2126" w:type="dxa"/>
          </w:tcPr>
          <w:p w14:paraId="3D4C8BFD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08" w:type="dxa"/>
          </w:tcPr>
          <w:p w14:paraId="3CA32C6C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9947235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</w:p>
    <w:p w14:paraId="3EEE2CED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>Metóda úplnej konsolidácie bola použitá pri dcérskej účtovnej jednotke.</w:t>
      </w:r>
    </w:p>
    <w:p w14:paraId="523E597C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CFBDEA3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0E90113" w14:textId="77777777" w:rsidR="0074152B" w:rsidRDefault="0074152B" w:rsidP="007F53F9">
      <w:pPr>
        <w:spacing w:line="360" w:lineRule="auto"/>
        <w:rPr>
          <w:rFonts w:ascii="Times New Roman" w:hAnsi="Times New Roman"/>
          <w:b/>
          <w:caps/>
        </w:rPr>
      </w:pPr>
    </w:p>
    <w:p w14:paraId="2598DEF8" w14:textId="02B33AF2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lastRenderedPageBreak/>
        <w:t>Informácie o údajoch aktív a pasív</w:t>
      </w:r>
    </w:p>
    <w:p w14:paraId="74AE9C1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9A63F6B" w14:textId="16DAEA93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 31. decembra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uvedený v 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Poznámok.</w:t>
      </w:r>
    </w:p>
    <w:p w14:paraId="29DBE6D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</w:p>
    <w:p w14:paraId="74332FA0" w14:textId="6B1A5B1B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V rámci dlhodobého finančného  majetku vykazuje konsolidovaný celok</w:t>
      </w:r>
      <w:r w:rsidRPr="007F53F9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akcie Bratislavskej vodárenskej spoločnosti, ktoré k 31.12.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vykazujú hodnotu  959 489,71 eur (nezmenená čiastka oproti roku </w:t>
      </w:r>
      <w:r w:rsidR="00742C0C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>).</w:t>
      </w:r>
    </w:p>
    <w:p w14:paraId="6AB6FA7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8B2C1DB" w14:textId="7A71312D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</w:t>
      </w:r>
      <w:r w:rsidR="00BB50C1">
        <w:rPr>
          <w:rFonts w:ascii="Times New Roman" w:hAnsi="Times New Roman" w:cs="Times New Roman"/>
          <w:sz w:val="24"/>
          <w:szCs w:val="24"/>
        </w:rPr>
        <w:t xml:space="preserve">z </w:t>
      </w:r>
      <w:r w:rsidRPr="007F53F9">
        <w:rPr>
          <w:rFonts w:ascii="Times New Roman" w:hAnsi="Times New Roman" w:cs="Times New Roman"/>
          <w:sz w:val="24"/>
          <w:szCs w:val="24"/>
        </w:rPr>
        <w:t xml:space="preserve">nedaňových príjmov obce vo výške </w:t>
      </w:r>
      <w:r w:rsidR="00CF4021">
        <w:rPr>
          <w:rFonts w:ascii="Times New Roman" w:hAnsi="Times New Roman" w:cs="Times New Roman"/>
          <w:sz w:val="24"/>
          <w:szCs w:val="24"/>
        </w:rPr>
        <w:t>21 622,91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2019</w:t>
      </w:r>
      <w:r w:rsidR="00BB50C1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 xml:space="preserve">to bolo </w:t>
      </w:r>
      <w:r w:rsidR="00742C0C">
        <w:rPr>
          <w:rFonts w:ascii="Times New Roman" w:hAnsi="Times New Roman" w:cs="Times New Roman"/>
          <w:sz w:val="24"/>
          <w:szCs w:val="24"/>
        </w:rPr>
        <w:t>21 428,49</w:t>
      </w:r>
      <w:r w:rsidR="00742C0C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4CC3AB4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98D950A" w14:textId="62D99458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CF4021">
        <w:rPr>
          <w:rFonts w:ascii="Times New Roman" w:hAnsi="Times New Roman" w:cs="Times New Roman"/>
          <w:sz w:val="24"/>
          <w:szCs w:val="24"/>
        </w:rPr>
        <w:t>509 726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to bolo </w:t>
      </w:r>
      <w:r w:rsidR="00742C0C">
        <w:rPr>
          <w:rFonts w:ascii="Times New Roman" w:hAnsi="Times New Roman" w:cs="Times New Roman"/>
          <w:sz w:val="24"/>
          <w:szCs w:val="24"/>
        </w:rPr>
        <w:t>507 304,48</w:t>
      </w:r>
      <w:r w:rsidR="00742C0C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179B4B7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BABF6B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Prehľad záväzkov podľa splatnosti je uvedený v tabuľkovej časti </w:t>
      </w:r>
      <w:r w:rsidRPr="00137D2C">
        <w:rPr>
          <w:rFonts w:ascii="Times New Roman" w:hAnsi="Times New Roman"/>
          <w:i/>
          <w:lang w:val="sk-SK"/>
        </w:rPr>
        <w:t>Poznámok.</w:t>
      </w:r>
    </w:p>
    <w:p w14:paraId="4F24B16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DB7B8D4" w14:textId="076E86B6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Konsolidovaný celok vykazuje úvery vo </w:t>
      </w:r>
      <w:r w:rsidRPr="007F53F9">
        <w:rPr>
          <w:rFonts w:ascii="Times New Roman" w:hAnsi="Times New Roman"/>
          <w:shd w:val="clear" w:color="auto" w:fill="FFFFFF"/>
        </w:rPr>
        <w:t xml:space="preserve">výške </w:t>
      </w:r>
      <w:r w:rsidR="00CF4021">
        <w:rPr>
          <w:rFonts w:ascii="Times New Roman" w:hAnsi="Times New Roman"/>
          <w:shd w:val="clear" w:color="auto" w:fill="FFFFFF"/>
        </w:rPr>
        <w:t>275 354,75</w:t>
      </w:r>
      <w:r w:rsidRPr="007F53F9">
        <w:rPr>
          <w:rFonts w:ascii="Times New Roman" w:hAnsi="Times New Roman"/>
          <w:shd w:val="clear" w:color="auto" w:fill="FFFFFF"/>
        </w:rPr>
        <w:t xml:space="preserve"> eu</w:t>
      </w:r>
      <w:r w:rsidRPr="007F53F9">
        <w:rPr>
          <w:rFonts w:ascii="Times New Roman" w:hAnsi="Times New Roman"/>
        </w:rPr>
        <w:t xml:space="preserve">r (v roku </w:t>
      </w:r>
      <w:r w:rsidR="00742C0C">
        <w:rPr>
          <w:rFonts w:ascii="Times New Roman" w:hAnsi="Times New Roman"/>
        </w:rPr>
        <w:t>2019</w:t>
      </w:r>
      <w:r w:rsidRPr="007F53F9">
        <w:rPr>
          <w:rFonts w:ascii="Times New Roman" w:hAnsi="Times New Roman"/>
        </w:rPr>
        <w:t xml:space="preserve"> to bolo                                </w:t>
      </w:r>
      <w:r w:rsidR="00742C0C">
        <w:rPr>
          <w:rFonts w:ascii="Times New Roman" w:hAnsi="Times New Roman"/>
          <w:shd w:val="clear" w:color="auto" w:fill="FFFFFF"/>
        </w:rPr>
        <w:t>52 800,65</w:t>
      </w:r>
      <w:r w:rsidR="00742C0C" w:rsidRPr="007F53F9">
        <w:rPr>
          <w:rFonts w:ascii="Times New Roman" w:hAnsi="Times New Roman"/>
          <w:shd w:val="clear" w:color="auto" w:fill="FFFFFF"/>
        </w:rPr>
        <w:t xml:space="preserve"> </w:t>
      </w:r>
      <w:r w:rsidRPr="007F53F9">
        <w:rPr>
          <w:rFonts w:ascii="Times New Roman" w:hAnsi="Times New Roman"/>
        </w:rPr>
        <w:t>eur).</w:t>
      </w:r>
    </w:p>
    <w:p w14:paraId="1C3A7E2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0554B0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</w:p>
    <w:p w14:paraId="668EAD37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 výnosoch a nákladoch</w:t>
      </w:r>
    </w:p>
    <w:p w14:paraId="0A98098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05B30F4A" w14:textId="26C9E80A" w:rsidR="00581895" w:rsidRPr="007F53F9" w:rsidRDefault="00581895" w:rsidP="007F53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ascii="Times New Roman" w:eastAsia="Calibri" w:hAnsi="Times New Roman"/>
        </w:rPr>
      </w:pPr>
      <w:r w:rsidRPr="007F53F9">
        <w:rPr>
          <w:rFonts w:ascii="Times New Roman" w:eastAsia="Calibri" w:hAnsi="Times New Roman"/>
        </w:rPr>
        <w:t xml:space="preserve">Z hľadiska kvantity sú najvýznamnejšími nákladmi osobné náklady vo výške  </w:t>
      </w:r>
      <w:r w:rsidR="00CF4021">
        <w:rPr>
          <w:rFonts w:ascii="Times New Roman" w:eastAsia="Calibri" w:hAnsi="Times New Roman"/>
        </w:rPr>
        <w:t>1 235 568,23</w:t>
      </w:r>
      <w:r w:rsidRPr="007F53F9">
        <w:rPr>
          <w:rFonts w:ascii="Times New Roman" w:eastAsia="Calibri" w:hAnsi="Times New Roman"/>
        </w:rPr>
        <w:t xml:space="preserve"> eur (v roku </w:t>
      </w:r>
      <w:r w:rsidR="00742C0C">
        <w:rPr>
          <w:rFonts w:ascii="Times New Roman" w:eastAsia="Calibri" w:hAnsi="Times New Roman"/>
        </w:rPr>
        <w:t>2019</w:t>
      </w:r>
      <w:r w:rsidRPr="007F53F9">
        <w:rPr>
          <w:rFonts w:ascii="Times New Roman" w:eastAsia="Calibri" w:hAnsi="Times New Roman"/>
        </w:rPr>
        <w:t xml:space="preserve"> to bolo  </w:t>
      </w:r>
      <w:r w:rsidR="00742C0C">
        <w:rPr>
          <w:rFonts w:ascii="Times New Roman" w:eastAsia="Calibri" w:hAnsi="Times New Roman"/>
        </w:rPr>
        <w:t>1 160 504,58</w:t>
      </w:r>
      <w:r w:rsidR="00742C0C" w:rsidRPr="007F53F9">
        <w:rPr>
          <w:rFonts w:ascii="Times New Roman" w:eastAsia="Calibri" w:hAnsi="Times New Roman"/>
        </w:rPr>
        <w:t xml:space="preserve"> </w:t>
      </w:r>
      <w:r w:rsidRPr="007F53F9">
        <w:rPr>
          <w:rFonts w:ascii="Times New Roman" w:eastAsia="Calibri" w:hAnsi="Times New Roman"/>
        </w:rPr>
        <w:t xml:space="preserve">eur). </w:t>
      </w:r>
    </w:p>
    <w:p w14:paraId="415E2BA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54BE629D" w14:textId="45032772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Najvýznamnejšími výnosmi sú daňové výnosy vo výške </w:t>
      </w:r>
      <w:r w:rsidR="00CF4021">
        <w:rPr>
          <w:rFonts w:ascii="Times New Roman" w:hAnsi="Times New Roman"/>
        </w:rPr>
        <w:t>1 083 319,43</w:t>
      </w:r>
      <w:r w:rsidRPr="007F53F9">
        <w:rPr>
          <w:rFonts w:ascii="Times New Roman" w:hAnsi="Times New Roman"/>
        </w:rPr>
        <w:t xml:space="preserve"> eur (v roku </w:t>
      </w:r>
      <w:r w:rsidR="00742C0C">
        <w:rPr>
          <w:rFonts w:ascii="Times New Roman" w:hAnsi="Times New Roman"/>
        </w:rPr>
        <w:t>2019</w:t>
      </w:r>
      <w:r w:rsidRPr="007F53F9">
        <w:rPr>
          <w:rFonts w:ascii="Times New Roman" w:hAnsi="Times New Roman"/>
        </w:rPr>
        <w:t xml:space="preserve"> to bolo </w:t>
      </w:r>
      <w:r w:rsidR="00742C0C">
        <w:rPr>
          <w:rFonts w:ascii="Times New Roman" w:hAnsi="Times New Roman"/>
        </w:rPr>
        <w:t>1 075 308,80</w:t>
      </w:r>
      <w:r w:rsidR="00742C0C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eur) a výnosy zo zúčtovania transferov bežných aj kapitálových od subjektov verejnej správy vrátane štátneho rozpočtu, a to vo výške </w:t>
      </w:r>
      <w:r w:rsidR="00CF4021">
        <w:rPr>
          <w:rFonts w:ascii="Times New Roman" w:hAnsi="Times New Roman"/>
        </w:rPr>
        <w:t>820 059,99</w:t>
      </w:r>
      <w:r w:rsidRPr="007F53F9">
        <w:rPr>
          <w:rFonts w:ascii="Times New Roman" w:hAnsi="Times New Roman"/>
        </w:rPr>
        <w:t xml:space="preserve"> eur (v roku </w:t>
      </w:r>
      <w:r w:rsidR="00742C0C">
        <w:rPr>
          <w:rFonts w:ascii="Times New Roman" w:hAnsi="Times New Roman"/>
        </w:rPr>
        <w:t>2019</w:t>
      </w:r>
      <w:r w:rsidRPr="007F53F9">
        <w:rPr>
          <w:rFonts w:ascii="Times New Roman" w:hAnsi="Times New Roman"/>
        </w:rPr>
        <w:t xml:space="preserve"> to bolo </w:t>
      </w:r>
      <w:r w:rsidR="00742C0C">
        <w:rPr>
          <w:rFonts w:ascii="Times New Roman" w:hAnsi="Times New Roman"/>
        </w:rPr>
        <w:t>719 593,26</w:t>
      </w:r>
      <w:r w:rsidR="00742C0C" w:rsidRPr="007F53F9">
        <w:rPr>
          <w:rFonts w:ascii="Times New Roman" w:hAnsi="Times New Roman"/>
        </w:rPr>
        <w:t xml:space="preserve"> </w:t>
      </w:r>
      <w:r w:rsidR="00794CBF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eur). </w:t>
      </w:r>
    </w:p>
    <w:p w14:paraId="26DA07EA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</w:p>
    <w:p w14:paraId="156E5E8C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462DDFB9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68ECA541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lastRenderedPageBreak/>
        <w:t>INFORMÁCIE NA PODSÚVAHOVÝCH ÚČTOCH</w:t>
      </w:r>
    </w:p>
    <w:p w14:paraId="598CA1C7" w14:textId="48C0D99D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</w:rPr>
      </w:pPr>
      <w:r w:rsidRPr="007F53F9">
        <w:rPr>
          <w:rFonts w:ascii="Times New Roman" w:hAnsi="Times New Roman"/>
        </w:rPr>
        <w:t>Konsolidovaný celok účtuje na podsúvahových účtoch majetok v hodnote</w:t>
      </w:r>
      <w:r w:rsidR="0074152B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</w:t>
      </w:r>
      <w:r w:rsidR="00CF4021">
        <w:rPr>
          <w:rFonts w:ascii="Times New Roman" w:hAnsi="Times New Roman"/>
        </w:rPr>
        <w:t>2 453 757,89</w:t>
      </w:r>
      <w:r w:rsidRPr="007F53F9">
        <w:rPr>
          <w:rFonts w:ascii="Times New Roman" w:hAnsi="Times New Roman"/>
        </w:rPr>
        <w:t xml:space="preserve"> eur (v roku </w:t>
      </w:r>
      <w:r w:rsidR="00742C0C">
        <w:rPr>
          <w:rFonts w:ascii="Times New Roman" w:hAnsi="Times New Roman"/>
        </w:rPr>
        <w:t>2019</w:t>
      </w:r>
      <w:r w:rsidRPr="007F53F9">
        <w:rPr>
          <w:rFonts w:ascii="Times New Roman" w:hAnsi="Times New Roman"/>
        </w:rPr>
        <w:t xml:space="preserve"> to bolo </w:t>
      </w:r>
      <w:r w:rsidR="00742C0C">
        <w:rPr>
          <w:rFonts w:ascii="Times New Roman" w:hAnsi="Times New Roman"/>
        </w:rPr>
        <w:t>2 439 393,89</w:t>
      </w:r>
      <w:r w:rsidR="00742C0C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>eur).</w:t>
      </w:r>
    </w:p>
    <w:p w14:paraId="0327301B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</w:rPr>
      </w:pPr>
    </w:p>
    <w:p w14:paraId="116D2300" w14:textId="77777777" w:rsidR="00581895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t>SKUTOČNOSTI, KTORÉ NASTALI PO DNI, KU KTORÉMU SA ZOSTAVUJE KONSOLIDOVANA ÚČTOVNÁ ZÁVIERKA, DO DŇA JEJ ZOSTAVENIA</w:t>
      </w:r>
    </w:p>
    <w:p w14:paraId="513EDA08" w14:textId="733F3DD8" w:rsidR="00494D1C" w:rsidRDefault="00494D1C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1395421D" w14:textId="3ABDD93D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Účtovná jednotka vedie nasledovné súdne spory: </w:t>
      </w:r>
    </w:p>
    <w:p w14:paraId="2043BDCC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2271E51" w14:textId="77777777" w:rsidR="00CF4021" w:rsidRP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  <w:r w:rsidRPr="00F56A27">
        <w:rPr>
          <w:rFonts w:ascii="Times New Roman" w:hAnsi="Times New Roman"/>
          <w:b/>
          <w:bCs/>
        </w:rPr>
        <w:t xml:space="preserve">Spisová značka: 3Cob 178/2019 </w:t>
      </w:r>
    </w:p>
    <w:p w14:paraId="6C11A56D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Súd a zákonný sudca: Krajský súd v Bratislave </w:t>
      </w:r>
    </w:p>
    <w:p w14:paraId="22AA3381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712327E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Strany konania: </w:t>
      </w:r>
    </w:p>
    <w:p w14:paraId="2B1771D5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Žalobca: BCI, a.s. spoločnosť so sídlom Mydlárska 8718/7A, 010 01 Žilina, zapísaná v obchodnom registri Okresného súdu Žilina, odd.: Sa, vložka č. 237/L, IČO: 31 617 794 Žalovaný: Obec Závod (žalovaný) Opis charakteru súdneho sporu: o zaplatenie 2.182.562,12 EUR s príslušenstvom </w:t>
      </w:r>
    </w:p>
    <w:p w14:paraId="5A060561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C784BC4" w14:textId="77777777" w:rsidR="00CF402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Predmet sporu: Žalobca pre žalovaného zhotovoval dielo – stavba „Závod – kanalizácia II. etapa“ na základe uzatvorenej zmluvy o dielo č. 2/2012 zo dňa 17.09.2012, v znení jej dodatku č. 1. Žalobca sa žalobou zo dňa 13.07.2017 domáha zaplatenia sumy 2.182.562,12 EUR s príslušenstvom. Žalobca na zhotovenie diela využíval hlavných subdodávateľov, spoločnosti OHL Pozemné stavby a.s. (teraz ako OHL ŽS SK, a.s.), UNISTAV spol. s r.o. a TuCon, a.s. (ďalej aj ako „subdodávatelia“). Žalovaného subdodávatelia upozorňovali na platobnú disciplínu žalobcu vo vzťahu k úhradám faktúr subdodávateľov vystavených za práce uskutočnené pri zhotovení diela. Následne bolo žalovanému oznámené, že došlo k postúpeniu pohľadávok zo žalobcu na subdodávateľov. Neskôr zmluvy o postúpení žalobca spochybnil a označil ich za neplatné. Keďže žalovaný bol v stave právnej neistoty ohľadom toho, kto je jeho veriteľom, návrhom zo dňa 21.03.2014 podal na Okresný súd Žilina návrh na prijatie peňažných prostriedkov do súdnej úschovy (konanie spis. zn. 15U/2/2014). Okresný súd Žilina súhlasil s návrhom žalovaného a z dôvodu, že považoval spornosť medzi žalobcom a subdodávateľmi ohľadom toho, kto je veriteľom pohľadávky voči žalovanému, prijal prostriedky vo výške 2.160.712,65 EUR do súdnej úschovy. Zložiteľ v tomto konaní je žalovaný, pričom ako možných oprávnených označil žalovaný žalobcu a subdodávateľov. Okresný súd Žilina vydá </w:t>
      </w:r>
      <w:r w:rsidRPr="00CF4021">
        <w:rPr>
          <w:rFonts w:ascii="Times New Roman" w:hAnsi="Times New Roman"/>
          <w:bCs/>
        </w:rPr>
        <w:lastRenderedPageBreak/>
        <w:t>zložené prostriedky tomu subjektu, ktorý preukáže, že je oprávnený na ich obdržanie. Uznesením Okresného súdu Žilina zo dňa 11.01.2017, sp.zn. 15U/2/2014 Okresný súd Žilina opakovane zamietol žiadosť jednotlivých príjemcov o vydanie predmetu úschovy. Všetci označení príjemcovia sa voči rozhodnutiu odvolali. Na základe uvedeného bude o rozhodnutí súdu prvého stupňa rozhodovať Krajský súd v Žiline. Nakoľko úschova ako taká je nesporovým konaním, Okresný súd Žilina nemôže sám rozhodnúť o tom, ktorý subjekt takéto oprávnenie má alebo nemá. Spornosť práva sa rozhodol žalobca odstrániť tak, že na Okresnom súde Malacky podal na žalovaného žalobu. O podanej žalobe rozhodol Okresný súd Malacky súd svojím rozsudkom zo dňa 17.04.2019, ktorým žalobu žalobcu zamietol a žalovanému priznal voči žalobcovi nárok na náhradu trov súdneho konania v rozsahu 100%. Predmetný rozsudok Okresného súdu Malacky následne napadol žalobca svojím odvolaním zo dňa 24.06.2019, ktorým žalobca žiada, aby Krajský súd v Bratislave odvolaním napadnutý rozsudok okresného súdu zmenil tak, že žalobe žalobcu v celom rozsahu vyhovie. Po tom, čo žalovaný dňa 31.07.2019 zaslal Okresnému súdu Malacky svoje vyjadrenie k spomenutému odvolaniu žalobcu zo dňa 24.06.2019 (tzv. dupliku), súd dňa 25.09.2019 predložil vec na rozhodnutie Krajskému súdu v Bratislave.</w:t>
      </w:r>
    </w:p>
    <w:p w14:paraId="488F6ED8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>Nárok:</w:t>
      </w:r>
    </w:p>
    <w:p w14:paraId="49F38D92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 - 2.182.562,12 EUR s príslušenstvom pozostávajúci z: 2.157.396,76 EUR (neuhradená časť faktúry);</w:t>
      </w:r>
    </w:p>
    <w:p w14:paraId="20C6418E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 - úrok z omeškania vo výške 9,25% ročne zo sumy 383.922,87 EUR od 04.1.2014 do 31.03.2014, ktorý predstavuje sumu 8.464,71 EUR; </w:t>
      </w:r>
    </w:p>
    <w:p w14:paraId="5CEAEBC6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zmluvná pokuta vo výške 0,05% denne zo sumy 383.922,87 EUR od 04.1.2014 do 31.03.2014, ktorá predstavuje sumu 16.700,65 EUR. </w:t>
      </w:r>
    </w:p>
    <w:p w14:paraId="7B280278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BA63013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Stav k 31.12.2020: </w:t>
      </w:r>
    </w:p>
    <w:p w14:paraId="4BFD2BE3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Možno predpokladať, že Krajský súd v Bratislave rozhodne vo veci bez nariadenia pojednávania. Dátum vyhlásenia rozhodnutia však nie je možné v súčasnosti odhadnúť. Vzhľadom na to, že spis bol Krajskému súdu v Bratislave predložený v roku 2019 predpokladáme, že rozhodnutie o odvolaní by mohlo byť vydané v priebehu roka 2021. </w:t>
      </w:r>
    </w:p>
    <w:p w14:paraId="74C98A03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884F97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>Stanovisko obce v spore:</w:t>
      </w:r>
    </w:p>
    <w:p w14:paraId="0AC4FA46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Žalovaný: </w:t>
      </w:r>
    </w:p>
    <w:p w14:paraId="33ADD26D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lastRenderedPageBreak/>
        <w:t xml:space="preserve">- poukazuje na existujúcu spornosť otázky kto je veriteľom, t.j. oprávneným subjektom na plnenie žalovanej sumy – pričom prízvukuje, že spornosť existuje medzi žalobcom a jeho subdodávateľmi; </w:t>
      </w:r>
    </w:p>
    <w:p w14:paraId="06A0CD71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popiera to, že žalobca preukázal, že je z titulu jeho hmotnoprávneho postavenia veriteľom žalovanej; </w:t>
      </w:r>
    </w:p>
    <w:p w14:paraId="678F16F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upozorňuje na skutočnosť, že žalovaný zložil do súdnej úschovy peňažné prostriedky, ktorých sa domáha žalobca v časti jeho nároku vo výške 2.157.396,76 EUR, čím došlo k splneniu záväzku. </w:t>
      </w:r>
    </w:p>
    <w:p w14:paraId="3F2CA12F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B692CBD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Posúdenie pravdepodobnosti priaznivého alebo nepriaznivého výsledku: </w:t>
      </w:r>
    </w:p>
    <w:p w14:paraId="3409F1C0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mieru možného úspechu žalovaného v spore je možné ohodnotiť na 70%. Okresný súd Žilina prijal prostriedky vo výške 2.160.712,65 EUR do súdnej úschovy, t.j. v prípade prehry v spore pred Okresným súdom Malacky bude mať žalobca záujem sa uspokojiť z týchto prostriedkov. </w:t>
      </w:r>
    </w:p>
    <w:p w14:paraId="5DCB21D5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4BC76CD3" w14:textId="77777777" w:rsidR="00F56A27" w:rsidRP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  <w:bCs/>
        </w:rPr>
      </w:pPr>
      <w:r w:rsidRPr="00F56A27">
        <w:rPr>
          <w:rFonts w:ascii="Times New Roman" w:hAnsi="Times New Roman"/>
          <w:b/>
          <w:bCs/>
        </w:rPr>
        <w:t xml:space="preserve">Spisová značka: 31C 187/2018 </w:t>
      </w:r>
    </w:p>
    <w:p w14:paraId="5739C0E4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Súd a zákonný sudca: Okresný súd Malacky </w:t>
      </w:r>
    </w:p>
    <w:p w14:paraId="5002D93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Strany konania: </w:t>
      </w:r>
    </w:p>
    <w:p w14:paraId="1D1E5C0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Žalobcovia: </w:t>
      </w:r>
    </w:p>
    <w:p w14:paraId="0A281318" w14:textId="56C34AED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1) TuCon, a. s., IČO: 44 802 030, sídlom K cintorínu 63, 010 04 Žilina; </w:t>
      </w:r>
    </w:p>
    <w:p w14:paraId="3928B9A4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2) UNISTAV spol. s r. o., IČO: 31 409 539, sídlom Priemyselná 279, 905 01 Senica; </w:t>
      </w:r>
    </w:p>
    <w:p w14:paraId="70654CB7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3) OHL ŽS Slovakia, a .s., IČO: 31 365 701, sídlom Tuhovská 10722/29, 831 06 Bratislava - Rača, </w:t>
      </w:r>
    </w:p>
    <w:p w14:paraId="160D0BB8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>Žalovaný: Obec Závod (žalovaný)</w:t>
      </w:r>
    </w:p>
    <w:p w14:paraId="002911C4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E1D6B1A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Opis charakteru súdneho sporu: o určenie vlastníckeho práva k nehnuteľnosti Predmet sporu: Žalobca sa žalobou zo dňa 29.06.2018 domáha určenia vlastníckeho práva k nehnuteľnosti, diela – stavba „Závod – kanalizácia II. etapa“. Medzi žalobcami (OHL ŽS SK, a.s., UNISTAV spol. s r.o. a TuCon, a.s.) a tretím subjektom (spoločnosť BCI, a.s. ako hlavný zhotoviteľ diela) existoval a existuje spor o platnosť zmlúv o postúpení pohľadávky. Napriek spornosti tejto otázky sa žalobcovia domáhajú touto žalobou určenia, že k Dielu majú vlastnícke právo, keďže medzi žalobcami a BCI, a.s. bola dohodnutá výhrada vlastníckeho práva. BCI, a.s. teda mohlo nadobudnúť vlastnícke právo k dielu iba po úhrade zmluvnej ceny dohodnutej subdodávateľmi. Žalobcovia tvrdia, že nakoľko BCI, a.s. nenadobudlo vlastnícke právo k dielu kvôli nesplneniu záväzku uhradenia zmluvnej ceny, nemohlo toto prejsť ani na žalovaného. V prebiehajúcom </w:t>
      </w:r>
      <w:r w:rsidRPr="00CF4021">
        <w:rPr>
          <w:rFonts w:ascii="Times New Roman" w:hAnsi="Times New Roman"/>
          <w:bCs/>
        </w:rPr>
        <w:lastRenderedPageBreak/>
        <w:t xml:space="preserve">súdnom konaní bolo okrem žaloby a repliky žalobcov predložené Okresnému súdu Malacky aj vyjadrenie a duplika žalovaného zo dňa 21.05.2019, v ktorým žalovaný poukázal na zjavnú nedôvodnosť žaloby spochybňujúcej jeho vlastnícke právo ku kanalizácii. Žalobcovia zároveň požiadali o prerušenie konania a to do rozhodnutia o dovolaní, ktoré žalobcovia podali v spore proti spoločnosti BCI, a.s. Žalovaný vo svojom vyjadrení uviedol, že neexistuje dôvod, pre ktorý by malo byť konanie prerušené. Pojednávanie bolo v uvedenej veci vytýčené na deň 27.01.2021, avšak vzhľadom na pandemickú situáciu bolo odročené. Nový termín pojednávania zatiaľ vytýčený nebol. </w:t>
      </w:r>
    </w:p>
    <w:p w14:paraId="3F6D8378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246D0BC1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Nárok: Určenie, že žalobcovia sú vlastníkmi diela – stavba, „Závod – kanalizácia II. etapa“. </w:t>
      </w:r>
    </w:p>
    <w:p w14:paraId="1A2BD74F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04C12B4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Stav k 31.12.2020: Konanie sa nachádza na konci úvodnej fázy – v ktorej žalobcovia a žalovaný v zmysle platného Civilného sporového poriadku využili všetky procesné možnosti predložiť súdu písomné vyjadrenia k veci. V rámci ďalšieho procesného postupu možno v blízkej budúcnosti očakávať nariadenie prvého pojednávania vo veci. </w:t>
      </w:r>
    </w:p>
    <w:p w14:paraId="419CE341" w14:textId="77777777" w:rsidR="00F56A27" w:rsidRDefault="00F56A27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4CA173B7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Stanovisko obce v spore: </w:t>
      </w:r>
    </w:p>
    <w:p w14:paraId="21CE01F0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Žalovaný v spore tvrdí, že: </w:t>
      </w:r>
    </w:p>
    <w:p w14:paraId="60FF62B5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žalobcovia nie sú vecne aktívne legitimovaným subjektom na podanie tejto žaloby – žalobcovia zvolili nesprávny typ žaloby; </w:t>
      </w:r>
    </w:p>
    <w:p w14:paraId="383DB4CD" w14:textId="77777777" w:rsidR="00F56A27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neexistuje naliehavý právny záujem na určení vlastníckeho práva k dielu - táto žaloba nemôže napĺňať svoj preventívny účel – má pred ňou totižto prednosť žaloba na plnenie, ktorú mali žalobcovia podať voči spoločnosti BCI, a.s.; </w:t>
      </w:r>
    </w:p>
    <w:p w14:paraId="0EAD2E5A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zmluvné dojednania medzi hlavným zhotoviteľom (BCI, a.s.) a jeho subdodávateľmi (žalobcovia) nemôžu negovať zmluvné dojednania medzi zhotoviteľom (BCI, a.s.) a objednávateľom (žalovaný), t.j. úpravu nadobudnutia vlastníckeho práva nemôžu subdodávatelia (žalobcovia) a hlavný zhotoviteľ dohodnúť tak, aby táto pôsobila na úkor skôr uzatvorených zmluvných záväzkov učinených s objednávateľom - žalovaným. </w:t>
      </w:r>
    </w:p>
    <w:p w14:paraId="32B5217B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6044D12A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Posúdenie pravdepodobnosti priaznivého alebo nepriaznivého výsledku: </w:t>
      </w:r>
    </w:p>
    <w:p w14:paraId="12D1FB46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- mieru možného úspechu žalovaného v spore je možné ohodnotiť na 70%. V prípade neúspechu bude najväčší negatívny dôsledok spočívať v tom, že dielo, ktoré bolo doteraz evidované ako majetok Obce Závod bude prisúdené žalobcom, t.j. títo budú vlastníkmi stavby Závod – kanalizácia II. etapa. </w:t>
      </w:r>
    </w:p>
    <w:p w14:paraId="64FC4031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3742F1">
        <w:rPr>
          <w:rFonts w:ascii="Times New Roman" w:hAnsi="Times New Roman"/>
          <w:b/>
          <w:bCs/>
        </w:rPr>
        <w:lastRenderedPageBreak/>
        <w:t>Spisová značka: 15U 2/2014</w:t>
      </w:r>
      <w:r w:rsidRPr="00CF4021">
        <w:rPr>
          <w:rFonts w:ascii="Times New Roman" w:hAnsi="Times New Roman"/>
          <w:bCs/>
        </w:rPr>
        <w:t xml:space="preserve"> </w:t>
      </w:r>
    </w:p>
    <w:p w14:paraId="64A4C6F4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Súd a zákonný sudca: Okresný súd Žilina </w:t>
      </w:r>
    </w:p>
    <w:p w14:paraId="76139F17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Strany konania: </w:t>
      </w:r>
    </w:p>
    <w:p w14:paraId="16795556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Zložiteľ: Obec Závod Príjemcovia: </w:t>
      </w:r>
    </w:p>
    <w:p w14:paraId="56F7F79B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1) BCI, a. s., IČO: 31 617 794, so sídlom Mydlárska 8718/7A, 010 01 Žilina; </w:t>
      </w:r>
    </w:p>
    <w:p w14:paraId="15196494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2) OHL ŽS Slovakia, a. s., IČO: 31 365 701, so sídlom Tuhovská 10722/29, 831 06 Bratislava – Rača; </w:t>
      </w:r>
    </w:p>
    <w:p w14:paraId="19570961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3) TuCon, a. s., IČO: 44 802 030, so sídlom K cintorínu 63, 010 04 Žilina; 4) UNISTAV spol. s r. o., IČO: 31 409 539, so sídlom Priemyselná 279, 905 01 Senica; Opis charakteru súdneho sporu: súdne konanie vo veci vydania predmetu súdnej úschovy (peňažnej čiastky vo výške 2.160.712,65 EUR) </w:t>
      </w:r>
    </w:p>
    <w:p w14:paraId="466D0F41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F8F8D4B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Predmet sporu: </w:t>
      </w:r>
    </w:p>
    <w:p w14:paraId="63437072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Okresný súd Žilina uznesením zo dňa 03.04.2014 prijal pre príjemcov 1/ až 4/ od zložiteľa do úschovy finančné prostriedky vo výške 2.160.712,65 EUR. Dňa 10.05.2018 bol súdu doručený návrh príjemcu 1/ na zváženie prerušenia tohto súdneho konania až do právoplatného skončenia súdneho konania vedeného Okresným súdom Žilina pod sp. zn. 18Cb/271/2017. Vo vyššie spomenutom súdnom konaní vedenom Okresným súdom Žilina pod sp. zn. 18Cb/271/2017 sa príjemca 1/ v pozícii žalobcu domáha nahradenia vôle príjemcov 2/ až 4/ v súvislosti s (týmto) konaním o vydanie predmetu súdnej úschovy vedeným pred Okresným súdom Žilina pod sp. zn. 15U/2/2014. Je dôležité dodať, že Okresný súd Žilina rozsudkom vo veci sp. zn. 18Cb/271/2017 zo dňa 16.05.2019 vyhovel žalobe príjemcu 1/ v plnom rozsahu a nahradil súhlas príjemcov 2/ až 4/ s vydaním predmetu úschovy z úschovy Okresného súdu Žilina. Pred Okresným súdom Žilina sú zároveň vedené aj ďalšie súdne konania (a to súdene konanie sp. zn. 10Cb/25/2017, sp. zn. 10Cb/53/2017 a sp. zn. 25C/26/2017), v ktorých príjemcovia 2/ až 4/ žalujú príjemcu 1/ o nahradenie jeho súhlasu s vydaním predmetu úschovy práve v prospech príjemcov 2/ až 4/. Všetky vyššie označené konania (teda konania sp. zn. 10Cb/25/2017, sp. zn. 10Cb/53/2017 a sp. zn. 25C/26/2017) sú v súčasnosti prerušené až do právoplatného rozhodnutia veci vedenej pred Okresným súdom Žilina pod sp. zn. 18Cb/271/2017. Možno pripomenúť, že v prebiehajúcom súdnom konaní vedenom pred Okresným súdom Žilina pod sp. zn. 15U 2/2014 príjemcovia 1/ až 4/ požiadali súd o vydanie predmetu úschovy. Príjemca 1/ nesúhlasí s vydaním predmetu úschovy príjemcom 2/ až 4/ a príjemcovia 2/ až 4/ nesúhlasia s vydaním predmetu úschovy príjemcovi 1/. Vzhľadom na vyššie uvedené skutočnosti súd v tomto (prebiehajúcom) konaní konštatoval, že z dôvodu, že prebiehajúce súdne konanie závisí </w:t>
      </w:r>
      <w:r w:rsidRPr="00CF4021">
        <w:rPr>
          <w:rFonts w:ascii="Times New Roman" w:hAnsi="Times New Roman"/>
          <w:bCs/>
        </w:rPr>
        <w:lastRenderedPageBreak/>
        <w:t xml:space="preserve">od vyriešenia otázky, ktorú nie je súd v tomto konaní oprávnený riešiť (keďže súd nie je oprávnený nahradiť vôľu/súhlas ktoréhokoľvek z príjemcov s vydaním predmetu úschovy inému príjemcovi), Okresný súd Žilina svojím uznesením č. k. 15U/2/2014-715 zo dňa 11.11.2019 rozhodol o prerušení prebiehajúceho súdneho konania, a to až do právoplatného skončenia konania vedeného pred Okresným súdom Žilina pod sp. zn. 18Cb/271/2017. Uznesením zo dňa 24.06.2020 súd rozhodol, že v konaní bude pokračovať. Predpokladá sa, že súd vykoná úkony týkajúce sa uvoľnenia prostriedkov zo súdnej úschovy. Nárok: Nárok na vydanie predmetu súdnej úschovy vo výške 2.160.712,65 EUR. </w:t>
      </w:r>
    </w:p>
    <w:p w14:paraId="6CC17786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98F5FEC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Stav k 31.12.2020: Konanie je uznesením č. k. 15U/2/2014-715 zo dňa 11.11.2019 až do právoplatného skončenia konania vedeného pred Okresným súdom Žilina pod sp. zn. 18Cb/271/2017 prerušené. </w:t>
      </w:r>
    </w:p>
    <w:p w14:paraId="580BB4B5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8D1BB5A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Stanovisko obce v spore: </w:t>
      </w:r>
    </w:p>
    <w:p w14:paraId="0FC6F5B3" w14:textId="7380372D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Zložiteľ svoje stanovisko k predmetu sporu vyjadril vo svojom ostatnom vyjadrením zo dňa 05.09.2019, v ktorom zdôraznil, že riadnym podaním návrhu na prijatie predmetu do súdnej úschovy zložiteľ dostál všetkým svojím zákonným povinnostiam, ktoré mal ako vo vzťahu k označeniu osoby/osôb, pre ktoré je predmet úschovy určený, tak aj vo vzťahu k identifikácii dôvodu zloženia predmetného peňažného plnenia do súdnej úschovy. </w:t>
      </w:r>
    </w:p>
    <w:p w14:paraId="699BA31A" w14:textId="77777777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68B816A8" w14:textId="77777777" w:rsidR="003742F1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 xml:space="preserve">Posúdenie pravdepodobnosti priaznivého alebo nepriaznivého výsledku: </w:t>
      </w:r>
    </w:p>
    <w:p w14:paraId="7822110B" w14:textId="04FE23FD" w:rsidR="0074152B" w:rsidRDefault="00CF402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CF4021">
        <w:rPr>
          <w:rFonts w:ascii="Times New Roman" w:hAnsi="Times New Roman"/>
          <w:bCs/>
        </w:rPr>
        <w:t>Vzhľadom na charakter súdneho konania, ktoré je fakticky sporom vedeným medzi príjemcami 1/ až 4/ navzájom a nie medzi spomenutými príjemcami a zložiteľom, je v posudzovanom prípade vo vzťahu k zložiteľovi vylúčené posudzovať otázku pravdepodobnosti jeho úspechu v spore. Výsledok konania nemá vplyv na finančnú situáciu zložiteľa.</w:t>
      </w:r>
    </w:p>
    <w:p w14:paraId="24B766E5" w14:textId="09CE7D02" w:rsidR="003742F1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9DB47AF" w14:textId="0CC95098" w:rsidR="003742F1" w:rsidRPr="00081B60" w:rsidRDefault="003742F1" w:rsidP="003742F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</w:t>
      </w:r>
      <w:r>
        <w:rPr>
          <w:rFonts w:ascii="Times New Roman" w:hAnsi="Times New Roman" w:cs="Times New Roman"/>
          <w:sz w:val="24"/>
          <w:szCs w:val="24"/>
        </w:rPr>
        <w:t>iné</w:t>
      </w:r>
      <w:r w:rsidRPr="005920B0">
        <w:rPr>
          <w:rFonts w:ascii="Times New Roman" w:hAnsi="Times New Roman" w:cs="Times New Roman"/>
          <w:sz w:val="24"/>
          <w:szCs w:val="24"/>
        </w:rPr>
        <w:t xml:space="preserve"> udalosti, ktoré by si vyžadovali zverejnenie alebo vykázanie v konsolidovanej účtovnej závierke za rok 2020.</w:t>
      </w:r>
      <w:r>
        <w:rPr>
          <w:rFonts w:ascii="Times New Roman" w:hAnsi="Times New Roman" w:cs="Times New Roman"/>
          <w:sz w:val="24"/>
          <w:szCs w:val="24"/>
        </w:rPr>
        <w:t xml:space="preserve"> Poukazujeme však na skutočnosť, že epidemická situácia ovplyvňuje fungovanie konsolidovaného celku.  </w:t>
      </w:r>
    </w:p>
    <w:p w14:paraId="519E5BCA" w14:textId="77777777" w:rsidR="003742F1" w:rsidRPr="00494D1C" w:rsidRDefault="003742F1" w:rsidP="00CF4021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sectPr w:rsidR="003742F1" w:rsidRPr="00494D1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4FDB17" w14:textId="77777777" w:rsidR="00C70549" w:rsidRDefault="00C70549" w:rsidP="00BB50C1">
      <w:r>
        <w:separator/>
      </w:r>
    </w:p>
  </w:endnote>
  <w:endnote w:type="continuationSeparator" w:id="0">
    <w:p w14:paraId="0CA7AD02" w14:textId="77777777" w:rsidR="00C70549" w:rsidRDefault="00C70549" w:rsidP="00BB5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4788095"/>
      <w:docPartObj>
        <w:docPartGallery w:val="Page Numbers (Bottom of Page)"/>
        <w:docPartUnique/>
      </w:docPartObj>
    </w:sdtPr>
    <w:sdtEndPr/>
    <w:sdtContent>
      <w:p w14:paraId="7DDDE42E" w14:textId="7BE5428A" w:rsidR="00BB50C1" w:rsidRDefault="00BB50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2F1" w:rsidRPr="003742F1">
          <w:rPr>
            <w:noProof/>
            <w:lang w:val="sk-SK"/>
          </w:rPr>
          <w:t>1</w:t>
        </w:r>
        <w:r>
          <w:fldChar w:fldCharType="end"/>
        </w:r>
      </w:p>
    </w:sdtContent>
  </w:sdt>
  <w:p w14:paraId="4487B7DD" w14:textId="77777777" w:rsidR="00BB50C1" w:rsidRDefault="00BB50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36423A" w14:textId="77777777" w:rsidR="00C70549" w:rsidRDefault="00C70549" w:rsidP="00BB50C1">
      <w:r>
        <w:separator/>
      </w:r>
    </w:p>
  </w:footnote>
  <w:footnote w:type="continuationSeparator" w:id="0">
    <w:p w14:paraId="7B172AD4" w14:textId="77777777" w:rsidR="00C70549" w:rsidRDefault="00C70549" w:rsidP="00BB5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19C"/>
    <w:rsid w:val="000D7A51"/>
    <w:rsid w:val="00137D2C"/>
    <w:rsid w:val="001C519C"/>
    <w:rsid w:val="002170AE"/>
    <w:rsid w:val="00275B4E"/>
    <w:rsid w:val="002B7632"/>
    <w:rsid w:val="003742F1"/>
    <w:rsid w:val="00494D1C"/>
    <w:rsid w:val="0056000F"/>
    <w:rsid w:val="0057553D"/>
    <w:rsid w:val="00581895"/>
    <w:rsid w:val="005B040D"/>
    <w:rsid w:val="006E00E1"/>
    <w:rsid w:val="0074152B"/>
    <w:rsid w:val="00742C0C"/>
    <w:rsid w:val="00794CBF"/>
    <w:rsid w:val="007F53F9"/>
    <w:rsid w:val="00A05A33"/>
    <w:rsid w:val="00BB50C1"/>
    <w:rsid w:val="00BB666E"/>
    <w:rsid w:val="00C70549"/>
    <w:rsid w:val="00CF4021"/>
    <w:rsid w:val="00D51A28"/>
    <w:rsid w:val="00EB4177"/>
    <w:rsid w:val="00F201D9"/>
    <w:rsid w:val="00F212E3"/>
    <w:rsid w:val="00F56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8F4C6"/>
  <w15:docId w15:val="{6EE5158C-0887-46F7-BE7E-5055AACD7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18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189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rsid w:val="00581895"/>
    <w:pPr>
      <w:spacing w:line="360" w:lineRule="auto"/>
      <w:ind w:right="-79"/>
      <w:jc w:val="both"/>
    </w:pPr>
    <w:rPr>
      <w:rFonts w:ascii="Arial" w:hAnsi="Arial" w:cs="Arial"/>
      <w:sz w:val="22"/>
      <w:szCs w:val="22"/>
      <w:lang w:val="sk-SK" w:eastAsia="sk-SK" w:bidi="ar-SA"/>
    </w:rPr>
  </w:style>
  <w:style w:type="paragraph" w:styleId="Hlavika">
    <w:name w:val="header"/>
    <w:basedOn w:val="Normlny"/>
    <w:link w:val="Hlavik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19234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Majorová, Miriam</cp:lastModifiedBy>
  <cp:revision>2</cp:revision>
  <cp:lastPrinted>2017-06-14T08:59:00Z</cp:lastPrinted>
  <dcterms:created xsi:type="dcterms:W3CDTF">2021-06-16T09:20:00Z</dcterms:created>
  <dcterms:modified xsi:type="dcterms:W3CDTF">2021-06-16T09:20:00Z</dcterms:modified>
</cp:coreProperties>
</file>