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70EBC" w:rsidRDefault="00070EBC" w:rsidP="00070EBC">
      <w:pPr>
        <w:spacing w:line="360" w:lineRule="auto"/>
        <w:jc w:val="center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>Poznámky k 31.12.2020</w:t>
      </w:r>
    </w:p>
    <w:p w:rsidR="00070EBC" w:rsidRDefault="00070EBC" w:rsidP="00070EBC">
      <w:pPr>
        <w:spacing w:line="360" w:lineRule="auto"/>
        <w:jc w:val="center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>ako súčasť konsolidovanej účtovnej závierky</w:t>
      </w:r>
    </w:p>
    <w:p w:rsidR="00070EBC" w:rsidRDefault="00070EBC" w:rsidP="00070EBC">
      <w:pPr>
        <w:spacing w:line="360" w:lineRule="auto"/>
        <w:jc w:val="center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 xml:space="preserve">účtovnej jednotky verejnej správy </w:t>
      </w:r>
    </w:p>
    <w:p w:rsidR="00070EBC" w:rsidRDefault="00070EBC" w:rsidP="00070EBC">
      <w:pPr>
        <w:spacing w:line="360" w:lineRule="auto"/>
        <w:jc w:val="center"/>
        <w:rPr>
          <w:rFonts w:ascii="Arial" w:hAnsi="Arial" w:cs="Arial"/>
          <w:b/>
          <w:bCs/>
          <w:i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 xml:space="preserve">Obce </w:t>
      </w:r>
      <w:r>
        <w:rPr>
          <w:rFonts w:ascii="Arial" w:hAnsi="Arial" w:cs="Arial"/>
          <w:b/>
          <w:bCs/>
          <w:i/>
          <w:sz w:val="24"/>
          <w:szCs w:val="24"/>
        </w:rPr>
        <w:t>Hontianske Nemce</w:t>
      </w:r>
    </w:p>
    <w:p w:rsidR="00070EBC" w:rsidRDefault="00070EBC" w:rsidP="00070EBC">
      <w:pPr>
        <w:spacing w:line="360" w:lineRule="auto"/>
        <w:rPr>
          <w:rFonts w:ascii="Arial" w:hAnsi="Arial" w:cs="Arial"/>
          <w:sz w:val="24"/>
          <w:szCs w:val="24"/>
        </w:rPr>
      </w:pPr>
    </w:p>
    <w:p w:rsidR="00070EBC" w:rsidRDefault="00070EBC" w:rsidP="00070EBC">
      <w:pPr>
        <w:spacing w:line="360" w:lineRule="auto"/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Čl. I</w:t>
      </w:r>
    </w:p>
    <w:p w:rsidR="00070EBC" w:rsidRDefault="00070EBC" w:rsidP="00070EBC">
      <w:pPr>
        <w:spacing w:line="360" w:lineRule="auto"/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Všeobecné údaje</w:t>
      </w:r>
    </w:p>
    <w:p w:rsidR="00070EBC" w:rsidRDefault="00070EBC" w:rsidP="00070EBC">
      <w:pPr>
        <w:spacing w:line="360" w:lineRule="auto"/>
        <w:jc w:val="center"/>
        <w:rPr>
          <w:rFonts w:ascii="Arial" w:hAnsi="Arial" w:cs="Arial"/>
          <w:sz w:val="24"/>
          <w:szCs w:val="24"/>
        </w:rPr>
      </w:pPr>
    </w:p>
    <w:p w:rsidR="00070EBC" w:rsidRDefault="00070EBC" w:rsidP="00070EBC">
      <w:pPr>
        <w:spacing w:line="360" w:lineRule="auto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Identifikačné údaje o  konsolidujúcej účtovnej jednotke</w:t>
      </w:r>
    </w:p>
    <w:p w:rsidR="00070EBC" w:rsidRDefault="00070EBC" w:rsidP="00070EBC">
      <w:pPr>
        <w:spacing w:line="360" w:lineRule="auto"/>
        <w:rPr>
          <w:rFonts w:ascii="Arial" w:hAnsi="Arial" w:cs="Arial"/>
          <w:b/>
          <w:i/>
          <w:sz w:val="24"/>
          <w:szCs w:val="24"/>
        </w:rPr>
      </w:pPr>
    </w:p>
    <w:tbl>
      <w:tblPr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4781"/>
        <w:gridCol w:w="4845"/>
      </w:tblGrid>
      <w:tr w:rsidR="00070EBC" w:rsidTr="00070EBC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70EBC" w:rsidRDefault="00070EBC">
            <w:pPr>
              <w:snapToGrid w:val="0"/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Názov konsolidujúcej účtovnej jednotky</w:t>
            </w:r>
          </w:p>
        </w:tc>
        <w:tc>
          <w:tcPr>
            <w:tcW w:w="4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070EBC" w:rsidRDefault="00070EBC">
            <w:pPr>
              <w:snapToGrid w:val="0"/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Obec Hontianske Nemce</w:t>
            </w:r>
          </w:p>
        </w:tc>
      </w:tr>
      <w:tr w:rsidR="00070EBC" w:rsidTr="00070EBC">
        <w:tc>
          <w:tcPr>
            <w:tcW w:w="478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70EBC" w:rsidRDefault="00070EBC">
            <w:pPr>
              <w:snapToGrid w:val="0"/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Sídlo konsolidujúcej účtovnej jednotky</w:t>
            </w:r>
          </w:p>
        </w:tc>
        <w:tc>
          <w:tcPr>
            <w:tcW w:w="484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070EBC" w:rsidRDefault="00070EBC">
            <w:pPr>
              <w:snapToGrid w:val="0"/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962 65  Hontianske Nemce 500</w:t>
            </w:r>
          </w:p>
        </w:tc>
      </w:tr>
      <w:tr w:rsidR="00070EBC" w:rsidTr="00070EBC">
        <w:tc>
          <w:tcPr>
            <w:tcW w:w="478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70EBC" w:rsidRDefault="00070EBC">
            <w:pPr>
              <w:snapToGrid w:val="0"/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Dátum založenia, vzniku konsolidujúcej účtovnej jednotky</w:t>
            </w:r>
          </w:p>
        </w:tc>
        <w:tc>
          <w:tcPr>
            <w:tcW w:w="484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070EBC" w:rsidRDefault="00070EBC">
            <w:pPr>
              <w:snapToGrid w:val="0"/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V zmysle zákona o obecnom zriadení</w:t>
            </w:r>
          </w:p>
        </w:tc>
      </w:tr>
    </w:tbl>
    <w:p w:rsidR="00070EBC" w:rsidRDefault="00070EBC" w:rsidP="00070EBC">
      <w:pPr>
        <w:spacing w:line="360" w:lineRule="auto"/>
      </w:pPr>
    </w:p>
    <w:p w:rsidR="00070EBC" w:rsidRDefault="00070EBC" w:rsidP="00070EBC">
      <w:pPr>
        <w:spacing w:line="360" w:lineRule="auto"/>
        <w:rPr>
          <w:rFonts w:ascii="Arial" w:hAnsi="Arial" w:cs="Arial"/>
          <w:sz w:val="24"/>
          <w:szCs w:val="24"/>
        </w:rPr>
      </w:pPr>
    </w:p>
    <w:p w:rsidR="00070EBC" w:rsidRDefault="00070EBC" w:rsidP="00070EBC">
      <w:pPr>
        <w:spacing w:line="360" w:lineRule="auto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Identifikačné údaje o konsolidovaných  účtovných  jednotkách – rozpočtových organizáciách v zriaďovateľskej pôsobnosti konsolidujúcej</w:t>
      </w:r>
      <w:r>
        <w:rPr>
          <w:rFonts w:ascii="Arial" w:hAnsi="Arial" w:cs="Arial"/>
          <w:b/>
          <w:i/>
          <w:sz w:val="24"/>
          <w:szCs w:val="24"/>
        </w:rPr>
        <w:t xml:space="preserve"> </w:t>
      </w:r>
      <w:r>
        <w:rPr>
          <w:rFonts w:ascii="Arial" w:hAnsi="Arial" w:cs="Arial"/>
          <w:b/>
          <w:sz w:val="24"/>
          <w:szCs w:val="24"/>
        </w:rPr>
        <w:t>účtovnej jednotky</w:t>
      </w:r>
    </w:p>
    <w:p w:rsidR="00070EBC" w:rsidRDefault="00070EBC" w:rsidP="00070EBC">
      <w:pPr>
        <w:spacing w:line="360" w:lineRule="auto"/>
        <w:rPr>
          <w:rFonts w:ascii="Arial" w:hAnsi="Arial" w:cs="Arial"/>
          <w:sz w:val="24"/>
          <w:szCs w:val="24"/>
        </w:rPr>
      </w:pPr>
    </w:p>
    <w:tbl>
      <w:tblPr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4781"/>
        <w:gridCol w:w="4845"/>
      </w:tblGrid>
      <w:tr w:rsidR="00070EBC" w:rsidTr="00070EBC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70EBC" w:rsidRDefault="00070EBC">
            <w:pPr>
              <w:snapToGrid w:val="0"/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Názov konsolidovanej účtovnej jednotky</w:t>
            </w:r>
          </w:p>
        </w:tc>
        <w:tc>
          <w:tcPr>
            <w:tcW w:w="4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070EBC" w:rsidRDefault="00070EBC">
            <w:pPr>
              <w:snapToGrid w:val="0"/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Základná škola s materskou školou</w:t>
            </w:r>
          </w:p>
        </w:tc>
      </w:tr>
      <w:tr w:rsidR="00070EBC" w:rsidTr="00070EBC">
        <w:tc>
          <w:tcPr>
            <w:tcW w:w="478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70EBC" w:rsidRDefault="00070EBC">
            <w:pPr>
              <w:snapToGrid w:val="0"/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Sídlo konsolidovanej účtovnej jednotky</w:t>
            </w:r>
          </w:p>
        </w:tc>
        <w:tc>
          <w:tcPr>
            <w:tcW w:w="484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070EBC" w:rsidRDefault="00070EBC">
            <w:pPr>
              <w:snapToGrid w:val="0"/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962 65 Hontianske Nemce č. 78</w:t>
            </w:r>
          </w:p>
        </w:tc>
      </w:tr>
      <w:tr w:rsidR="00070EBC" w:rsidTr="00070EBC">
        <w:tc>
          <w:tcPr>
            <w:tcW w:w="478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70EBC" w:rsidRDefault="00070EBC">
            <w:pPr>
              <w:snapToGrid w:val="0"/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Dátum založenia konsolidovanej účtovnej jednotky</w:t>
            </w:r>
          </w:p>
        </w:tc>
        <w:tc>
          <w:tcPr>
            <w:tcW w:w="484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070EBC" w:rsidRDefault="00070EBC">
            <w:pPr>
              <w:snapToGrid w:val="0"/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Zriaďovacou listinou, dňa 1.1.2004</w:t>
            </w:r>
          </w:p>
        </w:tc>
      </w:tr>
    </w:tbl>
    <w:p w:rsidR="00070EBC" w:rsidRDefault="00070EBC" w:rsidP="00070EBC">
      <w:pPr>
        <w:spacing w:line="360" w:lineRule="auto"/>
      </w:pPr>
    </w:p>
    <w:p w:rsidR="00070EBC" w:rsidRDefault="00070EBC" w:rsidP="00070EBC">
      <w:pPr>
        <w:spacing w:line="360" w:lineRule="auto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Informácie o zamestnancoch konsolidovaného celku </w:t>
      </w:r>
    </w:p>
    <w:p w:rsidR="00070EBC" w:rsidRDefault="00070EBC" w:rsidP="00070EBC">
      <w:pPr>
        <w:spacing w:line="360" w:lineRule="auto"/>
        <w:rPr>
          <w:rFonts w:ascii="Arial" w:hAnsi="Arial" w:cs="Arial"/>
          <w:b/>
          <w:i/>
          <w:sz w:val="24"/>
          <w:szCs w:val="24"/>
        </w:rPr>
      </w:pPr>
    </w:p>
    <w:tbl>
      <w:tblPr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4781"/>
        <w:gridCol w:w="4845"/>
      </w:tblGrid>
      <w:tr w:rsidR="00070EBC" w:rsidTr="00070EBC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70EBC" w:rsidRDefault="00070EBC">
            <w:pPr>
              <w:snapToGrid w:val="0"/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Priemerný počet zamestnancov  konsolidovaného celku počas účtovného obdobia</w:t>
            </w:r>
          </w:p>
        </w:tc>
        <w:tc>
          <w:tcPr>
            <w:tcW w:w="4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070EBC" w:rsidRDefault="00070EBC" w:rsidP="00070EBC">
            <w:pPr>
              <w:snapToGrid w:val="0"/>
              <w:spacing w:line="360" w:lineRule="auto"/>
              <w:rPr>
                <w:rFonts w:ascii="Arial" w:hAnsi="Arial" w:cs="Arial"/>
                <w:color w:val="FF0000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51</w:t>
            </w:r>
          </w:p>
        </w:tc>
      </w:tr>
      <w:tr w:rsidR="00070EBC" w:rsidTr="00070EBC">
        <w:tc>
          <w:tcPr>
            <w:tcW w:w="478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70EBC" w:rsidRDefault="00070EBC">
            <w:pPr>
              <w:snapToGrid w:val="0"/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 z toho : Počet  vedúcich  zamestnancov </w:t>
            </w:r>
          </w:p>
        </w:tc>
        <w:tc>
          <w:tcPr>
            <w:tcW w:w="484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070EBC" w:rsidRDefault="00070EBC">
            <w:pPr>
              <w:snapToGrid w:val="0"/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2</w:t>
            </w:r>
          </w:p>
        </w:tc>
      </w:tr>
    </w:tbl>
    <w:p w:rsidR="00070EBC" w:rsidRDefault="00070EBC" w:rsidP="00070EBC">
      <w:pPr>
        <w:spacing w:line="360" w:lineRule="auto"/>
        <w:jc w:val="center"/>
      </w:pPr>
    </w:p>
    <w:p w:rsidR="00070EBC" w:rsidRDefault="00070EBC" w:rsidP="00070EBC">
      <w:pPr>
        <w:spacing w:line="360" w:lineRule="auto"/>
        <w:rPr>
          <w:rFonts w:ascii="Arial" w:hAnsi="Arial" w:cs="Arial"/>
          <w:b/>
          <w:i/>
          <w:sz w:val="24"/>
          <w:szCs w:val="24"/>
        </w:rPr>
      </w:pPr>
    </w:p>
    <w:p w:rsidR="00070EBC" w:rsidRDefault="00070EBC" w:rsidP="00070EBC">
      <w:pPr>
        <w:spacing w:line="360" w:lineRule="auto"/>
        <w:jc w:val="both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Informácie o metódach oceňovania použitých pri ocenení jednotlivých položiek konsolidovanej účtovnej závierky obce  Hontianske Nemce</w:t>
      </w:r>
    </w:p>
    <w:p w:rsidR="00070EBC" w:rsidRDefault="00070EBC" w:rsidP="00070EBC">
      <w:pPr>
        <w:spacing w:line="360" w:lineRule="auto"/>
        <w:rPr>
          <w:rFonts w:ascii="Arial" w:hAnsi="Arial" w:cs="Arial"/>
          <w:b/>
          <w:i/>
          <w:sz w:val="24"/>
          <w:szCs w:val="24"/>
        </w:rPr>
      </w:pPr>
    </w:p>
    <w:p w:rsidR="00070EBC" w:rsidRDefault="00070EBC" w:rsidP="00070EBC">
      <w:pPr>
        <w:numPr>
          <w:ilvl w:val="0"/>
          <w:numId w:val="1"/>
        </w:numPr>
        <w:tabs>
          <w:tab w:val="left" w:pos="720"/>
        </w:tabs>
        <w:spacing w:line="360" w:lineRule="auto"/>
        <w:jc w:val="both"/>
        <w:rPr>
          <w:rFonts w:ascii="Arial" w:hAnsi="Arial" w:cs="Arial"/>
          <w:bCs/>
          <w:sz w:val="24"/>
          <w:szCs w:val="24"/>
        </w:rPr>
      </w:pPr>
      <w:r>
        <w:rPr>
          <w:rFonts w:ascii="Arial" w:hAnsi="Arial" w:cs="Arial"/>
          <w:bCs/>
          <w:sz w:val="24"/>
          <w:szCs w:val="24"/>
        </w:rPr>
        <w:t>Pri oceňovaní majetku a záväzkov sa uplatňuje zásada opatrnosti. Za základ sa berú všetky riziká, straty a zníženia hodnoty, ktoré sa týkajú majetku a záväzkov a sú známe ku dňu zostavenia účtovnej závierky.</w:t>
      </w:r>
    </w:p>
    <w:p w:rsidR="00070EBC" w:rsidRDefault="00070EBC" w:rsidP="00070EBC">
      <w:pPr>
        <w:spacing w:line="360" w:lineRule="auto"/>
        <w:ind w:left="720"/>
        <w:jc w:val="both"/>
        <w:rPr>
          <w:rFonts w:ascii="Arial" w:hAnsi="Arial" w:cs="Arial"/>
          <w:bCs/>
          <w:sz w:val="24"/>
          <w:szCs w:val="24"/>
        </w:rPr>
      </w:pPr>
    </w:p>
    <w:p w:rsidR="00070EBC" w:rsidRDefault="00070EBC" w:rsidP="00070EBC">
      <w:pPr>
        <w:numPr>
          <w:ilvl w:val="0"/>
          <w:numId w:val="1"/>
        </w:numPr>
        <w:tabs>
          <w:tab w:val="left" w:pos="720"/>
        </w:tabs>
        <w:spacing w:line="36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Dlhodobý hmotný a nehmotný majetok nakupovaný sa oceňuje obstarávacou cenou, ktorá zahrňuje cenu obstarania a náklady súvisiace s obstaraním (clo, prepravu, montáž ). </w:t>
      </w:r>
    </w:p>
    <w:p w:rsidR="00070EBC" w:rsidRDefault="00070EBC" w:rsidP="00070EBC">
      <w:pPr>
        <w:spacing w:line="360" w:lineRule="auto"/>
        <w:ind w:left="720"/>
        <w:jc w:val="both"/>
        <w:rPr>
          <w:rFonts w:ascii="Arial" w:hAnsi="Arial" w:cs="Arial"/>
          <w:bCs/>
          <w:sz w:val="24"/>
          <w:szCs w:val="24"/>
        </w:rPr>
      </w:pPr>
    </w:p>
    <w:p w:rsidR="00070EBC" w:rsidRDefault="00070EBC" w:rsidP="00070EBC">
      <w:pPr>
        <w:numPr>
          <w:ilvl w:val="0"/>
          <w:numId w:val="1"/>
        </w:numPr>
        <w:tabs>
          <w:tab w:val="left" w:pos="720"/>
        </w:tabs>
        <w:spacing w:line="36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Súčasťou obstarávacej ceny dlhodobého nehmotného a hmotného majetku </w:t>
      </w:r>
      <w:r>
        <w:rPr>
          <w:rFonts w:ascii="Arial" w:hAnsi="Arial" w:cs="Arial"/>
          <w:iCs/>
          <w:sz w:val="24"/>
          <w:szCs w:val="24"/>
        </w:rPr>
        <w:t xml:space="preserve">nie sú </w:t>
      </w:r>
      <w:r>
        <w:rPr>
          <w:rFonts w:ascii="Arial" w:hAnsi="Arial" w:cs="Arial"/>
          <w:sz w:val="24"/>
          <w:szCs w:val="24"/>
        </w:rPr>
        <w:t>úroky z úverov.</w:t>
      </w:r>
    </w:p>
    <w:p w:rsidR="00070EBC" w:rsidRDefault="00070EBC" w:rsidP="00070EBC">
      <w:pPr>
        <w:spacing w:line="360" w:lineRule="auto"/>
        <w:ind w:left="720"/>
        <w:jc w:val="both"/>
        <w:rPr>
          <w:rFonts w:ascii="Arial" w:hAnsi="Arial" w:cs="Arial"/>
          <w:bCs/>
          <w:sz w:val="24"/>
          <w:szCs w:val="24"/>
        </w:rPr>
      </w:pPr>
    </w:p>
    <w:p w:rsidR="00070EBC" w:rsidRDefault="00070EBC" w:rsidP="00070EBC">
      <w:pPr>
        <w:numPr>
          <w:ilvl w:val="0"/>
          <w:numId w:val="2"/>
        </w:numPr>
        <w:spacing w:line="36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Dlhodobý majetok vytvorený vlastnou činnosťou sa oceňuje vlastnými nákladmi, ktoré predstavujú  všetky priame náklady vynaložené na výrobu alebo inú činnosť a všetky nepriame náklady vzťahujúce sa na výrobu alebo inú činnosť.</w:t>
      </w:r>
    </w:p>
    <w:p w:rsidR="00070EBC" w:rsidRDefault="00070EBC" w:rsidP="00070EBC">
      <w:pPr>
        <w:spacing w:line="360" w:lineRule="auto"/>
        <w:ind w:left="720"/>
        <w:jc w:val="both"/>
        <w:rPr>
          <w:rFonts w:ascii="Arial" w:hAnsi="Arial" w:cs="Arial"/>
          <w:bCs/>
          <w:sz w:val="24"/>
          <w:szCs w:val="24"/>
        </w:rPr>
      </w:pPr>
    </w:p>
    <w:p w:rsidR="00070EBC" w:rsidRDefault="00070EBC" w:rsidP="00070EBC">
      <w:pPr>
        <w:pStyle w:val="Odsekzoznamu"/>
        <w:numPr>
          <w:ilvl w:val="0"/>
          <w:numId w:val="2"/>
        </w:numPr>
        <w:rPr>
          <w:rFonts w:ascii="Arial" w:eastAsiaTheme="minorHAnsi" w:hAnsi="Arial" w:cs="Arial"/>
          <w:sz w:val="24"/>
          <w:szCs w:val="24"/>
          <w:lang w:eastAsia="sk-SK"/>
        </w:rPr>
      </w:pPr>
      <w:r>
        <w:rPr>
          <w:rFonts w:ascii="Arial" w:hAnsi="Arial" w:cs="Arial"/>
          <w:iCs/>
          <w:sz w:val="24"/>
          <w:szCs w:val="24"/>
        </w:rPr>
        <w:t xml:space="preserve">Dlhodobý majetok nadobudnutý darovaním /bezodplatne/ sa oceňuje reálnou hodnotou </w:t>
      </w:r>
      <w:r>
        <w:rPr>
          <w:rFonts w:ascii="Arial" w:eastAsiaTheme="minorHAnsi" w:hAnsi="Arial" w:cs="Arial"/>
          <w:sz w:val="24"/>
          <w:szCs w:val="24"/>
          <w:lang w:eastAsia="sk-SK"/>
        </w:rPr>
        <w:t xml:space="preserve">Dlhodobý majetok nadobudnutý bezodplatným prevodom pri splynutí, zlúčení, rozdelení alebo pri prevode správy sa oceňuje cenou, v ktorej sa doteraz viedol v účtovníctve. Ak cenu nie je možné zistiť, reálnou hodnotou. </w:t>
      </w:r>
    </w:p>
    <w:p w:rsidR="00070EBC" w:rsidRDefault="00070EBC" w:rsidP="00070EBC">
      <w:pPr>
        <w:spacing w:line="360" w:lineRule="auto"/>
        <w:ind w:left="720"/>
        <w:jc w:val="both"/>
        <w:rPr>
          <w:rFonts w:ascii="Arial" w:hAnsi="Arial" w:cs="Arial"/>
          <w:bCs/>
          <w:sz w:val="24"/>
          <w:szCs w:val="24"/>
        </w:rPr>
      </w:pPr>
    </w:p>
    <w:p w:rsidR="00070EBC" w:rsidRDefault="00070EBC" w:rsidP="00070EBC">
      <w:pPr>
        <w:numPr>
          <w:ilvl w:val="0"/>
          <w:numId w:val="2"/>
        </w:numPr>
        <w:spacing w:line="360" w:lineRule="auto"/>
        <w:jc w:val="both"/>
        <w:rPr>
          <w:rFonts w:ascii="Arial" w:hAnsi="Arial" w:cs="Arial"/>
          <w:iCs/>
          <w:sz w:val="24"/>
          <w:szCs w:val="24"/>
        </w:rPr>
      </w:pPr>
      <w:r>
        <w:rPr>
          <w:rFonts w:ascii="Arial" w:hAnsi="Arial" w:cs="Arial"/>
          <w:iCs/>
          <w:sz w:val="24"/>
          <w:szCs w:val="24"/>
        </w:rPr>
        <w:t>Dlhodobý majetok nadobudnutý prevodom správy sa oceňuje cenou, v ktorej sa doteraz viedol v účtovníctve.</w:t>
      </w:r>
    </w:p>
    <w:p w:rsidR="00070EBC" w:rsidRDefault="00070EBC" w:rsidP="00070EBC">
      <w:pPr>
        <w:spacing w:line="360" w:lineRule="auto"/>
        <w:ind w:left="720"/>
        <w:jc w:val="both"/>
        <w:rPr>
          <w:rFonts w:ascii="Arial" w:hAnsi="Arial" w:cs="Arial"/>
          <w:bCs/>
          <w:sz w:val="24"/>
          <w:szCs w:val="24"/>
        </w:rPr>
      </w:pPr>
    </w:p>
    <w:p w:rsidR="00070EBC" w:rsidRDefault="00070EBC" w:rsidP="00070EBC">
      <w:pPr>
        <w:numPr>
          <w:ilvl w:val="0"/>
          <w:numId w:val="1"/>
        </w:numPr>
        <w:tabs>
          <w:tab w:val="left" w:pos="720"/>
        </w:tabs>
        <w:spacing w:line="360" w:lineRule="auto"/>
        <w:rPr>
          <w:rFonts w:ascii="Arial" w:hAnsi="Arial" w:cs="Arial"/>
          <w:bCs/>
          <w:sz w:val="24"/>
          <w:szCs w:val="24"/>
        </w:rPr>
      </w:pPr>
      <w:r>
        <w:rPr>
          <w:rFonts w:ascii="Arial" w:hAnsi="Arial" w:cs="Arial"/>
          <w:bCs/>
          <w:sz w:val="24"/>
          <w:szCs w:val="24"/>
        </w:rPr>
        <w:t>Dlhodobý finančný majetok sa oceňuje obstarávacou cenou.</w:t>
      </w:r>
    </w:p>
    <w:p w:rsidR="00070EBC" w:rsidRDefault="00070EBC" w:rsidP="00070EBC">
      <w:pPr>
        <w:spacing w:line="360" w:lineRule="auto"/>
        <w:ind w:left="720"/>
        <w:rPr>
          <w:rFonts w:ascii="Arial" w:hAnsi="Arial" w:cs="Arial"/>
          <w:bCs/>
          <w:sz w:val="24"/>
          <w:szCs w:val="24"/>
        </w:rPr>
      </w:pPr>
      <w:r>
        <w:rPr>
          <w:rFonts w:ascii="Arial" w:hAnsi="Arial" w:cs="Arial"/>
          <w:sz w:val="24"/>
          <w:szCs w:val="24"/>
          <w:lang w:eastAsia="sk-SK"/>
        </w:rPr>
        <w:t>Obstarávacia cena zahŕňa cenu, za ktorú sa majetok obstaral a náklady súvisiace s jeho obstaraním</w:t>
      </w:r>
    </w:p>
    <w:p w:rsidR="00070EBC" w:rsidRDefault="00070EBC" w:rsidP="00070EBC">
      <w:pPr>
        <w:spacing w:line="360" w:lineRule="auto"/>
        <w:ind w:left="720"/>
        <w:rPr>
          <w:rFonts w:ascii="Arial" w:hAnsi="Arial" w:cs="Arial"/>
          <w:sz w:val="24"/>
          <w:szCs w:val="24"/>
        </w:rPr>
      </w:pPr>
    </w:p>
    <w:p w:rsidR="00070EBC" w:rsidRDefault="00070EBC" w:rsidP="00070EBC">
      <w:pPr>
        <w:numPr>
          <w:ilvl w:val="0"/>
          <w:numId w:val="1"/>
        </w:numPr>
        <w:tabs>
          <w:tab w:val="left" w:pos="720"/>
        </w:tabs>
        <w:spacing w:line="36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Deriváty sa pri nadobudnutí oceňujú cenou obstarania a ku dňu, ku ktorému sa zostavuje účtovná závierka, reálnou hodnotou.</w:t>
      </w:r>
    </w:p>
    <w:p w:rsidR="00070EBC" w:rsidRDefault="00070EBC" w:rsidP="00070EBC">
      <w:pPr>
        <w:spacing w:line="360" w:lineRule="auto"/>
        <w:ind w:left="720"/>
        <w:rPr>
          <w:rFonts w:ascii="Arial" w:hAnsi="Arial" w:cs="Arial"/>
          <w:sz w:val="24"/>
          <w:szCs w:val="24"/>
        </w:rPr>
      </w:pPr>
    </w:p>
    <w:p w:rsidR="00070EBC" w:rsidRDefault="00070EBC" w:rsidP="00070EBC">
      <w:pPr>
        <w:numPr>
          <w:ilvl w:val="0"/>
          <w:numId w:val="1"/>
        </w:numPr>
        <w:tabs>
          <w:tab w:val="left" w:pos="720"/>
        </w:tabs>
        <w:spacing w:line="36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Majetok a záväzky zabezpečené derivátmi sa oceňujú reálnou hodnotou.</w:t>
      </w:r>
    </w:p>
    <w:p w:rsidR="00070EBC" w:rsidRDefault="00070EBC" w:rsidP="00070EBC">
      <w:pPr>
        <w:spacing w:line="360" w:lineRule="auto"/>
        <w:ind w:left="720"/>
        <w:rPr>
          <w:rFonts w:ascii="Arial" w:hAnsi="Arial" w:cs="Arial"/>
          <w:sz w:val="24"/>
          <w:szCs w:val="24"/>
        </w:rPr>
      </w:pPr>
    </w:p>
    <w:p w:rsidR="00070EBC" w:rsidRDefault="00070EBC" w:rsidP="00070EBC">
      <w:pPr>
        <w:numPr>
          <w:ilvl w:val="0"/>
          <w:numId w:val="1"/>
        </w:numPr>
        <w:tabs>
          <w:tab w:val="left" w:pos="720"/>
        </w:tabs>
        <w:spacing w:line="36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bCs/>
          <w:sz w:val="24"/>
          <w:szCs w:val="24"/>
        </w:rPr>
        <w:lastRenderedPageBreak/>
        <w:t xml:space="preserve">Nakupované zásoby </w:t>
      </w:r>
      <w:r>
        <w:rPr>
          <w:rFonts w:ascii="Arial" w:hAnsi="Arial" w:cs="Arial"/>
          <w:sz w:val="24"/>
          <w:szCs w:val="24"/>
        </w:rPr>
        <w:t xml:space="preserve">sa oceňujú obstarávacou cenou, ktorou je cena obstarania vrátane nákladov súvisiacich s obstaraním ako napr. prepravné    .  </w:t>
      </w:r>
    </w:p>
    <w:p w:rsidR="00070EBC" w:rsidRDefault="00070EBC" w:rsidP="00070EBC">
      <w:pPr>
        <w:spacing w:line="360" w:lineRule="auto"/>
        <w:ind w:left="7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</w:t>
      </w:r>
    </w:p>
    <w:p w:rsidR="00070EBC" w:rsidRDefault="00070EBC" w:rsidP="00070EBC">
      <w:pPr>
        <w:numPr>
          <w:ilvl w:val="0"/>
          <w:numId w:val="1"/>
        </w:numPr>
        <w:tabs>
          <w:tab w:val="left" w:pos="720"/>
        </w:tabs>
        <w:spacing w:line="36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Zásoby vytvorené vlastnou činnosťou sa oceňujú vlastnými nákladmi </w:t>
      </w:r>
      <w:proofErr w:type="spellStart"/>
      <w:r>
        <w:rPr>
          <w:rFonts w:ascii="Arial" w:hAnsi="Arial" w:cs="Arial"/>
          <w:sz w:val="24"/>
          <w:szCs w:val="24"/>
        </w:rPr>
        <w:t>t.j</w:t>
      </w:r>
      <w:proofErr w:type="spellEnd"/>
      <w:r>
        <w:rPr>
          <w:rFonts w:ascii="Arial" w:hAnsi="Arial" w:cs="Arial"/>
          <w:sz w:val="24"/>
          <w:szCs w:val="24"/>
        </w:rPr>
        <w:t xml:space="preserve">. priamymi nákladmi vynaloženými na tvorbu zásob ako aj časťou nepriamych nákladov, ktoré sa k tvorbe zásob vzťahujú. </w:t>
      </w:r>
    </w:p>
    <w:p w:rsidR="00070EBC" w:rsidRDefault="00070EBC" w:rsidP="00070EBC">
      <w:pPr>
        <w:spacing w:line="360" w:lineRule="auto"/>
        <w:ind w:left="720"/>
        <w:jc w:val="both"/>
        <w:rPr>
          <w:rFonts w:ascii="Arial" w:hAnsi="Arial" w:cs="Arial"/>
          <w:sz w:val="24"/>
          <w:szCs w:val="24"/>
        </w:rPr>
      </w:pPr>
    </w:p>
    <w:p w:rsidR="00070EBC" w:rsidRDefault="00070EBC" w:rsidP="00070EBC">
      <w:pPr>
        <w:numPr>
          <w:ilvl w:val="0"/>
          <w:numId w:val="1"/>
        </w:numPr>
        <w:tabs>
          <w:tab w:val="left" w:pos="720"/>
        </w:tabs>
        <w:spacing w:line="36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Pohľadávky sa oceňujú v menovitej hodnote. Zníženie ich hodnoty sa vyjadruje opravnou položkou.</w:t>
      </w:r>
    </w:p>
    <w:p w:rsidR="00070EBC" w:rsidRDefault="00070EBC" w:rsidP="00070EBC">
      <w:pPr>
        <w:spacing w:line="360" w:lineRule="auto"/>
        <w:ind w:left="720"/>
        <w:jc w:val="both"/>
        <w:rPr>
          <w:rFonts w:ascii="Arial" w:hAnsi="Arial" w:cs="Arial"/>
          <w:sz w:val="24"/>
          <w:szCs w:val="24"/>
        </w:rPr>
      </w:pPr>
    </w:p>
    <w:p w:rsidR="00070EBC" w:rsidRDefault="00070EBC" w:rsidP="00070EBC">
      <w:pPr>
        <w:numPr>
          <w:ilvl w:val="0"/>
          <w:numId w:val="1"/>
        </w:numPr>
        <w:tabs>
          <w:tab w:val="left" w:pos="720"/>
        </w:tabs>
        <w:spacing w:line="36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Cenné papiere a podiely sa oceňujú obstarávacími cenami, vrátane nákladov súvisiacich s obstaraním.  </w:t>
      </w:r>
    </w:p>
    <w:p w:rsidR="00070EBC" w:rsidRDefault="00070EBC" w:rsidP="00070EBC">
      <w:pPr>
        <w:spacing w:line="360" w:lineRule="auto"/>
        <w:ind w:left="720"/>
        <w:jc w:val="both"/>
        <w:rPr>
          <w:rFonts w:ascii="Arial" w:hAnsi="Arial" w:cs="Arial"/>
          <w:sz w:val="24"/>
          <w:szCs w:val="24"/>
        </w:rPr>
      </w:pPr>
    </w:p>
    <w:p w:rsidR="00070EBC" w:rsidRDefault="00070EBC" w:rsidP="00070EBC">
      <w:pPr>
        <w:numPr>
          <w:ilvl w:val="0"/>
          <w:numId w:val="1"/>
        </w:numPr>
        <w:tabs>
          <w:tab w:val="left" w:pos="720"/>
        </w:tabs>
        <w:spacing w:line="36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Pohľadávky sa pri ich vzniku oceňujú menovitou hodnotou.</w:t>
      </w:r>
    </w:p>
    <w:p w:rsidR="00070EBC" w:rsidRDefault="00070EBC" w:rsidP="00070EBC">
      <w:pPr>
        <w:spacing w:line="360" w:lineRule="auto"/>
        <w:ind w:left="720"/>
        <w:jc w:val="both"/>
        <w:rPr>
          <w:rFonts w:ascii="Arial" w:hAnsi="Arial" w:cs="Arial"/>
          <w:sz w:val="24"/>
          <w:szCs w:val="24"/>
        </w:rPr>
      </w:pPr>
    </w:p>
    <w:p w:rsidR="00070EBC" w:rsidRDefault="00070EBC" w:rsidP="00070EBC">
      <w:pPr>
        <w:numPr>
          <w:ilvl w:val="0"/>
          <w:numId w:val="1"/>
        </w:numPr>
        <w:tabs>
          <w:tab w:val="left" w:pos="720"/>
        </w:tabs>
        <w:spacing w:line="36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Peňažné prostriedky a ceniny sa oceňujú ich menovitou hodnotou.</w:t>
      </w:r>
    </w:p>
    <w:p w:rsidR="00070EBC" w:rsidRDefault="00070EBC" w:rsidP="00070EBC">
      <w:pPr>
        <w:spacing w:line="360" w:lineRule="auto"/>
        <w:ind w:left="720"/>
        <w:jc w:val="both"/>
        <w:rPr>
          <w:rFonts w:ascii="Arial" w:hAnsi="Arial" w:cs="Arial"/>
          <w:bCs/>
          <w:sz w:val="24"/>
          <w:szCs w:val="24"/>
        </w:rPr>
      </w:pPr>
      <w:r>
        <w:rPr>
          <w:rFonts w:ascii="Arial" w:hAnsi="Arial" w:cs="Arial"/>
          <w:bCs/>
          <w:sz w:val="24"/>
          <w:szCs w:val="24"/>
        </w:rPr>
        <w:t> </w:t>
      </w:r>
    </w:p>
    <w:p w:rsidR="00070EBC" w:rsidRDefault="00070EBC" w:rsidP="00070EBC">
      <w:pPr>
        <w:numPr>
          <w:ilvl w:val="0"/>
          <w:numId w:val="1"/>
        </w:numPr>
        <w:tabs>
          <w:tab w:val="left" w:pos="720"/>
        </w:tabs>
        <w:spacing w:line="36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Záväzky sa pri ich vzniku oceňujú menovitou hodnotou.</w:t>
      </w:r>
    </w:p>
    <w:p w:rsidR="00070EBC" w:rsidRDefault="00070EBC" w:rsidP="00070EBC">
      <w:pPr>
        <w:spacing w:line="360" w:lineRule="auto"/>
        <w:ind w:left="7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</w:t>
      </w:r>
    </w:p>
    <w:p w:rsidR="00070EBC" w:rsidRDefault="00070EBC" w:rsidP="00070EBC">
      <w:pPr>
        <w:numPr>
          <w:ilvl w:val="0"/>
          <w:numId w:val="1"/>
        </w:numPr>
        <w:tabs>
          <w:tab w:val="left" w:pos="720"/>
        </w:tabs>
        <w:spacing w:line="36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Záväzky sa pri ich prevzatí oceňujú obstarávacou cenou.</w:t>
      </w:r>
    </w:p>
    <w:p w:rsidR="00070EBC" w:rsidRDefault="00070EBC" w:rsidP="00070EBC">
      <w:pPr>
        <w:spacing w:line="360" w:lineRule="auto"/>
        <w:rPr>
          <w:rFonts w:ascii="Tahoma" w:hAnsi="Tahoma" w:cs="Tahoma"/>
          <w:b/>
          <w:bCs/>
          <w:color w:val="4B4B4B"/>
          <w:sz w:val="24"/>
          <w:szCs w:val="24"/>
        </w:rPr>
      </w:pPr>
    </w:p>
    <w:p w:rsidR="00070EBC" w:rsidRDefault="00070EBC" w:rsidP="00070EBC">
      <w:pPr>
        <w:spacing w:line="360" w:lineRule="auto"/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Tahoma" w:hAnsi="Tahoma" w:cs="Tahoma"/>
          <w:b/>
          <w:bCs/>
          <w:color w:val="4B4B4B"/>
          <w:sz w:val="24"/>
          <w:szCs w:val="24"/>
        </w:rPr>
        <w:t> </w:t>
      </w:r>
      <w:r>
        <w:rPr>
          <w:rFonts w:ascii="Arial" w:hAnsi="Arial" w:cs="Arial"/>
          <w:b/>
          <w:sz w:val="24"/>
          <w:szCs w:val="24"/>
        </w:rPr>
        <w:t>Čl. II</w:t>
      </w:r>
    </w:p>
    <w:p w:rsidR="00070EBC" w:rsidRDefault="00070EBC" w:rsidP="00070EBC">
      <w:pPr>
        <w:spacing w:line="360" w:lineRule="auto"/>
        <w:jc w:val="center"/>
        <w:rPr>
          <w:rFonts w:ascii="Arial" w:hAnsi="Arial" w:cs="Arial"/>
          <w:b/>
          <w:sz w:val="24"/>
          <w:szCs w:val="24"/>
        </w:rPr>
      </w:pPr>
    </w:p>
    <w:p w:rsidR="00070EBC" w:rsidRDefault="00070EBC" w:rsidP="00070EBC">
      <w:pPr>
        <w:spacing w:line="360" w:lineRule="auto"/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Informácie o metódach a postupoch konsolidácie</w:t>
      </w:r>
    </w:p>
    <w:p w:rsidR="00070EBC" w:rsidRDefault="00070EBC" w:rsidP="00070EBC">
      <w:pPr>
        <w:jc w:val="both"/>
        <w:rPr>
          <w:rFonts w:ascii="Arial Narrow" w:hAnsi="Arial Narrow"/>
          <w:sz w:val="24"/>
          <w:szCs w:val="24"/>
        </w:rPr>
      </w:pPr>
    </w:p>
    <w:p w:rsidR="00070EBC" w:rsidRDefault="00070EBC" w:rsidP="00070EBC">
      <w:pPr>
        <w:spacing w:line="36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Konsolidovaná účtovná závierka obce Hontianske Nemce </w:t>
      </w:r>
      <w:r>
        <w:rPr>
          <w:rFonts w:ascii="Arial" w:hAnsi="Arial" w:cs="Arial"/>
          <w:color w:val="0070C0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bola zostavená v súlade so zákonom č. 431/2002 Z. z. o účtovníctve v znení neskorších predpisov v súlade s Opatrením Ministerstva financií Slovenskej republiky zo dňa 17. decembra 2008 č. MF/27526/2008 – 31, ktorým sa ustanovujú podrobnosti o metódach a postupoch konsolidácie vo verejnej správe a podrobnosti o usporiadaní a označovaní položiek konsolidovanej účtovnej závierky vo verejnej správe.</w:t>
      </w:r>
    </w:p>
    <w:p w:rsidR="00070EBC" w:rsidRDefault="00070EBC" w:rsidP="00070EBC">
      <w:pPr>
        <w:spacing w:line="360" w:lineRule="auto"/>
        <w:jc w:val="both"/>
        <w:rPr>
          <w:rFonts w:ascii="Arial" w:hAnsi="Arial" w:cs="Arial"/>
          <w:sz w:val="24"/>
          <w:szCs w:val="24"/>
        </w:rPr>
      </w:pPr>
    </w:p>
    <w:p w:rsidR="00070EBC" w:rsidRDefault="00070EBC" w:rsidP="00070EBC">
      <w:pPr>
        <w:spacing w:line="360" w:lineRule="auto"/>
        <w:jc w:val="both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Zahrnutie konsolidovaných účtovných jednotiek do konsolidovanej účtovnej závierky</w:t>
      </w:r>
    </w:p>
    <w:tbl>
      <w:tblPr>
        <w:tblW w:w="0" w:type="auto"/>
        <w:tblInd w:w="139" w:type="dxa"/>
        <w:tblLayout w:type="fixed"/>
        <w:tblLook w:val="04A0" w:firstRow="1" w:lastRow="0" w:firstColumn="1" w:lastColumn="0" w:noHBand="0" w:noVBand="1"/>
      </w:tblPr>
      <w:tblGrid>
        <w:gridCol w:w="2460"/>
        <w:gridCol w:w="1604"/>
        <w:gridCol w:w="1830"/>
        <w:gridCol w:w="3649"/>
      </w:tblGrid>
      <w:tr w:rsidR="00070EBC" w:rsidTr="00070EBC">
        <w:tc>
          <w:tcPr>
            <w:tcW w:w="2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070EBC" w:rsidRDefault="00070EBC">
            <w:pPr>
              <w:snapToGrid w:val="0"/>
              <w:spacing w:line="360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lastRenderedPageBreak/>
              <w:t xml:space="preserve">Názov resp. obchodné meno </w:t>
            </w:r>
          </w:p>
          <w:p w:rsidR="00070EBC" w:rsidRDefault="00070EBC">
            <w:pPr>
              <w:spacing w:line="360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konsolidovanej účtovnej jednotky</w:t>
            </w:r>
          </w:p>
        </w:tc>
        <w:tc>
          <w:tcPr>
            <w:tcW w:w="1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070EBC" w:rsidRDefault="00070EBC">
            <w:pPr>
              <w:snapToGrid w:val="0"/>
              <w:spacing w:line="360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Metóda </w:t>
            </w:r>
          </w:p>
          <w:p w:rsidR="00070EBC" w:rsidRDefault="00070EBC">
            <w:pPr>
              <w:spacing w:line="360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úplnej konsolidácie</w:t>
            </w:r>
          </w:p>
        </w:tc>
        <w:tc>
          <w:tcPr>
            <w:tcW w:w="1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070EBC" w:rsidRDefault="00070EBC">
            <w:pPr>
              <w:snapToGrid w:val="0"/>
              <w:spacing w:line="360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Metóda </w:t>
            </w:r>
          </w:p>
          <w:p w:rsidR="00070EBC" w:rsidRDefault="00070EBC">
            <w:pPr>
              <w:spacing w:line="360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podielovej konsolidácie</w:t>
            </w:r>
          </w:p>
        </w:tc>
        <w:tc>
          <w:tcPr>
            <w:tcW w:w="3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070EBC" w:rsidRDefault="00070EBC">
            <w:pPr>
              <w:snapToGrid w:val="0"/>
              <w:spacing w:line="360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Metóda </w:t>
            </w:r>
          </w:p>
          <w:p w:rsidR="00070EBC" w:rsidRDefault="00070EBC">
            <w:pPr>
              <w:spacing w:line="360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vlastného imania</w:t>
            </w:r>
          </w:p>
        </w:tc>
      </w:tr>
      <w:tr w:rsidR="00070EBC" w:rsidTr="00070EBC">
        <w:tc>
          <w:tcPr>
            <w:tcW w:w="24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070EBC" w:rsidRDefault="00070EBC">
            <w:pPr>
              <w:snapToGrid w:val="0"/>
              <w:spacing w:line="360" w:lineRule="auto"/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Základná škola s materskou školou</w:t>
            </w:r>
          </w:p>
        </w:tc>
        <w:tc>
          <w:tcPr>
            <w:tcW w:w="160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070EBC" w:rsidRDefault="00070EBC">
            <w:pPr>
              <w:snapToGrid w:val="0"/>
              <w:spacing w:line="360" w:lineRule="auto"/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áno</w:t>
            </w:r>
          </w:p>
        </w:tc>
        <w:tc>
          <w:tcPr>
            <w:tcW w:w="183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070EBC" w:rsidRDefault="00070EBC">
            <w:pPr>
              <w:snapToGrid w:val="0"/>
              <w:spacing w:line="360" w:lineRule="auto"/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</w:tc>
        <w:tc>
          <w:tcPr>
            <w:tcW w:w="3649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70EBC" w:rsidRDefault="00070EBC">
            <w:pPr>
              <w:snapToGrid w:val="0"/>
              <w:spacing w:line="360" w:lineRule="auto"/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:rsidR="00070EBC" w:rsidRDefault="00070EBC" w:rsidP="00070EBC">
      <w:pPr>
        <w:spacing w:line="360" w:lineRule="auto"/>
        <w:jc w:val="both"/>
      </w:pPr>
    </w:p>
    <w:tbl>
      <w:tblPr>
        <w:tblW w:w="0" w:type="dxa"/>
        <w:tblInd w:w="28" w:type="dxa"/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4A0" w:firstRow="1" w:lastRow="0" w:firstColumn="1" w:lastColumn="0" w:noHBand="0" w:noVBand="1"/>
      </w:tblPr>
      <w:tblGrid>
        <w:gridCol w:w="5101"/>
        <w:gridCol w:w="1068"/>
        <w:gridCol w:w="932"/>
        <w:gridCol w:w="1263"/>
        <w:gridCol w:w="1314"/>
      </w:tblGrid>
      <w:tr w:rsidR="00070EBC" w:rsidTr="00070EBC">
        <w:trPr>
          <w:trHeight w:val="631"/>
        </w:trPr>
        <w:tc>
          <w:tcPr>
            <w:tcW w:w="5101" w:type="dxa"/>
            <w:tcBorders>
              <w:top w:val="single" w:sz="8" w:space="0" w:color="808080"/>
              <w:left w:val="single" w:sz="8" w:space="0" w:color="808080"/>
              <w:bottom w:val="single" w:sz="8" w:space="0" w:color="808080"/>
              <w:right w:val="nil"/>
            </w:tcBorders>
            <w:vAlign w:val="center"/>
            <w:hideMark/>
          </w:tcPr>
          <w:p w:rsidR="00070EBC" w:rsidRDefault="00070EBC">
            <w:pPr>
              <w:pStyle w:val="Obsahtabuky"/>
              <w:pBdr>
                <w:top w:val="single" w:sz="8" w:space="1" w:color="000000"/>
                <w:left w:val="single" w:sz="8" w:space="1" w:color="000000"/>
                <w:bottom w:val="single" w:sz="8" w:space="1" w:color="000000"/>
                <w:right w:val="single" w:sz="8" w:space="1" w:color="000000"/>
              </w:pBdr>
              <w:snapToGrid w:val="0"/>
              <w:spacing w:after="283" w:line="256" w:lineRule="auto"/>
              <w:jc w:val="center"/>
            </w:pPr>
            <w:r>
              <w:t>2. Konsolidačné úpravy</w:t>
            </w:r>
          </w:p>
        </w:tc>
        <w:tc>
          <w:tcPr>
            <w:tcW w:w="1068" w:type="dxa"/>
            <w:tcBorders>
              <w:top w:val="single" w:sz="8" w:space="0" w:color="808080"/>
              <w:left w:val="single" w:sz="8" w:space="0" w:color="808080"/>
              <w:bottom w:val="single" w:sz="8" w:space="0" w:color="808080"/>
              <w:right w:val="nil"/>
            </w:tcBorders>
            <w:vAlign w:val="center"/>
            <w:hideMark/>
          </w:tcPr>
          <w:p w:rsidR="00070EBC" w:rsidRDefault="00070EBC">
            <w:pPr>
              <w:pStyle w:val="Obsahtabuky"/>
              <w:pBdr>
                <w:top w:val="single" w:sz="8" w:space="1" w:color="000000"/>
                <w:bottom w:val="single" w:sz="8" w:space="1" w:color="000000"/>
                <w:right w:val="single" w:sz="8" w:space="1" w:color="000000"/>
              </w:pBdr>
              <w:snapToGrid w:val="0"/>
              <w:spacing w:after="283" w:line="256" w:lineRule="auto"/>
              <w:jc w:val="center"/>
            </w:pPr>
            <w:r>
              <w:t xml:space="preserve">Účet 1- </w:t>
            </w:r>
          </w:p>
        </w:tc>
        <w:tc>
          <w:tcPr>
            <w:tcW w:w="932" w:type="dxa"/>
            <w:tcBorders>
              <w:top w:val="single" w:sz="8" w:space="0" w:color="808080"/>
              <w:left w:val="single" w:sz="8" w:space="0" w:color="808080"/>
              <w:bottom w:val="single" w:sz="8" w:space="0" w:color="808080"/>
              <w:right w:val="nil"/>
            </w:tcBorders>
            <w:vAlign w:val="center"/>
            <w:hideMark/>
          </w:tcPr>
          <w:p w:rsidR="00070EBC" w:rsidRDefault="00070EBC">
            <w:pPr>
              <w:pStyle w:val="Obsahtabuky"/>
              <w:pBdr>
                <w:top w:val="single" w:sz="8" w:space="1" w:color="000000"/>
                <w:bottom w:val="single" w:sz="8" w:space="1" w:color="000000"/>
                <w:right w:val="single" w:sz="8" w:space="1" w:color="000000"/>
              </w:pBdr>
              <w:snapToGrid w:val="0"/>
              <w:spacing w:after="283" w:line="256" w:lineRule="auto"/>
              <w:jc w:val="center"/>
            </w:pPr>
            <w:r>
              <w:t>Účet 2</w:t>
            </w:r>
          </w:p>
        </w:tc>
        <w:tc>
          <w:tcPr>
            <w:tcW w:w="1263" w:type="dxa"/>
            <w:tcBorders>
              <w:top w:val="single" w:sz="8" w:space="0" w:color="808080"/>
              <w:left w:val="single" w:sz="8" w:space="0" w:color="808080"/>
              <w:bottom w:val="single" w:sz="8" w:space="0" w:color="808080"/>
              <w:right w:val="nil"/>
            </w:tcBorders>
            <w:vAlign w:val="center"/>
            <w:hideMark/>
          </w:tcPr>
          <w:p w:rsidR="00070EBC" w:rsidRDefault="00070EBC">
            <w:pPr>
              <w:pStyle w:val="Obsahtabuky"/>
              <w:pBdr>
                <w:top w:val="single" w:sz="8" w:space="1" w:color="000000"/>
                <w:bottom w:val="single" w:sz="8" w:space="1" w:color="000000"/>
                <w:right w:val="single" w:sz="8" w:space="1" w:color="000000"/>
              </w:pBdr>
              <w:snapToGrid w:val="0"/>
              <w:spacing w:after="283" w:line="256" w:lineRule="auto"/>
              <w:jc w:val="center"/>
            </w:pPr>
            <w:r>
              <w:t>Suma MD</w:t>
            </w:r>
          </w:p>
        </w:tc>
        <w:tc>
          <w:tcPr>
            <w:tcW w:w="1314" w:type="dxa"/>
            <w:tcBorders>
              <w:top w:val="single" w:sz="8" w:space="0" w:color="808080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vAlign w:val="center"/>
            <w:hideMark/>
          </w:tcPr>
          <w:p w:rsidR="00070EBC" w:rsidRDefault="00070EBC">
            <w:pPr>
              <w:pStyle w:val="Obsahtabuky"/>
              <w:pBdr>
                <w:top w:val="single" w:sz="8" w:space="1" w:color="000000"/>
                <w:bottom w:val="single" w:sz="8" w:space="1" w:color="000000"/>
                <w:right w:val="single" w:sz="8" w:space="1" w:color="000000"/>
              </w:pBdr>
              <w:snapToGrid w:val="0"/>
              <w:spacing w:after="283" w:line="256" w:lineRule="auto"/>
              <w:jc w:val="center"/>
            </w:pPr>
            <w:r>
              <w:t>Suma D</w:t>
            </w:r>
          </w:p>
        </w:tc>
      </w:tr>
      <w:tr w:rsidR="00070EBC" w:rsidTr="00070EBC">
        <w:trPr>
          <w:trHeight w:val="568"/>
        </w:trPr>
        <w:tc>
          <w:tcPr>
            <w:tcW w:w="5101" w:type="dxa"/>
            <w:tcBorders>
              <w:top w:val="nil"/>
              <w:left w:val="single" w:sz="8" w:space="0" w:color="808080"/>
              <w:bottom w:val="single" w:sz="8" w:space="0" w:color="808080"/>
              <w:right w:val="nil"/>
            </w:tcBorders>
            <w:vAlign w:val="center"/>
            <w:hideMark/>
          </w:tcPr>
          <w:p w:rsidR="00070EBC" w:rsidRDefault="00070EBC">
            <w:pPr>
              <w:pStyle w:val="Obsahtabuky"/>
              <w:pBdr>
                <w:left w:val="single" w:sz="8" w:space="1" w:color="000000"/>
                <w:bottom w:val="single" w:sz="8" w:space="1" w:color="000000"/>
                <w:right w:val="single" w:sz="8" w:space="1" w:color="000000"/>
              </w:pBdr>
              <w:snapToGrid w:val="0"/>
              <w:spacing w:after="283" w:line="256" w:lineRule="auto"/>
            </w:pPr>
            <w:r>
              <w:t>Konsolidácia kapitálových transferov obce /majetok v správe/</w:t>
            </w:r>
          </w:p>
        </w:tc>
        <w:tc>
          <w:tcPr>
            <w:tcW w:w="1068" w:type="dxa"/>
            <w:tcBorders>
              <w:top w:val="nil"/>
              <w:left w:val="single" w:sz="8" w:space="0" w:color="808080"/>
              <w:bottom w:val="single" w:sz="8" w:space="0" w:color="808080"/>
              <w:right w:val="nil"/>
            </w:tcBorders>
            <w:vAlign w:val="center"/>
            <w:hideMark/>
          </w:tcPr>
          <w:p w:rsidR="00070EBC" w:rsidRDefault="00070EBC">
            <w:pPr>
              <w:pStyle w:val="Obsahtabuky"/>
              <w:pBdr>
                <w:bottom w:val="single" w:sz="8" w:space="1" w:color="000000"/>
                <w:right w:val="single" w:sz="8" w:space="1" w:color="000000"/>
              </w:pBdr>
              <w:snapToGrid w:val="0"/>
              <w:spacing w:after="283" w:line="256" w:lineRule="auto"/>
            </w:pPr>
            <w:r>
              <w:t>355</w:t>
            </w:r>
          </w:p>
        </w:tc>
        <w:tc>
          <w:tcPr>
            <w:tcW w:w="932" w:type="dxa"/>
            <w:tcBorders>
              <w:top w:val="nil"/>
              <w:left w:val="single" w:sz="8" w:space="0" w:color="808080"/>
              <w:bottom w:val="single" w:sz="8" w:space="0" w:color="808080"/>
              <w:right w:val="nil"/>
            </w:tcBorders>
            <w:vAlign w:val="center"/>
            <w:hideMark/>
          </w:tcPr>
          <w:p w:rsidR="00070EBC" w:rsidRDefault="00070EBC">
            <w:pPr>
              <w:pStyle w:val="Obsahtabuky"/>
              <w:pBdr>
                <w:bottom w:val="single" w:sz="8" w:space="1" w:color="000000"/>
                <w:right w:val="single" w:sz="8" w:space="1" w:color="000000"/>
              </w:pBdr>
              <w:snapToGrid w:val="0"/>
              <w:spacing w:after="283" w:line="256" w:lineRule="auto"/>
            </w:pPr>
            <w:r>
              <w:t>355</w:t>
            </w:r>
          </w:p>
        </w:tc>
        <w:tc>
          <w:tcPr>
            <w:tcW w:w="1263" w:type="dxa"/>
            <w:tcBorders>
              <w:top w:val="nil"/>
              <w:left w:val="single" w:sz="8" w:space="0" w:color="808080"/>
              <w:bottom w:val="single" w:sz="8" w:space="0" w:color="808080"/>
              <w:right w:val="nil"/>
            </w:tcBorders>
            <w:vAlign w:val="center"/>
            <w:hideMark/>
          </w:tcPr>
          <w:p w:rsidR="00070EBC" w:rsidRDefault="00070EBC">
            <w:pPr>
              <w:pStyle w:val="Obsahtabuky"/>
              <w:pBdr>
                <w:bottom w:val="single" w:sz="8" w:space="1" w:color="000000"/>
                <w:right w:val="single" w:sz="8" w:space="1" w:color="000000"/>
              </w:pBdr>
              <w:snapToGrid w:val="0"/>
              <w:spacing w:after="283" w:line="256" w:lineRule="auto"/>
              <w:jc w:val="right"/>
            </w:pPr>
            <w:r>
              <w:t>-296 891,95</w:t>
            </w:r>
          </w:p>
        </w:tc>
        <w:tc>
          <w:tcPr>
            <w:tcW w:w="1314" w:type="dxa"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vAlign w:val="center"/>
            <w:hideMark/>
          </w:tcPr>
          <w:p w:rsidR="00070EBC" w:rsidRDefault="00070EBC">
            <w:pPr>
              <w:pStyle w:val="Obsahtabuky"/>
              <w:pBdr>
                <w:bottom w:val="single" w:sz="8" w:space="1" w:color="000000"/>
                <w:right w:val="single" w:sz="8" w:space="1" w:color="000000"/>
              </w:pBdr>
              <w:snapToGrid w:val="0"/>
              <w:spacing w:after="283" w:line="256" w:lineRule="auto"/>
              <w:jc w:val="right"/>
            </w:pPr>
            <w:r>
              <w:t>-296 891,95</w:t>
            </w:r>
          </w:p>
        </w:tc>
      </w:tr>
      <w:tr w:rsidR="00070EBC" w:rsidTr="00070EBC">
        <w:trPr>
          <w:trHeight w:val="584"/>
        </w:trPr>
        <w:tc>
          <w:tcPr>
            <w:tcW w:w="5101" w:type="dxa"/>
            <w:tcBorders>
              <w:top w:val="nil"/>
              <w:left w:val="single" w:sz="8" w:space="0" w:color="808080"/>
              <w:bottom w:val="single" w:sz="8" w:space="0" w:color="808080"/>
              <w:right w:val="nil"/>
            </w:tcBorders>
            <w:vAlign w:val="center"/>
            <w:hideMark/>
          </w:tcPr>
          <w:p w:rsidR="00070EBC" w:rsidRDefault="00070EBC">
            <w:pPr>
              <w:pStyle w:val="Obsahtabuky"/>
              <w:pBdr>
                <w:left w:val="single" w:sz="8" w:space="1" w:color="000000"/>
                <w:bottom w:val="single" w:sz="8" w:space="1" w:color="000000"/>
                <w:right w:val="single" w:sz="8" w:space="1" w:color="000000"/>
              </w:pBdr>
              <w:snapToGrid w:val="0"/>
              <w:spacing w:after="283" w:line="256" w:lineRule="auto"/>
            </w:pPr>
            <w:r>
              <w:t>Konsolidácia bežných transferov obce</w:t>
            </w:r>
          </w:p>
        </w:tc>
        <w:tc>
          <w:tcPr>
            <w:tcW w:w="1068" w:type="dxa"/>
            <w:tcBorders>
              <w:top w:val="nil"/>
              <w:left w:val="single" w:sz="8" w:space="0" w:color="808080"/>
              <w:bottom w:val="single" w:sz="8" w:space="0" w:color="808080"/>
              <w:right w:val="nil"/>
            </w:tcBorders>
            <w:vAlign w:val="center"/>
            <w:hideMark/>
          </w:tcPr>
          <w:p w:rsidR="00070EBC" w:rsidRDefault="00070EBC">
            <w:pPr>
              <w:pStyle w:val="Obsahtabuky"/>
              <w:pBdr>
                <w:bottom w:val="single" w:sz="8" w:space="1" w:color="000000"/>
                <w:right w:val="single" w:sz="8" w:space="1" w:color="000000"/>
              </w:pBdr>
              <w:snapToGrid w:val="0"/>
              <w:spacing w:after="283" w:line="256" w:lineRule="auto"/>
            </w:pPr>
            <w:r>
              <w:t>584</w:t>
            </w:r>
          </w:p>
        </w:tc>
        <w:tc>
          <w:tcPr>
            <w:tcW w:w="932" w:type="dxa"/>
            <w:tcBorders>
              <w:top w:val="nil"/>
              <w:left w:val="single" w:sz="8" w:space="0" w:color="808080"/>
              <w:bottom w:val="single" w:sz="8" w:space="0" w:color="808080"/>
              <w:right w:val="nil"/>
            </w:tcBorders>
            <w:vAlign w:val="center"/>
            <w:hideMark/>
          </w:tcPr>
          <w:p w:rsidR="00070EBC" w:rsidRDefault="00070EBC">
            <w:pPr>
              <w:pStyle w:val="Obsahtabuky"/>
              <w:pBdr>
                <w:bottom w:val="single" w:sz="8" w:space="1" w:color="000000"/>
                <w:right w:val="single" w:sz="8" w:space="1" w:color="000000"/>
              </w:pBdr>
              <w:snapToGrid w:val="0"/>
              <w:spacing w:after="283" w:line="256" w:lineRule="auto"/>
            </w:pPr>
            <w:r>
              <w:t>691</w:t>
            </w:r>
          </w:p>
        </w:tc>
        <w:tc>
          <w:tcPr>
            <w:tcW w:w="1263" w:type="dxa"/>
            <w:tcBorders>
              <w:top w:val="nil"/>
              <w:left w:val="single" w:sz="8" w:space="0" w:color="808080"/>
              <w:bottom w:val="single" w:sz="8" w:space="0" w:color="808080"/>
              <w:right w:val="nil"/>
            </w:tcBorders>
            <w:vAlign w:val="center"/>
            <w:hideMark/>
          </w:tcPr>
          <w:p w:rsidR="00070EBC" w:rsidRDefault="00070EBC" w:rsidP="00070EBC">
            <w:pPr>
              <w:pStyle w:val="Obsahtabuky"/>
              <w:pBdr>
                <w:bottom w:val="single" w:sz="8" w:space="1" w:color="000000"/>
                <w:right w:val="single" w:sz="8" w:space="1" w:color="000000"/>
              </w:pBdr>
              <w:snapToGrid w:val="0"/>
              <w:spacing w:after="283" w:line="256" w:lineRule="auto"/>
              <w:jc w:val="right"/>
            </w:pPr>
            <w:r>
              <w:t>-237 456,70</w:t>
            </w:r>
          </w:p>
        </w:tc>
        <w:tc>
          <w:tcPr>
            <w:tcW w:w="1314" w:type="dxa"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vAlign w:val="center"/>
            <w:hideMark/>
          </w:tcPr>
          <w:p w:rsidR="00070EBC" w:rsidRDefault="00070EBC" w:rsidP="00070EBC">
            <w:pPr>
              <w:pStyle w:val="Obsahtabuky"/>
              <w:pBdr>
                <w:bottom w:val="single" w:sz="8" w:space="1" w:color="000000"/>
                <w:right w:val="single" w:sz="8" w:space="1" w:color="000000"/>
              </w:pBdr>
              <w:snapToGrid w:val="0"/>
              <w:spacing w:after="283" w:line="256" w:lineRule="auto"/>
              <w:jc w:val="right"/>
            </w:pPr>
            <w:r>
              <w:t>-237 456,70</w:t>
            </w:r>
          </w:p>
        </w:tc>
      </w:tr>
      <w:tr w:rsidR="00070EBC" w:rsidTr="00070EBC">
        <w:trPr>
          <w:trHeight w:val="568"/>
        </w:trPr>
        <w:tc>
          <w:tcPr>
            <w:tcW w:w="5101" w:type="dxa"/>
            <w:tcBorders>
              <w:top w:val="nil"/>
              <w:left w:val="single" w:sz="8" w:space="0" w:color="808080"/>
              <w:bottom w:val="single" w:sz="8" w:space="0" w:color="808080"/>
              <w:right w:val="nil"/>
            </w:tcBorders>
            <w:vAlign w:val="center"/>
            <w:hideMark/>
          </w:tcPr>
          <w:p w:rsidR="00070EBC" w:rsidRDefault="00070EBC">
            <w:pPr>
              <w:pStyle w:val="Obsahtabuky"/>
              <w:pBdr>
                <w:left w:val="single" w:sz="8" w:space="1" w:color="000000"/>
                <w:bottom w:val="single" w:sz="8" w:space="1" w:color="000000"/>
                <w:right w:val="single" w:sz="8" w:space="1" w:color="000000"/>
              </w:pBdr>
              <w:snapToGrid w:val="0"/>
              <w:spacing w:after="283" w:line="256" w:lineRule="auto"/>
            </w:pPr>
            <w:r>
              <w:t>Konsolidácia odpisov majetku obce</w:t>
            </w:r>
          </w:p>
        </w:tc>
        <w:tc>
          <w:tcPr>
            <w:tcW w:w="1068" w:type="dxa"/>
            <w:tcBorders>
              <w:top w:val="nil"/>
              <w:left w:val="single" w:sz="8" w:space="0" w:color="808080"/>
              <w:bottom w:val="single" w:sz="8" w:space="0" w:color="808080"/>
              <w:right w:val="nil"/>
            </w:tcBorders>
            <w:vAlign w:val="center"/>
            <w:hideMark/>
          </w:tcPr>
          <w:p w:rsidR="00070EBC" w:rsidRDefault="00070EBC">
            <w:pPr>
              <w:pStyle w:val="Obsahtabuky"/>
              <w:pBdr>
                <w:bottom w:val="single" w:sz="8" w:space="1" w:color="000000"/>
                <w:right w:val="single" w:sz="8" w:space="1" w:color="000000"/>
              </w:pBdr>
              <w:snapToGrid w:val="0"/>
              <w:spacing w:after="283" w:line="256" w:lineRule="auto"/>
            </w:pPr>
            <w:r>
              <w:t>584</w:t>
            </w:r>
          </w:p>
        </w:tc>
        <w:tc>
          <w:tcPr>
            <w:tcW w:w="932" w:type="dxa"/>
            <w:tcBorders>
              <w:top w:val="nil"/>
              <w:left w:val="single" w:sz="8" w:space="0" w:color="808080"/>
              <w:bottom w:val="single" w:sz="8" w:space="0" w:color="808080"/>
              <w:right w:val="nil"/>
            </w:tcBorders>
            <w:vAlign w:val="center"/>
            <w:hideMark/>
          </w:tcPr>
          <w:p w:rsidR="00070EBC" w:rsidRDefault="00070EBC">
            <w:pPr>
              <w:pStyle w:val="Obsahtabuky"/>
              <w:pBdr>
                <w:bottom w:val="single" w:sz="8" w:space="1" w:color="000000"/>
                <w:right w:val="single" w:sz="8" w:space="1" w:color="000000"/>
              </w:pBdr>
              <w:snapToGrid w:val="0"/>
              <w:spacing w:after="283" w:line="256" w:lineRule="auto"/>
            </w:pPr>
            <w:r>
              <w:t>692</w:t>
            </w:r>
          </w:p>
        </w:tc>
        <w:tc>
          <w:tcPr>
            <w:tcW w:w="1263" w:type="dxa"/>
            <w:tcBorders>
              <w:top w:val="nil"/>
              <w:left w:val="single" w:sz="8" w:space="0" w:color="808080"/>
              <w:bottom w:val="single" w:sz="8" w:space="0" w:color="808080"/>
              <w:right w:val="nil"/>
            </w:tcBorders>
            <w:vAlign w:val="center"/>
            <w:hideMark/>
          </w:tcPr>
          <w:p w:rsidR="00070EBC" w:rsidRDefault="00070EBC" w:rsidP="00070EBC">
            <w:pPr>
              <w:pStyle w:val="Obsahtabuky"/>
              <w:pBdr>
                <w:bottom w:val="single" w:sz="8" w:space="1" w:color="000000"/>
                <w:right w:val="single" w:sz="8" w:space="1" w:color="000000"/>
              </w:pBdr>
              <w:snapToGrid w:val="0"/>
              <w:spacing w:after="283" w:line="256" w:lineRule="auto"/>
              <w:jc w:val="right"/>
            </w:pPr>
            <w:r>
              <w:t xml:space="preserve">-11 </w:t>
            </w:r>
            <w:r w:rsidR="00782630">
              <w:t>3</w:t>
            </w:r>
            <w:r>
              <w:t>50,80</w:t>
            </w:r>
          </w:p>
        </w:tc>
        <w:tc>
          <w:tcPr>
            <w:tcW w:w="1314" w:type="dxa"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vAlign w:val="center"/>
            <w:hideMark/>
          </w:tcPr>
          <w:p w:rsidR="00070EBC" w:rsidRDefault="00070EBC" w:rsidP="00070EBC">
            <w:pPr>
              <w:pStyle w:val="Obsahtabuky"/>
              <w:pBdr>
                <w:bottom w:val="single" w:sz="8" w:space="1" w:color="000000"/>
                <w:right w:val="single" w:sz="8" w:space="1" w:color="000000"/>
              </w:pBdr>
              <w:snapToGrid w:val="0"/>
              <w:spacing w:after="283" w:line="256" w:lineRule="auto"/>
              <w:jc w:val="right"/>
            </w:pPr>
            <w:r>
              <w:t>-11 350,80</w:t>
            </w:r>
          </w:p>
        </w:tc>
      </w:tr>
      <w:tr w:rsidR="00070EBC" w:rsidTr="00070EBC">
        <w:trPr>
          <w:trHeight w:val="584"/>
        </w:trPr>
        <w:tc>
          <w:tcPr>
            <w:tcW w:w="5101" w:type="dxa"/>
            <w:tcBorders>
              <w:top w:val="nil"/>
              <w:left w:val="single" w:sz="8" w:space="0" w:color="808080"/>
              <w:bottom w:val="single" w:sz="8" w:space="0" w:color="808080"/>
              <w:right w:val="nil"/>
            </w:tcBorders>
            <w:vAlign w:val="center"/>
            <w:hideMark/>
          </w:tcPr>
          <w:p w:rsidR="00070EBC" w:rsidRDefault="00070EBC">
            <w:pPr>
              <w:pStyle w:val="Obsahtabuky"/>
              <w:pBdr>
                <w:left w:val="single" w:sz="8" w:space="1" w:color="000000"/>
                <w:bottom w:val="single" w:sz="8" w:space="1" w:color="000000"/>
                <w:right w:val="single" w:sz="8" w:space="1" w:color="000000"/>
              </w:pBdr>
              <w:snapToGrid w:val="0"/>
              <w:spacing w:after="283" w:line="256" w:lineRule="auto"/>
            </w:pPr>
            <w:r>
              <w:t>Konsolidácia odvodu príjmov ROPO</w:t>
            </w:r>
          </w:p>
        </w:tc>
        <w:tc>
          <w:tcPr>
            <w:tcW w:w="1068" w:type="dxa"/>
            <w:tcBorders>
              <w:top w:val="nil"/>
              <w:left w:val="single" w:sz="8" w:space="0" w:color="808080"/>
              <w:bottom w:val="single" w:sz="8" w:space="0" w:color="808080"/>
              <w:right w:val="nil"/>
            </w:tcBorders>
            <w:vAlign w:val="center"/>
            <w:hideMark/>
          </w:tcPr>
          <w:p w:rsidR="00070EBC" w:rsidRDefault="00070EBC">
            <w:pPr>
              <w:pStyle w:val="Obsahtabuky"/>
              <w:pBdr>
                <w:bottom w:val="single" w:sz="8" w:space="1" w:color="000000"/>
                <w:right w:val="single" w:sz="8" w:space="1" w:color="000000"/>
              </w:pBdr>
              <w:snapToGrid w:val="0"/>
              <w:spacing w:after="283" w:line="256" w:lineRule="auto"/>
            </w:pPr>
            <w:r>
              <w:t>699</w:t>
            </w:r>
          </w:p>
        </w:tc>
        <w:tc>
          <w:tcPr>
            <w:tcW w:w="932" w:type="dxa"/>
            <w:tcBorders>
              <w:top w:val="nil"/>
              <w:left w:val="single" w:sz="8" w:space="0" w:color="808080"/>
              <w:bottom w:val="single" w:sz="8" w:space="0" w:color="808080"/>
              <w:right w:val="nil"/>
            </w:tcBorders>
            <w:vAlign w:val="center"/>
            <w:hideMark/>
          </w:tcPr>
          <w:p w:rsidR="00070EBC" w:rsidRDefault="00070EBC">
            <w:pPr>
              <w:pStyle w:val="Obsahtabuky"/>
              <w:pBdr>
                <w:bottom w:val="single" w:sz="8" w:space="1" w:color="000000"/>
                <w:right w:val="single" w:sz="8" w:space="1" w:color="000000"/>
              </w:pBdr>
              <w:snapToGrid w:val="0"/>
              <w:spacing w:after="283" w:line="256" w:lineRule="auto"/>
            </w:pPr>
            <w:r>
              <w:t>588</w:t>
            </w:r>
          </w:p>
        </w:tc>
        <w:tc>
          <w:tcPr>
            <w:tcW w:w="1263" w:type="dxa"/>
            <w:tcBorders>
              <w:top w:val="nil"/>
              <w:left w:val="single" w:sz="8" w:space="0" w:color="808080"/>
              <w:bottom w:val="single" w:sz="8" w:space="0" w:color="808080"/>
              <w:right w:val="nil"/>
            </w:tcBorders>
            <w:vAlign w:val="center"/>
            <w:hideMark/>
          </w:tcPr>
          <w:p w:rsidR="00070EBC" w:rsidRDefault="00070EBC" w:rsidP="00D61C5E">
            <w:pPr>
              <w:pStyle w:val="Obsahtabuky"/>
              <w:pBdr>
                <w:bottom w:val="single" w:sz="8" w:space="1" w:color="000000"/>
                <w:right w:val="single" w:sz="8" w:space="1" w:color="000000"/>
              </w:pBdr>
              <w:snapToGrid w:val="0"/>
              <w:spacing w:after="283" w:line="256" w:lineRule="auto"/>
              <w:jc w:val="right"/>
            </w:pPr>
            <w:r>
              <w:t xml:space="preserve"> -21 8</w:t>
            </w:r>
            <w:r w:rsidR="00D61C5E">
              <w:t>96</w:t>
            </w:r>
            <w:r>
              <w:t>,53</w:t>
            </w:r>
          </w:p>
        </w:tc>
        <w:tc>
          <w:tcPr>
            <w:tcW w:w="1314" w:type="dxa"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vAlign w:val="center"/>
            <w:hideMark/>
          </w:tcPr>
          <w:p w:rsidR="00070EBC" w:rsidRDefault="00070EBC" w:rsidP="00D61C5E">
            <w:pPr>
              <w:pStyle w:val="Obsahtabuky"/>
              <w:pBdr>
                <w:bottom w:val="single" w:sz="8" w:space="1" w:color="000000"/>
                <w:right w:val="single" w:sz="8" w:space="1" w:color="000000"/>
              </w:pBdr>
              <w:snapToGrid w:val="0"/>
              <w:spacing w:after="283" w:line="256" w:lineRule="auto"/>
              <w:jc w:val="right"/>
            </w:pPr>
            <w:r>
              <w:t>-21 8</w:t>
            </w:r>
            <w:r w:rsidR="00D61C5E">
              <w:t>96</w:t>
            </w:r>
            <w:r>
              <w:t>,53</w:t>
            </w:r>
          </w:p>
        </w:tc>
      </w:tr>
      <w:tr w:rsidR="00070EBC" w:rsidTr="00070EBC">
        <w:trPr>
          <w:trHeight w:val="584"/>
        </w:trPr>
        <w:tc>
          <w:tcPr>
            <w:tcW w:w="5101" w:type="dxa"/>
            <w:tcBorders>
              <w:top w:val="nil"/>
              <w:left w:val="single" w:sz="8" w:space="0" w:color="808080"/>
              <w:bottom w:val="nil"/>
              <w:right w:val="nil"/>
            </w:tcBorders>
            <w:vAlign w:val="center"/>
            <w:hideMark/>
          </w:tcPr>
          <w:p w:rsidR="00070EBC" w:rsidRDefault="00070EBC">
            <w:pPr>
              <w:pStyle w:val="Obsahtabuky"/>
              <w:pBdr>
                <w:left w:val="single" w:sz="8" w:space="1" w:color="000000"/>
                <w:bottom w:val="single" w:sz="8" w:space="1" w:color="000000"/>
                <w:right w:val="single" w:sz="8" w:space="1" w:color="000000"/>
              </w:pBdr>
              <w:snapToGrid w:val="0"/>
              <w:spacing w:after="283" w:line="256" w:lineRule="auto"/>
            </w:pPr>
            <w:r>
              <w:t>Konsolidácia poplatky</w:t>
            </w:r>
          </w:p>
        </w:tc>
        <w:tc>
          <w:tcPr>
            <w:tcW w:w="1068" w:type="dxa"/>
            <w:tcBorders>
              <w:top w:val="nil"/>
              <w:left w:val="single" w:sz="8" w:space="0" w:color="808080"/>
              <w:bottom w:val="nil"/>
              <w:right w:val="nil"/>
            </w:tcBorders>
            <w:vAlign w:val="center"/>
            <w:hideMark/>
          </w:tcPr>
          <w:p w:rsidR="00070EBC" w:rsidRDefault="00070EBC">
            <w:pPr>
              <w:pStyle w:val="Obsahtabuky"/>
              <w:pBdr>
                <w:bottom w:val="single" w:sz="8" w:space="1" w:color="000000"/>
                <w:right w:val="single" w:sz="8" w:space="1" w:color="000000"/>
              </w:pBdr>
              <w:snapToGrid w:val="0"/>
              <w:spacing w:after="283" w:line="256" w:lineRule="auto"/>
            </w:pPr>
            <w:r>
              <w:t>633</w:t>
            </w:r>
          </w:p>
        </w:tc>
        <w:tc>
          <w:tcPr>
            <w:tcW w:w="932" w:type="dxa"/>
            <w:tcBorders>
              <w:top w:val="nil"/>
              <w:left w:val="single" w:sz="8" w:space="0" w:color="808080"/>
              <w:bottom w:val="nil"/>
              <w:right w:val="nil"/>
            </w:tcBorders>
            <w:vAlign w:val="center"/>
            <w:hideMark/>
          </w:tcPr>
          <w:p w:rsidR="00070EBC" w:rsidRDefault="00070EBC">
            <w:pPr>
              <w:pStyle w:val="Obsahtabuky"/>
              <w:pBdr>
                <w:bottom w:val="single" w:sz="8" w:space="1" w:color="000000"/>
                <w:right w:val="single" w:sz="8" w:space="1" w:color="000000"/>
              </w:pBdr>
              <w:snapToGrid w:val="0"/>
              <w:spacing w:after="283" w:line="256" w:lineRule="auto"/>
            </w:pPr>
            <w:r>
              <w:t>538</w:t>
            </w:r>
          </w:p>
        </w:tc>
        <w:tc>
          <w:tcPr>
            <w:tcW w:w="1263" w:type="dxa"/>
            <w:tcBorders>
              <w:top w:val="nil"/>
              <w:left w:val="single" w:sz="8" w:space="0" w:color="808080"/>
              <w:bottom w:val="nil"/>
              <w:right w:val="nil"/>
            </w:tcBorders>
            <w:vAlign w:val="center"/>
            <w:hideMark/>
          </w:tcPr>
          <w:p w:rsidR="00070EBC" w:rsidRDefault="00070EBC" w:rsidP="00070EBC">
            <w:pPr>
              <w:pStyle w:val="Obsahtabuky"/>
              <w:pBdr>
                <w:bottom w:val="single" w:sz="8" w:space="1" w:color="000000"/>
                <w:right w:val="single" w:sz="8" w:space="1" w:color="000000"/>
              </w:pBdr>
              <w:snapToGrid w:val="0"/>
              <w:spacing w:after="283" w:line="256" w:lineRule="auto"/>
              <w:jc w:val="right"/>
            </w:pPr>
            <w:r>
              <w:t>-193,60</w:t>
            </w:r>
          </w:p>
        </w:tc>
        <w:tc>
          <w:tcPr>
            <w:tcW w:w="1314" w:type="dxa"/>
            <w:tcBorders>
              <w:top w:val="nil"/>
              <w:left w:val="single" w:sz="8" w:space="0" w:color="808080"/>
              <w:bottom w:val="nil"/>
              <w:right w:val="single" w:sz="8" w:space="0" w:color="808080"/>
            </w:tcBorders>
            <w:vAlign w:val="center"/>
            <w:hideMark/>
          </w:tcPr>
          <w:p w:rsidR="00070EBC" w:rsidRDefault="00070EBC" w:rsidP="00070EBC">
            <w:pPr>
              <w:pStyle w:val="Obsahtabuky"/>
              <w:pBdr>
                <w:bottom w:val="single" w:sz="8" w:space="1" w:color="000000"/>
                <w:right w:val="single" w:sz="8" w:space="1" w:color="000000"/>
              </w:pBdr>
              <w:snapToGrid w:val="0"/>
              <w:spacing w:after="283" w:line="256" w:lineRule="auto"/>
              <w:jc w:val="right"/>
            </w:pPr>
            <w:r>
              <w:t>-193,60</w:t>
            </w:r>
          </w:p>
        </w:tc>
      </w:tr>
      <w:tr w:rsidR="00070EBC" w:rsidTr="00070EBC">
        <w:trPr>
          <w:trHeight w:val="584"/>
        </w:trPr>
        <w:tc>
          <w:tcPr>
            <w:tcW w:w="5101" w:type="dxa"/>
            <w:tcBorders>
              <w:top w:val="nil"/>
              <w:left w:val="single" w:sz="8" w:space="0" w:color="808080"/>
              <w:bottom w:val="nil"/>
              <w:right w:val="nil"/>
            </w:tcBorders>
            <w:vAlign w:val="center"/>
            <w:hideMark/>
          </w:tcPr>
          <w:p w:rsidR="00070EBC" w:rsidRDefault="00070EBC">
            <w:pPr>
              <w:pStyle w:val="Obsahtabuky"/>
              <w:pBdr>
                <w:left w:val="single" w:sz="8" w:space="1" w:color="000000"/>
                <w:bottom w:val="single" w:sz="8" w:space="1" w:color="000000"/>
                <w:right w:val="single" w:sz="8" w:space="1" w:color="000000"/>
              </w:pBdr>
              <w:snapToGrid w:val="0"/>
              <w:spacing w:after="283" w:line="256" w:lineRule="auto"/>
            </w:pPr>
            <w:r>
              <w:t>Konsolidácia nákladov a výnosov</w:t>
            </w:r>
          </w:p>
        </w:tc>
        <w:tc>
          <w:tcPr>
            <w:tcW w:w="1068" w:type="dxa"/>
            <w:tcBorders>
              <w:top w:val="nil"/>
              <w:left w:val="single" w:sz="8" w:space="0" w:color="808080"/>
              <w:bottom w:val="nil"/>
              <w:right w:val="nil"/>
            </w:tcBorders>
            <w:vAlign w:val="center"/>
            <w:hideMark/>
          </w:tcPr>
          <w:p w:rsidR="00070EBC" w:rsidRDefault="00070EBC">
            <w:pPr>
              <w:pStyle w:val="Obsahtabuky"/>
              <w:pBdr>
                <w:bottom w:val="single" w:sz="8" w:space="1" w:color="000000"/>
                <w:right w:val="single" w:sz="8" w:space="1" w:color="000000"/>
              </w:pBdr>
              <w:snapToGrid w:val="0"/>
              <w:spacing w:after="283" w:line="256" w:lineRule="auto"/>
            </w:pPr>
            <w:r>
              <w:t>602</w:t>
            </w:r>
          </w:p>
        </w:tc>
        <w:tc>
          <w:tcPr>
            <w:tcW w:w="932" w:type="dxa"/>
            <w:tcBorders>
              <w:top w:val="nil"/>
              <w:left w:val="single" w:sz="8" w:space="0" w:color="808080"/>
              <w:bottom w:val="nil"/>
              <w:right w:val="nil"/>
            </w:tcBorders>
            <w:vAlign w:val="center"/>
            <w:hideMark/>
          </w:tcPr>
          <w:p w:rsidR="00070EBC" w:rsidRDefault="00070EBC">
            <w:pPr>
              <w:pStyle w:val="Obsahtabuky"/>
              <w:pBdr>
                <w:bottom w:val="single" w:sz="8" w:space="1" w:color="000000"/>
                <w:right w:val="single" w:sz="8" w:space="1" w:color="000000"/>
              </w:pBdr>
              <w:snapToGrid w:val="0"/>
              <w:spacing w:after="283" w:line="256" w:lineRule="auto"/>
            </w:pPr>
            <w:r>
              <w:t>502</w:t>
            </w:r>
          </w:p>
        </w:tc>
        <w:tc>
          <w:tcPr>
            <w:tcW w:w="1263" w:type="dxa"/>
            <w:tcBorders>
              <w:top w:val="nil"/>
              <w:left w:val="single" w:sz="8" w:space="0" w:color="808080"/>
              <w:bottom w:val="nil"/>
              <w:right w:val="nil"/>
            </w:tcBorders>
            <w:vAlign w:val="center"/>
            <w:hideMark/>
          </w:tcPr>
          <w:p w:rsidR="00070EBC" w:rsidRDefault="00070EBC">
            <w:pPr>
              <w:pStyle w:val="Obsahtabuky"/>
              <w:pBdr>
                <w:bottom w:val="single" w:sz="8" w:space="1" w:color="000000"/>
                <w:right w:val="single" w:sz="8" w:space="1" w:color="000000"/>
              </w:pBdr>
              <w:snapToGrid w:val="0"/>
              <w:spacing w:after="283" w:line="256" w:lineRule="auto"/>
              <w:jc w:val="right"/>
            </w:pPr>
            <w:r>
              <w:t>-1 221,44</w:t>
            </w:r>
          </w:p>
        </w:tc>
        <w:tc>
          <w:tcPr>
            <w:tcW w:w="1314" w:type="dxa"/>
            <w:tcBorders>
              <w:top w:val="nil"/>
              <w:left w:val="single" w:sz="8" w:space="0" w:color="808080"/>
              <w:bottom w:val="nil"/>
              <w:right w:val="single" w:sz="8" w:space="0" w:color="808080"/>
            </w:tcBorders>
            <w:vAlign w:val="center"/>
            <w:hideMark/>
          </w:tcPr>
          <w:p w:rsidR="00070EBC" w:rsidRDefault="00070EBC" w:rsidP="00070EBC">
            <w:pPr>
              <w:pStyle w:val="Obsahtabuky"/>
              <w:pBdr>
                <w:bottom w:val="single" w:sz="8" w:space="1" w:color="000000"/>
                <w:right w:val="single" w:sz="8" w:space="1" w:color="000000"/>
              </w:pBdr>
              <w:snapToGrid w:val="0"/>
              <w:spacing w:after="283" w:line="256" w:lineRule="auto"/>
              <w:jc w:val="right"/>
            </w:pPr>
            <w:r>
              <w:t>-1 221,44</w:t>
            </w:r>
          </w:p>
        </w:tc>
      </w:tr>
    </w:tbl>
    <w:p w:rsidR="00070EBC" w:rsidRDefault="00070EBC" w:rsidP="00070EBC">
      <w:pPr>
        <w:spacing w:line="360" w:lineRule="auto"/>
        <w:jc w:val="both"/>
      </w:pPr>
    </w:p>
    <w:p w:rsidR="00070EBC" w:rsidRDefault="00070EBC" w:rsidP="00070EBC">
      <w:pPr>
        <w:spacing w:line="36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Metóda úplnej konsolidácie bola použitá pri dcérskych účtovných jednotkách.</w:t>
      </w:r>
    </w:p>
    <w:p w:rsidR="00070EBC" w:rsidRDefault="00070EBC" w:rsidP="00070EBC">
      <w:pPr>
        <w:spacing w:line="360" w:lineRule="auto"/>
        <w:jc w:val="both"/>
        <w:rPr>
          <w:rFonts w:ascii="Arial" w:hAnsi="Arial" w:cs="Arial"/>
          <w:b/>
          <w:i/>
          <w:sz w:val="24"/>
          <w:szCs w:val="24"/>
        </w:rPr>
      </w:pPr>
    </w:p>
    <w:p w:rsidR="00070EBC" w:rsidRDefault="00070EBC" w:rsidP="00070EBC">
      <w:pPr>
        <w:autoSpaceDE w:val="0"/>
        <w:spacing w:line="360" w:lineRule="auto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Moment prvej konsolidácie kapitálu :</w:t>
      </w:r>
    </w:p>
    <w:p w:rsidR="00070EBC" w:rsidRDefault="00070EBC" w:rsidP="00070EBC">
      <w:pPr>
        <w:numPr>
          <w:ilvl w:val="0"/>
          <w:numId w:val="3"/>
        </w:numPr>
        <w:tabs>
          <w:tab w:val="left" w:pos="644"/>
        </w:tabs>
        <w:autoSpaceDE w:val="0"/>
        <w:spacing w:line="360" w:lineRule="auto"/>
        <w:ind w:left="644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Pri  rozpočtových organizáciách je to deň ich zriadenia. </w:t>
      </w:r>
    </w:p>
    <w:p w:rsidR="00070EBC" w:rsidRDefault="00070EBC" w:rsidP="00070EBC">
      <w:pPr>
        <w:numPr>
          <w:ilvl w:val="0"/>
          <w:numId w:val="3"/>
        </w:numPr>
        <w:tabs>
          <w:tab w:val="left" w:pos="644"/>
        </w:tabs>
        <w:autoSpaceDE w:val="0"/>
        <w:spacing w:line="360" w:lineRule="auto"/>
        <w:ind w:left="644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Pri  príspevkových  organizáciách je to deň ich zriadenia. </w:t>
      </w:r>
    </w:p>
    <w:p w:rsidR="00070EBC" w:rsidRDefault="00070EBC" w:rsidP="00070EBC">
      <w:pPr>
        <w:numPr>
          <w:ilvl w:val="0"/>
          <w:numId w:val="3"/>
        </w:numPr>
        <w:tabs>
          <w:tab w:val="left" w:pos="644"/>
        </w:tabs>
        <w:autoSpaceDE w:val="0"/>
        <w:spacing w:line="360" w:lineRule="auto"/>
        <w:ind w:left="644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Pri obchodných spoločnostiach je to deň obstarania podielov.</w:t>
      </w:r>
    </w:p>
    <w:p w:rsidR="00070EBC" w:rsidRDefault="00070EBC" w:rsidP="00070EBC">
      <w:pPr>
        <w:spacing w:line="360" w:lineRule="auto"/>
        <w:jc w:val="both"/>
        <w:rPr>
          <w:rFonts w:ascii="Arial" w:hAnsi="Arial" w:cs="Arial"/>
          <w:sz w:val="24"/>
          <w:szCs w:val="24"/>
        </w:rPr>
      </w:pPr>
    </w:p>
    <w:p w:rsidR="00070EBC" w:rsidRDefault="00070EBC" w:rsidP="00070EBC">
      <w:pPr>
        <w:spacing w:line="360" w:lineRule="auto"/>
        <w:jc w:val="both"/>
        <w:rPr>
          <w:rFonts w:ascii="Arial" w:hAnsi="Arial" w:cs="Arial"/>
          <w:b/>
          <w:i/>
          <w:sz w:val="24"/>
          <w:szCs w:val="24"/>
        </w:rPr>
      </w:pPr>
      <w:r>
        <w:rPr>
          <w:rFonts w:ascii="Arial" w:hAnsi="Arial" w:cs="Arial"/>
          <w:b/>
          <w:i/>
          <w:sz w:val="24"/>
          <w:szCs w:val="24"/>
        </w:rPr>
        <w:t>Informácie o </w:t>
      </w:r>
      <w:proofErr w:type="spellStart"/>
      <w:r>
        <w:rPr>
          <w:rFonts w:ascii="Arial" w:hAnsi="Arial" w:cs="Arial"/>
          <w:b/>
          <w:i/>
          <w:sz w:val="24"/>
          <w:szCs w:val="24"/>
        </w:rPr>
        <w:t>goodwille</w:t>
      </w:r>
      <w:proofErr w:type="spellEnd"/>
    </w:p>
    <w:p w:rsidR="00070EBC" w:rsidRDefault="00070EBC" w:rsidP="00070EBC">
      <w:pPr>
        <w:numPr>
          <w:ilvl w:val="0"/>
          <w:numId w:val="4"/>
        </w:numPr>
        <w:tabs>
          <w:tab w:val="left" w:pos="644"/>
        </w:tabs>
        <w:spacing w:line="360" w:lineRule="auto"/>
        <w:ind w:left="644"/>
        <w:jc w:val="both"/>
        <w:rPr>
          <w:rFonts w:ascii="Arial" w:hAnsi="Arial" w:cs="Arial"/>
          <w:sz w:val="24"/>
          <w:szCs w:val="24"/>
        </w:rPr>
      </w:pPr>
      <w:proofErr w:type="spellStart"/>
      <w:r>
        <w:rPr>
          <w:rFonts w:ascii="Arial" w:hAnsi="Arial" w:cs="Arial"/>
          <w:sz w:val="24"/>
          <w:szCs w:val="24"/>
        </w:rPr>
        <w:t>Goodwill</w:t>
      </w:r>
      <w:proofErr w:type="spellEnd"/>
      <w:r>
        <w:rPr>
          <w:rFonts w:ascii="Arial" w:hAnsi="Arial" w:cs="Arial"/>
          <w:sz w:val="24"/>
          <w:szCs w:val="24"/>
        </w:rPr>
        <w:t xml:space="preserve"> nevzniká pri konsolidovanej účtovnej  jednotke, ktorou je rozpočtová organizácia.</w:t>
      </w:r>
    </w:p>
    <w:p w:rsidR="00070EBC" w:rsidRDefault="00070EBC" w:rsidP="00070EBC">
      <w:pPr>
        <w:tabs>
          <w:tab w:val="left" w:pos="2084"/>
        </w:tabs>
        <w:spacing w:line="360" w:lineRule="auto"/>
        <w:ind w:left="644"/>
        <w:jc w:val="both"/>
      </w:pPr>
    </w:p>
    <w:p w:rsidR="00070EBC" w:rsidRDefault="00070EBC" w:rsidP="00070EBC">
      <w:pPr>
        <w:spacing w:line="360" w:lineRule="auto"/>
        <w:jc w:val="both"/>
        <w:rPr>
          <w:rFonts w:ascii="Arial" w:hAnsi="Arial" w:cs="Arial"/>
          <w:sz w:val="24"/>
          <w:szCs w:val="24"/>
        </w:rPr>
      </w:pPr>
    </w:p>
    <w:p w:rsidR="00070EBC" w:rsidRDefault="00070EBC" w:rsidP="00070EBC">
      <w:pPr>
        <w:spacing w:line="360" w:lineRule="auto"/>
        <w:jc w:val="both"/>
        <w:rPr>
          <w:rFonts w:ascii="Arial" w:hAnsi="Arial" w:cs="Arial"/>
          <w:sz w:val="24"/>
          <w:szCs w:val="24"/>
        </w:rPr>
      </w:pPr>
    </w:p>
    <w:p w:rsidR="00070EBC" w:rsidRDefault="00070EBC" w:rsidP="00070EBC">
      <w:pPr>
        <w:spacing w:line="360" w:lineRule="auto"/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Čl. III</w:t>
      </w:r>
    </w:p>
    <w:p w:rsidR="00070EBC" w:rsidRDefault="00070EBC" w:rsidP="00070EBC">
      <w:pPr>
        <w:spacing w:line="360" w:lineRule="auto"/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Informácie o údajoch aktív a pasív</w:t>
      </w:r>
    </w:p>
    <w:p w:rsidR="00070EBC" w:rsidRDefault="00070EBC" w:rsidP="00070EBC">
      <w:pPr>
        <w:spacing w:line="360" w:lineRule="auto"/>
        <w:rPr>
          <w:rFonts w:ascii="Arial" w:hAnsi="Arial" w:cs="Arial"/>
          <w:sz w:val="24"/>
          <w:szCs w:val="24"/>
        </w:rPr>
      </w:pPr>
    </w:p>
    <w:p w:rsidR="00070EBC" w:rsidRDefault="00070EBC" w:rsidP="00070EBC">
      <w:pPr>
        <w:spacing w:line="36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Popis údajov vyplnených v prehľade pohybov dlhodobého nehmotného a dlhodobého hmotného majetku  (viď. priložené tabuľky) č.2</w:t>
      </w:r>
    </w:p>
    <w:p w:rsidR="00070EBC" w:rsidRDefault="00070EBC" w:rsidP="00070EBC">
      <w:pPr>
        <w:numPr>
          <w:ilvl w:val="0"/>
          <w:numId w:val="5"/>
        </w:numPr>
        <w:tabs>
          <w:tab w:val="left" w:pos="1440"/>
        </w:tabs>
        <w:spacing w:line="36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Bezprostredne predchádzajúce účtovné obdobie sa chápe k 31.12.2019</w:t>
      </w:r>
    </w:p>
    <w:p w:rsidR="00070EBC" w:rsidRDefault="00070EBC" w:rsidP="00070EBC">
      <w:pPr>
        <w:numPr>
          <w:ilvl w:val="0"/>
          <w:numId w:val="5"/>
        </w:numPr>
        <w:tabs>
          <w:tab w:val="left" w:pos="1440"/>
        </w:tabs>
        <w:spacing w:line="36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Bežné účtovné obdobie sa vykazuje k 31.12.2020</w:t>
      </w:r>
    </w:p>
    <w:p w:rsidR="00070EBC" w:rsidRDefault="00070EBC" w:rsidP="00070EBC">
      <w:pPr>
        <w:numPr>
          <w:ilvl w:val="0"/>
          <w:numId w:val="5"/>
        </w:numPr>
        <w:tabs>
          <w:tab w:val="left" w:pos="1440"/>
        </w:tabs>
        <w:spacing w:line="36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Prírastok je prvotné vykázanie obstarania dlhodobého nehmotného a dlhodobého hmotného majetku akoukoľvek formou, zvýšenie aktív (zaradenie stavieb po kolaudácii)</w:t>
      </w:r>
    </w:p>
    <w:p w:rsidR="00070EBC" w:rsidRDefault="00070EBC" w:rsidP="00070EBC">
      <w:pPr>
        <w:numPr>
          <w:ilvl w:val="0"/>
          <w:numId w:val="5"/>
        </w:numPr>
        <w:tabs>
          <w:tab w:val="left" w:pos="1440"/>
        </w:tabs>
        <w:spacing w:line="36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Úbytok je vykázanie zníženia aktív (vyradenie)</w:t>
      </w:r>
    </w:p>
    <w:p w:rsidR="00070EBC" w:rsidRDefault="00070EBC" w:rsidP="00070EBC">
      <w:pPr>
        <w:numPr>
          <w:ilvl w:val="0"/>
          <w:numId w:val="5"/>
        </w:numPr>
        <w:tabs>
          <w:tab w:val="left" w:pos="1440"/>
        </w:tabs>
        <w:spacing w:line="36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Presun je vykázanie zmeny hodnoty niektorej položky bez zmeny celkovej hodnoty aktív ( v roku 2020 neboli presuny medzi jednotlivým druhom majetku)</w:t>
      </w:r>
    </w:p>
    <w:p w:rsidR="00070EBC" w:rsidRDefault="00070EBC" w:rsidP="00070EBC">
      <w:pPr>
        <w:spacing w:line="360" w:lineRule="auto"/>
        <w:rPr>
          <w:rFonts w:ascii="Arial" w:hAnsi="Arial" w:cs="Arial"/>
          <w:sz w:val="24"/>
          <w:szCs w:val="24"/>
        </w:rPr>
      </w:pPr>
    </w:p>
    <w:p w:rsidR="00070EBC" w:rsidRDefault="00070EBC" w:rsidP="00070EBC">
      <w:pPr>
        <w:spacing w:line="36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Popis významných informácií o aktívach a pasívach </w:t>
      </w:r>
    </w:p>
    <w:p w:rsidR="00070EBC" w:rsidRDefault="00070EBC" w:rsidP="00070EBC">
      <w:pPr>
        <w:spacing w:line="360" w:lineRule="auto"/>
        <w:rPr>
          <w:rFonts w:ascii="Arial" w:hAnsi="Arial" w:cs="Arial"/>
          <w:i/>
          <w:color w:val="0070C0"/>
          <w:sz w:val="24"/>
          <w:szCs w:val="24"/>
        </w:rPr>
      </w:pPr>
    </w:p>
    <w:p w:rsidR="00070EBC" w:rsidRDefault="00070EBC" w:rsidP="00070EBC">
      <w:pPr>
        <w:numPr>
          <w:ilvl w:val="0"/>
          <w:numId w:val="6"/>
        </w:numPr>
        <w:tabs>
          <w:tab w:val="left" w:pos="1068"/>
        </w:tabs>
        <w:spacing w:line="36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Konsolidovaný celok obce Hontianske Nemce </w:t>
      </w:r>
      <w:r>
        <w:rPr>
          <w:rFonts w:ascii="Arial" w:hAnsi="Arial" w:cs="Arial"/>
          <w:color w:val="0070C0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zahŕňa 1</w:t>
      </w:r>
      <w:r>
        <w:rPr>
          <w:rFonts w:ascii="Arial" w:hAnsi="Arial" w:cs="Arial"/>
          <w:color w:val="0070C0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rozpočtovú organizáciu </w:t>
      </w:r>
    </w:p>
    <w:p w:rsidR="00070EBC" w:rsidRDefault="00070EBC" w:rsidP="00070EBC">
      <w:pPr>
        <w:numPr>
          <w:ilvl w:val="1"/>
          <w:numId w:val="7"/>
        </w:numPr>
        <w:tabs>
          <w:tab w:val="left" w:pos="1080"/>
        </w:tabs>
        <w:spacing w:line="360" w:lineRule="auto"/>
        <w:ind w:left="1080"/>
        <w:jc w:val="both"/>
        <w:rPr>
          <w:rFonts w:ascii="Arial" w:hAnsi="Arial" w:cs="Arial"/>
          <w:i/>
          <w:color w:val="0070C0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Rezervy sa v konsolidovanom celku tvorili v rámci hlavnej činnosti konkrétne hodnoty sa nachádzajú v priloženom  prehľade o pohybe rezerv; najvýznamnejšia tvorba bola rezerva na audítorsk</w:t>
      </w:r>
      <w:r w:rsidR="00782630">
        <w:rPr>
          <w:rFonts w:ascii="Arial" w:hAnsi="Arial" w:cs="Arial"/>
          <w:sz w:val="24"/>
          <w:szCs w:val="24"/>
        </w:rPr>
        <w:t>é služby. RO ZŠ s MŠ v roku 2020</w:t>
      </w:r>
      <w:r>
        <w:rPr>
          <w:rFonts w:ascii="Arial" w:hAnsi="Arial" w:cs="Arial"/>
          <w:sz w:val="24"/>
          <w:szCs w:val="24"/>
        </w:rPr>
        <w:t xml:space="preserve"> rezervy netvorila.</w:t>
      </w:r>
      <w:r>
        <w:rPr>
          <w:rFonts w:ascii="Arial" w:hAnsi="Arial" w:cs="Arial"/>
          <w:i/>
          <w:color w:val="0070C0"/>
          <w:sz w:val="24"/>
          <w:szCs w:val="24"/>
        </w:rPr>
        <w:t xml:space="preserve"> </w:t>
      </w:r>
      <w:r>
        <w:rPr>
          <w:rFonts w:ascii="Arial" w:hAnsi="Arial" w:cs="Arial"/>
          <w:i/>
          <w:sz w:val="24"/>
          <w:szCs w:val="24"/>
        </w:rPr>
        <w:t>Tab.č.14</w:t>
      </w:r>
    </w:p>
    <w:p w:rsidR="00070EBC" w:rsidRDefault="00070EBC" w:rsidP="00070EBC">
      <w:pPr>
        <w:spacing w:line="360" w:lineRule="auto"/>
        <w:ind w:left="1080"/>
        <w:jc w:val="both"/>
        <w:rPr>
          <w:rFonts w:ascii="Arial" w:hAnsi="Arial" w:cs="Arial"/>
          <w:i/>
          <w:color w:val="0070C0"/>
          <w:sz w:val="24"/>
          <w:szCs w:val="24"/>
        </w:rPr>
      </w:pPr>
    </w:p>
    <w:p w:rsidR="00070EBC" w:rsidRDefault="00070EBC" w:rsidP="00070EBC">
      <w:pPr>
        <w:numPr>
          <w:ilvl w:val="1"/>
          <w:numId w:val="7"/>
        </w:numPr>
        <w:tabs>
          <w:tab w:val="left" w:pos="1080"/>
        </w:tabs>
        <w:spacing w:line="360" w:lineRule="auto"/>
        <w:ind w:left="108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Prehľad o pohybe dlhodobého majetku sa nachádza v priloženom tabuľkovom formulári a vysvetľuje položky súvahy – aktív. Najvýznamnejší prírastok dlhodobého majetku bol vykázaný v konsolidovanej účtovnej jednotke na obci Najvýznamnejší úbytok dlhodobého majetku bol vykázaný v konsolidovanej účtovnej jednotke tiež na obci. Tab. č.2</w:t>
      </w:r>
    </w:p>
    <w:p w:rsidR="00070EBC" w:rsidRDefault="00070EBC" w:rsidP="00070EBC">
      <w:pPr>
        <w:spacing w:line="360" w:lineRule="auto"/>
        <w:ind w:left="1080"/>
        <w:jc w:val="both"/>
        <w:rPr>
          <w:rFonts w:ascii="Arial" w:hAnsi="Arial" w:cs="Arial"/>
          <w:sz w:val="24"/>
          <w:szCs w:val="24"/>
        </w:rPr>
      </w:pPr>
    </w:p>
    <w:p w:rsidR="00070EBC" w:rsidRDefault="00070EBC" w:rsidP="00070EBC">
      <w:pPr>
        <w:numPr>
          <w:ilvl w:val="1"/>
          <w:numId w:val="7"/>
        </w:numPr>
        <w:tabs>
          <w:tab w:val="left" w:pos="1080"/>
        </w:tabs>
        <w:spacing w:line="360" w:lineRule="auto"/>
        <w:ind w:left="108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V rámci dlhodobého finančného  majetku vykazuje konsolidovaný celok Obec Hontianske Nemce </w:t>
      </w:r>
      <w:r>
        <w:rPr>
          <w:rFonts w:ascii="Arial" w:hAnsi="Arial" w:cs="Arial"/>
          <w:color w:val="0070C0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realizované cenné papiere a podiely v  hodnote</w:t>
      </w:r>
      <w:r>
        <w:rPr>
          <w:rFonts w:ascii="Arial" w:hAnsi="Arial" w:cs="Arial"/>
          <w:color w:val="0070C0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326 506  €. tab. č.4</w:t>
      </w:r>
    </w:p>
    <w:p w:rsidR="00070EBC" w:rsidRDefault="00070EBC" w:rsidP="00070EBC">
      <w:pPr>
        <w:spacing w:line="360" w:lineRule="auto"/>
        <w:ind w:left="1080"/>
        <w:jc w:val="both"/>
        <w:rPr>
          <w:rFonts w:ascii="Arial" w:hAnsi="Arial" w:cs="Arial"/>
          <w:i/>
          <w:color w:val="0070C0"/>
          <w:sz w:val="24"/>
          <w:szCs w:val="24"/>
        </w:rPr>
      </w:pPr>
    </w:p>
    <w:p w:rsidR="00070EBC" w:rsidRDefault="00070EBC" w:rsidP="00070EBC">
      <w:pPr>
        <w:pStyle w:val="Odsekzoznamu"/>
        <w:numPr>
          <w:ilvl w:val="1"/>
          <w:numId w:val="8"/>
        </w:numPr>
        <w:tabs>
          <w:tab w:val="left" w:pos="1080"/>
        </w:tabs>
        <w:spacing w:line="36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lastRenderedPageBreak/>
        <w:t>Konsolidovaný celok vytvoril opravné položky u konsolidovanej účtovnej jednotky-Obec Hontianske Nemce  tab.č.8</w:t>
      </w:r>
    </w:p>
    <w:p w:rsidR="00070EBC" w:rsidRDefault="00070EBC" w:rsidP="00070EBC">
      <w:pPr>
        <w:spacing w:line="360" w:lineRule="auto"/>
        <w:jc w:val="both"/>
        <w:rPr>
          <w:rFonts w:ascii="Arial" w:hAnsi="Arial" w:cs="Arial"/>
          <w:sz w:val="24"/>
          <w:szCs w:val="24"/>
        </w:rPr>
      </w:pPr>
    </w:p>
    <w:p w:rsidR="00070EBC" w:rsidRDefault="00070EBC" w:rsidP="00070EBC">
      <w:pPr>
        <w:spacing w:line="360" w:lineRule="auto"/>
        <w:ind w:left="135"/>
        <w:jc w:val="both"/>
        <w:rPr>
          <w:rFonts w:ascii="Arial" w:hAnsi="Arial" w:cs="Arial"/>
          <w:sz w:val="24"/>
          <w:szCs w:val="24"/>
        </w:rPr>
      </w:pPr>
    </w:p>
    <w:p w:rsidR="00070EBC" w:rsidRDefault="00070EBC" w:rsidP="00070EBC">
      <w:pPr>
        <w:pStyle w:val="Odsekzoznamu"/>
        <w:numPr>
          <w:ilvl w:val="0"/>
          <w:numId w:val="8"/>
        </w:numPr>
        <w:tabs>
          <w:tab w:val="left" w:pos="1080"/>
        </w:tabs>
        <w:spacing w:line="36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Konsolidovaný celok nevykazuje dlhodobé  pohľadávky.</w:t>
      </w:r>
    </w:p>
    <w:p w:rsidR="00070EBC" w:rsidRDefault="00070EBC" w:rsidP="00070EBC">
      <w:pPr>
        <w:spacing w:line="360" w:lineRule="auto"/>
        <w:ind w:left="1080"/>
        <w:jc w:val="both"/>
        <w:rPr>
          <w:rFonts w:ascii="Arial" w:hAnsi="Arial" w:cs="Arial"/>
          <w:i/>
          <w:color w:val="0070C0"/>
          <w:sz w:val="24"/>
          <w:szCs w:val="24"/>
        </w:rPr>
      </w:pPr>
    </w:p>
    <w:p w:rsidR="00070EBC" w:rsidRDefault="00070EBC" w:rsidP="00070EBC">
      <w:pPr>
        <w:pStyle w:val="Odsekzoznamu"/>
        <w:numPr>
          <w:ilvl w:val="0"/>
          <w:numId w:val="8"/>
        </w:numPr>
        <w:tabs>
          <w:tab w:val="left" w:pos="1080"/>
        </w:tabs>
        <w:spacing w:line="36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Konsolidovaný celok vykazuje krátkodobé  pohľadávky vo výške 31 588,38  €, ktoré sa týkajú týchto druhov ekonomických transakcií: daň z nehnuteľností, nájomné, daň za psa, poplatok za komunálny odpad, vodné, Spoločná obecná úradovňa. Najväčší podiel na vykázaných krátkodobých pohľadávkach má</w:t>
      </w:r>
      <w:r>
        <w:rPr>
          <w:rFonts w:ascii="Arial" w:hAnsi="Arial" w:cs="Arial"/>
          <w:color w:val="0070C0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Obec Hont. Nemce – </w:t>
      </w:r>
      <w:r w:rsidR="00782630">
        <w:rPr>
          <w:rFonts w:ascii="Arial" w:hAnsi="Arial" w:cs="Arial"/>
          <w:sz w:val="24"/>
          <w:szCs w:val="24"/>
        </w:rPr>
        <w:t>95,57</w:t>
      </w:r>
      <w:r>
        <w:rPr>
          <w:rFonts w:ascii="Arial" w:hAnsi="Arial" w:cs="Arial"/>
          <w:sz w:val="24"/>
          <w:szCs w:val="24"/>
        </w:rPr>
        <w:t xml:space="preserve"> %. RO ZŠ s MŠ vykazuje krátkodobé pohľadávky vo výške 1 400 EUR , </w:t>
      </w:r>
      <w:proofErr w:type="spellStart"/>
      <w:r>
        <w:rPr>
          <w:rFonts w:ascii="Arial" w:hAnsi="Arial" w:cs="Arial"/>
          <w:sz w:val="24"/>
          <w:szCs w:val="24"/>
        </w:rPr>
        <w:t>t.j</w:t>
      </w:r>
      <w:proofErr w:type="spellEnd"/>
      <w:r>
        <w:rPr>
          <w:rFonts w:ascii="Arial" w:hAnsi="Arial" w:cs="Arial"/>
          <w:sz w:val="24"/>
          <w:szCs w:val="24"/>
        </w:rPr>
        <w:t xml:space="preserve"> podiel 4,43  %  Tab.č.9</w:t>
      </w:r>
    </w:p>
    <w:p w:rsidR="00070EBC" w:rsidRDefault="00070EBC" w:rsidP="00070EBC">
      <w:pPr>
        <w:spacing w:line="360" w:lineRule="auto"/>
        <w:jc w:val="both"/>
        <w:rPr>
          <w:rFonts w:ascii="Arial" w:hAnsi="Arial" w:cs="Arial"/>
          <w:sz w:val="24"/>
          <w:szCs w:val="24"/>
        </w:rPr>
      </w:pPr>
    </w:p>
    <w:p w:rsidR="00070EBC" w:rsidRDefault="00070EBC" w:rsidP="00070EBC">
      <w:pPr>
        <w:pStyle w:val="Odsekzoznamu"/>
        <w:numPr>
          <w:ilvl w:val="0"/>
          <w:numId w:val="8"/>
        </w:numPr>
        <w:tabs>
          <w:tab w:val="left" w:pos="1080"/>
        </w:tabs>
        <w:spacing w:line="36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Konsolidovaný celok vykazuje dlhodobé  záväzky vo výške 526 059,89 €, ktoré sa týkajú týchto druhov ekonomických transakcií: úvery zo ŠFRB, ktoré boli použité na výstavbu bytového domu č.494 a nadstavby budovy-byty č.167,záväzky z finančného prenájmu-nákup traktora a záväzky zo sociálneho fondu, dodávateľský úver na rekonštrukciu verejného osvetlenia v obci,</w:t>
      </w:r>
      <w:r>
        <w:rPr>
          <w:rFonts w:ascii="Arial" w:hAnsi="Arial" w:cs="Arial"/>
          <w:color w:val="0070C0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zábezpeka na prenajaté byty .Najväčší podiel na vykázaných dlhodobých záväzkoch má</w:t>
      </w:r>
      <w:r>
        <w:rPr>
          <w:rFonts w:ascii="Arial" w:hAnsi="Arial" w:cs="Arial"/>
          <w:color w:val="0070C0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obec </w:t>
      </w:r>
      <w:proofErr w:type="spellStart"/>
      <w:r>
        <w:rPr>
          <w:rFonts w:ascii="Arial" w:hAnsi="Arial" w:cs="Arial"/>
          <w:sz w:val="24"/>
          <w:szCs w:val="24"/>
        </w:rPr>
        <w:t>Hont.Nemce</w:t>
      </w:r>
      <w:proofErr w:type="spellEnd"/>
      <w:r>
        <w:rPr>
          <w:rFonts w:ascii="Arial" w:hAnsi="Arial" w:cs="Arial"/>
          <w:sz w:val="24"/>
          <w:szCs w:val="24"/>
        </w:rPr>
        <w:t xml:space="preserve"> – 99,</w:t>
      </w:r>
      <w:r w:rsidR="000467EE">
        <w:rPr>
          <w:rFonts w:ascii="Arial" w:hAnsi="Arial" w:cs="Arial"/>
          <w:sz w:val="24"/>
          <w:szCs w:val="24"/>
        </w:rPr>
        <w:t xml:space="preserve">79 </w:t>
      </w:r>
      <w:r>
        <w:rPr>
          <w:rFonts w:ascii="Arial" w:hAnsi="Arial" w:cs="Arial"/>
          <w:sz w:val="24"/>
          <w:szCs w:val="24"/>
        </w:rPr>
        <w:t>%. RO ZŠ s MŠ vykazuje dlhodobé záväzky len zo sociálneho fondu – 0,</w:t>
      </w:r>
      <w:r w:rsidR="00782630">
        <w:rPr>
          <w:rFonts w:ascii="Arial" w:hAnsi="Arial" w:cs="Arial"/>
          <w:sz w:val="24"/>
          <w:szCs w:val="24"/>
        </w:rPr>
        <w:t>21</w:t>
      </w:r>
      <w:r w:rsidR="000467EE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 %. Tab.č.15</w:t>
      </w:r>
    </w:p>
    <w:p w:rsidR="00070EBC" w:rsidRDefault="00070EBC" w:rsidP="00070EBC">
      <w:pPr>
        <w:spacing w:line="360" w:lineRule="auto"/>
        <w:ind w:left="1080"/>
        <w:jc w:val="both"/>
        <w:rPr>
          <w:rFonts w:ascii="Arial" w:hAnsi="Arial" w:cs="Arial"/>
          <w:i/>
          <w:color w:val="0070C0"/>
          <w:sz w:val="24"/>
          <w:szCs w:val="24"/>
        </w:rPr>
      </w:pPr>
    </w:p>
    <w:p w:rsidR="00070EBC" w:rsidRDefault="00070EBC" w:rsidP="00070EBC">
      <w:pPr>
        <w:pStyle w:val="Odsekzoznamu"/>
        <w:numPr>
          <w:ilvl w:val="0"/>
          <w:numId w:val="8"/>
        </w:numPr>
        <w:tabs>
          <w:tab w:val="left" w:pos="1080"/>
        </w:tabs>
        <w:spacing w:line="36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Konsolidovaný celok vykazuje krátkodobé  záväzky vo výške  </w:t>
      </w:r>
      <w:r w:rsidR="00782630">
        <w:rPr>
          <w:rFonts w:ascii="Arial" w:hAnsi="Arial" w:cs="Arial"/>
          <w:sz w:val="24"/>
          <w:szCs w:val="24"/>
        </w:rPr>
        <w:t>139 360,04</w:t>
      </w:r>
      <w:r>
        <w:rPr>
          <w:rFonts w:ascii="Arial" w:hAnsi="Arial" w:cs="Arial"/>
          <w:sz w:val="24"/>
          <w:szCs w:val="24"/>
        </w:rPr>
        <w:t xml:space="preserve"> €, ktoré sa týkajú týchto druhov ekonomických transakcií: neuhradené faktúry dodávateľom, záväzky voči zamestnancom, záväzky voči poisťovniam /odvody/, krátkodobé záväzky ŠFRB, finančný prenájom, odvody dane z príjmov .   Podiel na vykázaných krátkodobých záväzkoch má Obec Hontianske Nemce   </w:t>
      </w:r>
      <w:r w:rsidR="00782630">
        <w:rPr>
          <w:rFonts w:ascii="Arial" w:hAnsi="Arial" w:cs="Arial"/>
          <w:sz w:val="24"/>
          <w:szCs w:val="24"/>
        </w:rPr>
        <w:t>48,79</w:t>
      </w:r>
      <w:r>
        <w:rPr>
          <w:rFonts w:ascii="Arial" w:hAnsi="Arial" w:cs="Arial"/>
          <w:sz w:val="24"/>
          <w:szCs w:val="24"/>
        </w:rPr>
        <w:t xml:space="preserve"> %  a  Základná škola s materskou školou Hontianske Nemce  </w:t>
      </w:r>
      <w:r w:rsidR="00782630">
        <w:rPr>
          <w:rFonts w:ascii="Arial" w:hAnsi="Arial" w:cs="Arial"/>
          <w:sz w:val="24"/>
          <w:szCs w:val="24"/>
        </w:rPr>
        <w:t>51,21</w:t>
      </w:r>
      <w:r>
        <w:rPr>
          <w:rFonts w:ascii="Arial" w:hAnsi="Arial" w:cs="Arial"/>
          <w:sz w:val="24"/>
          <w:szCs w:val="24"/>
        </w:rPr>
        <w:t xml:space="preserve"> %</w:t>
      </w:r>
    </w:p>
    <w:p w:rsidR="00070EBC" w:rsidRDefault="00070EBC" w:rsidP="00070EBC">
      <w:pPr>
        <w:spacing w:line="360" w:lineRule="auto"/>
        <w:ind w:left="1080"/>
        <w:jc w:val="both"/>
        <w:rPr>
          <w:rFonts w:ascii="Arial" w:hAnsi="Arial" w:cs="Arial"/>
          <w:sz w:val="24"/>
          <w:szCs w:val="24"/>
        </w:rPr>
      </w:pPr>
    </w:p>
    <w:p w:rsidR="00070EBC" w:rsidRDefault="00070EBC" w:rsidP="00070EBC">
      <w:pPr>
        <w:pStyle w:val="Odsekzoznamu"/>
        <w:numPr>
          <w:ilvl w:val="0"/>
          <w:numId w:val="8"/>
        </w:numPr>
        <w:tabs>
          <w:tab w:val="left" w:pos="1080"/>
        </w:tabs>
        <w:spacing w:line="360" w:lineRule="auto"/>
        <w:jc w:val="both"/>
        <w:rPr>
          <w:rFonts w:ascii="Arial" w:hAnsi="Arial" w:cs="Arial"/>
          <w:i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Konsolidovaný celok nevykazuje záväzky po lehote splatnosti.</w:t>
      </w:r>
      <w:r>
        <w:rPr>
          <w:rFonts w:ascii="Arial" w:hAnsi="Arial" w:cs="Arial"/>
          <w:i/>
          <w:color w:val="0070C0"/>
          <w:sz w:val="24"/>
          <w:szCs w:val="24"/>
        </w:rPr>
        <w:t xml:space="preserve"> </w:t>
      </w:r>
      <w:r>
        <w:rPr>
          <w:rFonts w:ascii="Arial" w:hAnsi="Arial" w:cs="Arial"/>
          <w:i/>
          <w:sz w:val="24"/>
          <w:szCs w:val="24"/>
        </w:rPr>
        <w:t xml:space="preserve"> </w:t>
      </w:r>
    </w:p>
    <w:p w:rsidR="00070EBC" w:rsidRDefault="00070EBC" w:rsidP="00070EBC">
      <w:pPr>
        <w:spacing w:line="360" w:lineRule="auto"/>
        <w:jc w:val="both"/>
        <w:rPr>
          <w:rFonts w:ascii="Arial" w:hAnsi="Arial" w:cs="Arial"/>
          <w:sz w:val="24"/>
          <w:szCs w:val="24"/>
        </w:rPr>
      </w:pPr>
    </w:p>
    <w:p w:rsidR="00070EBC" w:rsidRDefault="00070EBC" w:rsidP="00070EBC">
      <w:pPr>
        <w:pStyle w:val="Odsekzoznamu"/>
        <w:numPr>
          <w:ilvl w:val="0"/>
          <w:numId w:val="8"/>
        </w:numPr>
        <w:spacing w:line="36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V Hontianskych Nemciach </w:t>
      </w:r>
      <w:r w:rsidR="00782630">
        <w:rPr>
          <w:rFonts w:ascii="Arial" w:hAnsi="Arial" w:cs="Arial"/>
          <w:sz w:val="24"/>
          <w:szCs w:val="24"/>
        </w:rPr>
        <w:t>1</w:t>
      </w:r>
      <w:r w:rsidR="00DA5FBF">
        <w:rPr>
          <w:rFonts w:ascii="Arial" w:hAnsi="Arial" w:cs="Arial"/>
          <w:sz w:val="24"/>
          <w:szCs w:val="24"/>
        </w:rPr>
        <w:t>1</w:t>
      </w:r>
      <w:bookmarkStart w:id="0" w:name="_GoBack"/>
      <w:bookmarkEnd w:id="0"/>
      <w:r w:rsidR="00782630">
        <w:rPr>
          <w:rFonts w:ascii="Arial" w:hAnsi="Arial" w:cs="Arial"/>
          <w:sz w:val="24"/>
          <w:szCs w:val="24"/>
        </w:rPr>
        <w:t>.06.2021</w:t>
      </w:r>
    </w:p>
    <w:p w:rsidR="00070EBC" w:rsidRDefault="00070EBC" w:rsidP="00070EBC">
      <w:pPr>
        <w:spacing w:line="360" w:lineRule="auto"/>
        <w:ind w:left="4875"/>
        <w:jc w:val="both"/>
        <w:rPr>
          <w:rFonts w:ascii="Arial" w:hAnsi="Arial" w:cs="Arial"/>
          <w:sz w:val="24"/>
          <w:szCs w:val="24"/>
        </w:rPr>
      </w:pPr>
    </w:p>
    <w:p w:rsidR="00691A3A" w:rsidRDefault="00691A3A"/>
    <w:sectPr w:rsidR="00691A3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1"/>
    <w:multiLevelType w:val="singleLevel"/>
    <w:tmpl w:val="00000001"/>
    <w:name w:val="WW8Num1"/>
    <w:lvl w:ilvl="0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/>
        <w:color w:val="auto"/>
      </w:r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/>
      </w:rPr>
    </w:lvl>
  </w:abstractNum>
  <w:abstractNum w:abstractNumId="2" w15:restartNumberingAfterBreak="0">
    <w:nsid w:val="00000003"/>
    <w:multiLevelType w:val="singleLevel"/>
    <w:tmpl w:val="00000003"/>
    <w:name w:val="WW8Num3"/>
    <w:lvl w:ilvl="0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/>
      </w:rPr>
    </w:lvl>
  </w:abstractNum>
  <w:abstractNum w:abstractNumId="3" w15:restartNumberingAfterBreak="0">
    <w:nsid w:val="00000004"/>
    <w:multiLevelType w:val="singleLevel"/>
    <w:tmpl w:val="00000004"/>
    <w:name w:val="WW8Num4"/>
    <w:lvl w:ilvl="0">
      <w:start w:val="1"/>
      <w:numFmt w:val="bullet"/>
      <w:lvlText w:val=""/>
      <w:lvlJc w:val="left"/>
      <w:pPr>
        <w:tabs>
          <w:tab w:val="num" w:pos="1068"/>
        </w:tabs>
        <w:ind w:left="1068" w:hanging="360"/>
      </w:pPr>
      <w:rPr>
        <w:rFonts w:ascii="Wingdings" w:hAnsi="Wingdings"/>
      </w:rPr>
    </w:lvl>
  </w:abstractNum>
  <w:abstractNum w:abstractNumId="4" w15:restartNumberingAfterBreak="0">
    <w:nsid w:val="00000005"/>
    <w:multiLevelType w:val="singleLevel"/>
    <w:tmpl w:val="00000005"/>
    <w:name w:val="WW8Num5"/>
    <w:lvl w:ilvl="0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/>
        <w:color w:val="auto"/>
      </w:rPr>
    </w:lvl>
  </w:abstractNum>
  <w:abstractNum w:abstractNumId="5" w15:restartNumberingAfterBreak="0">
    <w:nsid w:val="00000006"/>
    <w:multiLevelType w:val="multilevel"/>
    <w:tmpl w:val="00000006"/>
    <w:name w:val="WW8Num6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/>
        <w:color w:val="auto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27F23504"/>
    <w:multiLevelType w:val="hybridMultilevel"/>
    <w:tmpl w:val="89CCC46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78E664E4"/>
    <w:multiLevelType w:val="hybridMultilevel"/>
    <w:tmpl w:val="95AED0A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7"/>
  </w:num>
  <w:num w:numId="3">
    <w:abstractNumId w:val="0"/>
  </w:num>
  <w:num w:numId="4">
    <w:abstractNumId w:val="4"/>
  </w:num>
  <w:num w:numId="5">
    <w:abstractNumId w:val="2"/>
  </w:num>
  <w:num w:numId="6">
    <w:abstractNumId w:val="3"/>
  </w:num>
  <w:num w:numId="7">
    <w:abstractNumId w:val="5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70EBC"/>
    <w:rsid w:val="000467EE"/>
    <w:rsid w:val="00070EBC"/>
    <w:rsid w:val="00691A3A"/>
    <w:rsid w:val="00782630"/>
    <w:rsid w:val="00D61C5E"/>
    <w:rsid w:val="00DA5F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E5EA2947-A113-49B9-9925-2980472B82B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070EBC"/>
    <w:pPr>
      <w:suppressAutoHyphens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070EBC"/>
    <w:pPr>
      <w:ind w:left="720"/>
      <w:contextualSpacing/>
    </w:pPr>
  </w:style>
  <w:style w:type="paragraph" w:customStyle="1" w:styleId="Obsahtabuky">
    <w:name w:val="Obsah tabuľky"/>
    <w:basedOn w:val="Normlny"/>
    <w:rsid w:val="00070EBC"/>
    <w:pPr>
      <w:suppressLineNumbers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30892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127</TotalTime>
  <Pages>7</Pages>
  <Words>1221</Words>
  <Characters>6964</Characters>
  <Application>Microsoft Office Word</Application>
  <DocSecurity>0</DocSecurity>
  <Lines>58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8169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KMEŤOVÁ Darina</dc:creator>
  <cp:keywords/>
  <dc:description/>
  <cp:lastModifiedBy>KMEŤOVÁ Darina</cp:lastModifiedBy>
  <cp:revision>3</cp:revision>
  <dcterms:created xsi:type="dcterms:W3CDTF">2021-06-11T05:30:00Z</dcterms:created>
  <dcterms:modified xsi:type="dcterms:W3CDTF">2021-06-11T10:17:00Z</dcterms:modified>
</cp:coreProperties>
</file>