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8E1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Poznámky k 31.12.2020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ako súčasť konsolidovanej účtovnej závierky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účtovnej jednotky verejnej správy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Obce Odorín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490C" w:rsidRPr="000E41B2" w:rsidRDefault="00A7490C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0E41B2">
        <w:rPr>
          <w:rFonts w:ascii="Times New Roman" w:hAnsi="Times New Roman" w:cs="Times New Roman"/>
          <w:b/>
          <w:caps/>
          <w:sz w:val="24"/>
          <w:szCs w:val="24"/>
        </w:rPr>
        <w:t>Všeobecné údaje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77CC" w:rsidRPr="008A77CC" w:rsidRDefault="00A7490C" w:rsidP="00A7490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konsolidovanej účtovnej jednotke</w:t>
      </w:r>
    </w:p>
    <w:p w:rsidR="00A7490C" w:rsidRDefault="00A7490C" w:rsidP="00A749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7490C" w:rsidRPr="00182CB9" w:rsidRDefault="00625CA4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 w:rsidRPr="00625C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223.15pt;margin-top:.25pt;width:1.8pt;height:108.6pt;z-index:251658240" o:connectortype="straight"/>
        </w:pict>
      </w:r>
      <w:r w:rsidR="00A7490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 w:rsidRPr="00182CB9">
        <w:rPr>
          <w:rFonts w:ascii="Times New Roman" w:hAnsi="Times New Roman" w:cs="Times New Roman"/>
        </w:rPr>
        <w:t>Obec Odorín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053 22 Odorín 266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00329428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2020717809</w:t>
      </w:r>
    </w:p>
    <w:p w:rsidR="003D3002" w:rsidRPr="00182CB9" w:rsidRDefault="00A7490C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182CB9" w:rsidRPr="00182CB9">
        <w:rPr>
          <w:rFonts w:ascii="Times New Roman" w:hAnsi="Times New Roman" w:cs="Times New Roman"/>
        </w:rPr>
        <w:t>založená v roku 1990 zákonom č.369/1990</w:t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  <w:t>Zb. o obecnom zriadení</w:t>
      </w:r>
    </w:p>
    <w:p w:rsidR="008A77CC" w:rsidRDefault="003D3002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3D3002" w:rsidRDefault="003D3002" w:rsidP="008A77CC">
      <w:pPr>
        <w:rPr>
          <w:rFonts w:ascii="Times New Roman" w:hAnsi="Times New Roman" w:cs="Times New Roman"/>
          <w:sz w:val="24"/>
          <w:szCs w:val="24"/>
        </w:rPr>
      </w:pPr>
    </w:p>
    <w:p w:rsidR="008A77CC" w:rsidRDefault="008A77CC" w:rsidP="008A77CC">
      <w:pPr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konsolidovaných účtovných jednotkách – obchodných organizáciách v zriaďovateľskej pôsobnosti konsolidujúcej účtovnej jednotky</w:t>
      </w:r>
    </w:p>
    <w:p w:rsidR="008A77CC" w:rsidRDefault="00625CA4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7" type="#_x0000_t32" style="position:absolute;margin-left:223.15pt;margin-top:.25pt;width:1.8pt;height:108.6pt;z-index:251660288" o:connectortype="straight"/>
        </w:pict>
      </w:r>
      <w:r w:rsidR="008A77C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  <w:t>Odorínske služby, s.r.o.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053 22 Odorín 266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52893928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2121174286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4.2.2020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8A77CC" w:rsidRDefault="008A77CC" w:rsidP="008A77CC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Prehľad o účtovných jednotkách konsolidovaného celku je uvedený v tabuľkovej časti: 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tabuľka č. 1 </w:t>
      </w:r>
      <w:r w:rsidRPr="00A9422B">
        <w:rPr>
          <w:rFonts w:ascii="Times New Roman" w:hAnsi="Times New Roman" w:cs="Times New Roman"/>
          <w:b/>
          <w:sz w:val="24"/>
          <w:szCs w:val="24"/>
        </w:rPr>
        <w:t>- Údaje o konsolidovanom celku.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Konsolidovaná účtovná závierka konsolidovaného celku Obce Odorín k 31. decembru 2020 je zostavená ako riadna konsolidovaná účtovná závierka podľa zákona č. 431/2002 Z. z. o účtovníctve v znení neskorších predpisov, za účtovné obdobie od 1. januára 2020 do 31. decembra 2020.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b/>
          <w:i/>
          <w:sz w:val="24"/>
          <w:szCs w:val="24"/>
        </w:rPr>
        <w:t>Informácie o vedúcich predstaviteľoch a o zamestnancoch konsolidovaného celku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Mária Goduľová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Zástupca starostu:</w:t>
      </w:r>
      <w:r w:rsidR="002B0F1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Ing. Anna Jacková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Pr="002B0F18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Pr="002B0F18">
        <w:rPr>
          <w:rFonts w:ascii="Times New Roman" w:hAnsi="Times New Roman" w:cs="Times New Roman"/>
          <w:sz w:val="24"/>
          <w:szCs w:val="24"/>
        </w:rPr>
        <w:t>František  Stanislav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77CC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lastRenderedPageBreak/>
        <w:t xml:space="preserve">Priemerný počet zamestnancov konsolidovaného celku Obce Odorín </w:t>
      </w:r>
      <w:r w:rsidR="002B0F18">
        <w:rPr>
          <w:rFonts w:ascii="Times New Roman" w:hAnsi="Times New Roman" w:cs="Times New Roman"/>
          <w:sz w:val="24"/>
          <w:szCs w:val="24"/>
        </w:rPr>
        <w:t>: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0F18" w:rsidRPr="002B0F18" w:rsidRDefault="00625CA4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16"/>
          <w:szCs w:val="16"/>
        </w:rPr>
      </w:pPr>
      <w:r w:rsidRPr="00625C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1" type="#_x0000_t32" style="position:absolute;margin-left:146.95pt;margin-top:1.05pt;width:0;height:67.8pt;z-index:251664384" o:connectortype="straight"/>
        </w:pict>
      </w:r>
      <w:r w:rsidRPr="00625C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2" type="#_x0000_t32" style="position:absolute;margin-left:266.95pt;margin-top:1.05pt;width:0;height:67.8pt;z-index:251665408" o:connectortype="straight"/>
        </w:pict>
      </w:r>
      <w:r w:rsidRPr="00625C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3" type="#_x0000_t32" style="position:absolute;margin-left:346.75pt;margin-top:1.05pt;width:1.2pt;height:67.8pt;z-index:251666432" o:connectortype="straight"/>
        </w:pic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 w:rsidRPr="002B0F18">
        <w:rPr>
          <w:rFonts w:ascii="Times New Roman" w:hAnsi="Times New Roman" w:cs="Times New Roman"/>
          <w:sz w:val="16"/>
          <w:szCs w:val="16"/>
        </w:rPr>
        <w:t>Pr.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>počet za učt. obd.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  <w:t>Stav k 31.12.2020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DF7589">
        <w:rPr>
          <w:rFonts w:ascii="Times New Roman" w:hAnsi="Times New Roman" w:cs="Times New Roman"/>
          <w:sz w:val="16"/>
          <w:szCs w:val="16"/>
        </w:rPr>
        <w:t xml:space="preserve">      </w:t>
      </w:r>
      <w:r w:rsidR="002B0F18" w:rsidRPr="002B0F18">
        <w:rPr>
          <w:rFonts w:ascii="Times New Roman" w:hAnsi="Times New Roman" w:cs="Times New Roman"/>
          <w:sz w:val="16"/>
          <w:szCs w:val="16"/>
        </w:rPr>
        <w:t>z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> toho vedúci</w:t>
      </w:r>
      <w:r w:rsidR="002B0F18">
        <w:rPr>
          <w:rFonts w:ascii="Times New Roman" w:hAnsi="Times New Roman" w:cs="Times New Roman"/>
          <w:sz w:val="16"/>
          <w:szCs w:val="16"/>
        </w:rPr>
        <w:t xml:space="preserve"> zam.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2D5FF9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Odorín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39,6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2B0F18">
        <w:rPr>
          <w:rFonts w:ascii="Times New Roman" w:hAnsi="Times New Roman" w:cs="Times New Roman"/>
          <w:sz w:val="24"/>
          <w:szCs w:val="24"/>
        </w:rPr>
        <w:t xml:space="preserve"> 4</w:t>
      </w:r>
      <w:r>
        <w:rPr>
          <w:rFonts w:ascii="Times New Roman" w:hAnsi="Times New Roman" w:cs="Times New Roman"/>
          <w:sz w:val="24"/>
          <w:szCs w:val="24"/>
        </w:rPr>
        <w:t>0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Odorínske služby,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D5FF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D5FF9">
        <w:rPr>
          <w:rFonts w:ascii="Times New Roman" w:hAnsi="Times New Roman" w:cs="Times New Roman"/>
          <w:sz w:val="24"/>
          <w:szCs w:val="24"/>
        </w:rPr>
        <w:t>1</w:t>
      </w:r>
    </w:p>
    <w:p w:rsidR="002B0F18" w:rsidRDefault="002B0F18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B4EE5" w:rsidRPr="00FB4EE5" w:rsidRDefault="00A9422B" w:rsidP="00A9422B">
      <w:pPr>
        <w:spacing w:after="0"/>
        <w:rPr>
          <w:i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>Informácia o splnení predpokladu nepretržitého pokračovania v činnosti účtovnej jednotky</w:t>
      </w:r>
      <w:r w:rsidRPr="00FB4EE5">
        <w:rPr>
          <w:i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A9422B">
        <w:rPr>
          <w:rFonts w:ascii="Times New Roman" w:hAnsi="Times New Roman" w:cs="Times New Roman"/>
          <w:sz w:val="24"/>
          <w:szCs w:val="24"/>
        </w:rPr>
        <w:t xml:space="preserve"> bola zostavená za predpokladu nepretržitého pokračovania v činnosti jednotlivých účtovných jednotiek tvoriacich konsolidovaný celok,</w:t>
      </w:r>
    </w:p>
    <w:p w:rsidR="00FB4EE5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 a to v súlade so zákonom o účtovníctve a nadväzujúcimi právnymi predpismi.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A9422B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 Zmeny účtovných metód a účtovných zásad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Účtovné metódy a všeobecné účtovné zásady boli v konsolidovanom celku konzistentne aplikované.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FB4EE5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Spôsob ocenenia jednotlivých zložiek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FB4EE5">
        <w:rPr>
          <w:rFonts w:ascii="Times New Roman" w:hAnsi="Times New Roman" w:cs="Times New Roman"/>
          <w:sz w:val="24"/>
          <w:szCs w:val="24"/>
        </w:rPr>
        <w:t xml:space="preserve"> obstaraný </w:t>
      </w:r>
      <w:r w:rsidRPr="00FB4EE5">
        <w:rPr>
          <w:rFonts w:ascii="Times New Roman" w:hAnsi="Times New Roman" w:cs="Times New Roman"/>
          <w:i/>
          <w:sz w:val="24"/>
          <w:szCs w:val="24"/>
        </w:rPr>
        <w:t>kúpou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obstarávacou cenou, ktorá zahrňuje cenu obstarania a náklady súvisiace s obstaraním (clo, prepravu, montáž, poistné a pod.). Súčasťou obstarávacej ceny dlhodobého hmotného a nehmotného majetku nie sú úroky z úverov do doby zaradenia majetku.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vytvorený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vlastnými nákladmi. Za vlastné náklady sa považujú všetky priame náklady vynaložené na výrobu alebo inú činnosť a všetky nepriame náklady vzťahujúce sa na výrobu alebo inú činnosť.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nadobudnutý bezodplatným prevodom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splynutí, zlúčení, rozdelení alebo pri prevode správy sa oceňuje cenou, v ktorej sa doteraz viedol v účtovníctve. Ak cenu nie je možné zistiť, oceňuje sa reálnou hodnotou.</w:t>
      </w:r>
      <w:r w:rsidR="001B6C79">
        <w:rPr>
          <w:rFonts w:ascii="Times New Roman" w:hAnsi="Times New Roman" w:cs="Times New Roman"/>
          <w:sz w:val="24"/>
          <w:szCs w:val="24"/>
        </w:rPr>
        <w:t xml:space="preserve"> </w:t>
      </w:r>
      <w:r w:rsidRPr="00FB4EE5">
        <w:rPr>
          <w:rFonts w:ascii="Times New Roman" w:hAnsi="Times New Roman" w:cs="Times New Roman"/>
          <w:sz w:val="24"/>
          <w:szCs w:val="24"/>
        </w:rPr>
        <w:t xml:space="preserve"> Dlhodobý nehmotný a hmotný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obstaraný iným spôsobom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(napr.: bezodplatne nadobudnutý majetok, delimitovaný, novo zistený majetok pri inventarizácii) sa oceňuje reálnou hodnotou (určenou v darovacej zmluve, znaleckým posudkom alebo cenou určenou komisiou pre oceňovanie majetku – komisia pre financie a majetok). Reálna hodnota je cena, ktorá by bola prijatá v prípade predaja majetku, alebo zaplatená v prípade uhradenia záväzku v rámci riadnej transakcie medzi účastníkmi trhu v deň oceňovania.</w:t>
      </w:r>
    </w:p>
    <w:p w:rsidR="00C22908" w:rsidRPr="00C22908" w:rsidRDefault="00C22908" w:rsidP="00A9422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22908">
        <w:rPr>
          <w:rFonts w:ascii="Times New Roman" w:hAnsi="Times New Roman" w:cs="Times New Roman"/>
          <w:sz w:val="24"/>
          <w:szCs w:val="24"/>
        </w:rPr>
        <w:t>Dlhodobý finančný majetok sa oceňuje obstarávacou cenou.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Cenné papiere a podiely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pri nich nadobudnutí obstarávacími cenami, t.j. vrátane nákladov súvisiacich s obstaraním.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t>Zásoby nakupované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obstarávacou cenou, ktorá zahrňuje cenu obstarania a náklady súvisiace s obstaraním (clo, prepravu, poistné, provízie a pod.) znížené o zľavy z ceny zásob. Úbytok zásob rovnakého druhu sa účtuje metódou FIFO – prvá cena na ocenenie prírastu zásob sa použije ako prvá cena na ocenenie úbytku zásob. 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Zásoby vytvorené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vlastnými nákladmi. Vlastné náklady sú priame náklady (priamy materiál, priame mzdy a ostatné priame náklady) a časť nepriamych nákladov bezprostredne súvisiacich s vytvorením zásob vlastnou činnosťou (výrobná réžia).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lastRenderedPageBreak/>
        <w:t>Zásoby nadobudnuté bezodplatne</w:t>
      </w:r>
      <w:r w:rsidRPr="00FB4EE5">
        <w:rPr>
          <w:rFonts w:ascii="Times New Roman" w:hAnsi="Times New Roman" w:cs="Times New Roman"/>
          <w:sz w:val="24"/>
          <w:szCs w:val="24"/>
        </w:rPr>
        <w:t xml:space="preserve"> (darovaním a delimitáciou), prebytky zásob, odpad a zvyškové produkty sa oceňujú reálnou hodnotou.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Novozistené zásoby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inventarizácii sa oceňujú reálnou hodnotou.</w:t>
      </w:r>
    </w:p>
    <w:p w:rsidR="00C67C22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Pohľadávky</w:t>
      </w:r>
      <w:r w:rsidRPr="003E040E">
        <w:rPr>
          <w:rFonts w:ascii="Times New Roman" w:hAnsi="Times New Roman" w:cs="Times New Roman"/>
          <w:sz w:val="24"/>
          <w:szCs w:val="24"/>
        </w:rPr>
        <w:t xml:space="preserve"> sa pri ich vzniku oceňujú menovitou hodnotou. Toto ocenenie sa znižuje</w:t>
      </w:r>
    </w:p>
    <w:p w:rsidR="003E040E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</w:rPr>
        <w:t xml:space="preserve"> o pochybné, nedobytné pohľadávky a o pohľadávky, pri ktorých existuje riziko nevymožiteľnosti a to prostredníctvom opravnej položky. Pohľadávky pri odplatnom nadobudnutí sa oceňujú obstarávacou cenou, t.j. vrátane nákladov súvisiacich s obstaraním.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>Peňažné prostriedky a ceniny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 Rezervy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záväzky s neurčitým časovým vymedzením alebo výškou a oceňujú sa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očakávanej výške záväzku.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Pr="00C67C22">
        <w:rPr>
          <w:rFonts w:ascii="Times New Roman" w:hAnsi="Times New Roman" w:cs="Times New Roman"/>
          <w:sz w:val="24"/>
          <w:szCs w:val="24"/>
        </w:rPr>
        <w:t xml:space="preserve">sa pri ich vzniku oceňujú menovitou hodnotou a pri ich prevzatí sa oceňujú obstarávacou cenou.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Účty </w:t>
      </w:r>
      <w:r w:rsidRPr="00C67C2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 časovej súvislosti s účtovným obdobím.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02E93" w:rsidRDefault="00E02E93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7C22" w:rsidRPr="000E41B2" w:rsidRDefault="00C67C22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41B2">
        <w:rPr>
          <w:rFonts w:ascii="Times New Roman" w:hAnsi="Times New Roman" w:cs="Times New Roman"/>
          <w:b/>
          <w:sz w:val="24"/>
          <w:szCs w:val="24"/>
        </w:rPr>
        <w:t xml:space="preserve"> INFORMÁCIE O METÓDACH A POSTUPOCH KONSOLIDÁCIE </w:t>
      </w: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02E93" w:rsidRPr="000E41B2" w:rsidRDefault="00E02E93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za rok 20</w:t>
      </w:r>
      <w:r>
        <w:rPr>
          <w:rFonts w:ascii="Times New Roman" w:hAnsi="Times New Roman" w:cs="Times New Roman"/>
          <w:sz w:val="24"/>
          <w:szCs w:val="24"/>
        </w:rPr>
        <w:t xml:space="preserve">20 </w:t>
      </w:r>
      <w:r w:rsidRPr="00C67C22">
        <w:rPr>
          <w:rFonts w:ascii="Times New Roman" w:hAnsi="Times New Roman" w:cs="Times New Roman"/>
          <w:sz w:val="24"/>
          <w:szCs w:val="24"/>
        </w:rPr>
        <w:t>bola zostavená v súlade so zákonom č.431/2002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1B6C79" w:rsidRPr="00C22908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rámci konsolidácie konsolidovaného celku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boli eliminované vzájomné pohľadávky, záväzky, náklady a výnosy. </w:t>
      </w:r>
    </w:p>
    <w:p w:rsidR="001B6C79" w:rsidRDefault="001B6C79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67C22">
        <w:rPr>
          <w:rFonts w:ascii="Times New Roman" w:hAnsi="Times New Roman" w:cs="Times New Roman"/>
          <w:b/>
          <w:sz w:val="24"/>
          <w:szCs w:val="24"/>
        </w:rPr>
        <w:t>Zahrnutie konsolidovaných účtovných jednotiek do konsolidovanej účtovnej závierky</w:t>
      </w:r>
    </w:p>
    <w:p w:rsidR="000E41B2" w:rsidRDefault="000E41B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E41B2" w:rsidRPr="000E41B2" w:rsidRDefault="00625CA4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0" type="#_x0000_t32" style="position:absolute;margin-left:350.35pt;margin-top:1.2pt;width:0;height:93.6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9" type="#_x0000_t32" style="position:absolute;margin-left:250.75pt;margin-top:1.2pt;width:0;height:85.8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8" type="#_x0000_t32" style="position:absolute;margin-left:167.95pt;margin-top:1.2pt;width:1.8pt;height:85.8pt;z-index:251661312" o:connectortype="straight"/>
        </w:pict>
      </w:r>
      <w:r w:rsidR="000E41B2" w:rsidRPr="000E41B2">
        <w:rPr>
          <w:rFonts w:ascii="Times New Roman" w:hAnsi="Times New Roman" w:cs="Times New Roman"/>
          <w:sz w:val="24"/>
          <w:szCs w:val="24"/>
        </w:rPr>
        <w:t xml:space="preserve">Názov resp. obchodné meno 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konsolidovanej účtovnej jednotky </w:t>
      </w:r>
      <w:r w:rsidRPr="000E41B2">
        <w:rPr>
          <w:rFonts w:ascii="Times New Roman" w:hAnsi="Times New Roman" w:cs="Times New Roman"/>
          <w:sz w:val="24"/>
          <w:szCs w:val="24"/>
        </w:rPr>
        <w:tab/>
        <w:t>úplnej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podielovej</w:t>
      </w:r>
      <w:r w:rsidRPr="000E41B2">
        <w:rPr>
          <w:rFonts w:ascii="Times New Roman" w:hAnsi="Times New Roman" w:cs="Times New Roman"/>
          <w:sz w:val="24"/>
          <w:szCs w:val="24"/>
        </w:rPr>
        <w:tab/>
        <w:t>vlastného</w:t>
      </w:r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konsolidácie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konsolidácie</w:t>
      </w:r>
      <w:r w:rsidRPr="000E41B2">
        <w:rPr>
          <w:rFonts w:ascii="Times New Roman" w:hAnsi="Times New Roman" w:cs="Times New Roman"/>
          <w:sz w:val="24"/>
          <w:szCs w:val="24"/>
        </w:rPr>
        <w:tab/>
        <w:t>imania</w:t>
      </w:r>
    </w:p>
    <w:p w:rsidR="000E41B2" w:rsidRDefault="000E41B2" w:rsidP="000E41B2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Obec </w:t>
      </w:r>
      <w:r>
        <w:rPr>
          <w:rFonts w:ascii="Times New Roman" w:hAnsi="Times New Roman" w:cs="Times New Roman"/>
          <w:sz w:val="24"/>
          <w:szCs w:val="24"/>
        </w:rPr>
        <w:t>Odorín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</w:p>
    <w:p w:rsid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Odorínske služby,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>-</w:t>
      </w: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 Pri dcérskej účtovnej jednotke bola použitá metóda úplnej konsolidácie. V roku 20</w:t>
      </w:r>
      <w:r w:rsidR="005B77A8">
        <w:rPr>
          <w:rFonts w:ascii="Times New Roman" w:hAnsi="Times New Roman" w:cs="Times New Roman"/>
          <w:sz w:val="24"/>
          <w:szCs w:val="24"/>
        </w:rPr>
        <w:t>20</w:t>
      </w:r>
      <w:r w:rsidRPr="000E41B2">
        <w:rPr>
          <w:rFonts w:ascii="Times New Roman" w:hAnsi="Times New Roman" w:cs="Times New Roman"/>
          <w:sz w:val="24"/>
          <w:szCs w:val="24"/>
        </w:rPr>
        <w:t xml:space="preserve"> sa medzi účtovnými jednotkami konsolidovaného celku Obce </w:t>
      </w:r>
      <w:r w:rsidR="005B77A8">
        <w:rPr>
          <w:rFonts w:ascii="Times New Roman" w:hAnsi="Times New Roman" w:cs="Times New Roman"/>
          <w:sz w:val="24"/>
          <w:szCs w:val="24"/>
        </w:rPr>
        <w:t>Odorín</w:t>
      </w:r>
      <w:r w:rsidRPr="000E41B2">
        <w:rPr>
          <w:rFonts w:ascii="Times New Roman" w:hAnsi="Times New Roman" w:cs="Times New Roman"/>
          <w:sz w:val="24"/>
          <w:szCs w:val="24"/>
        </w:rPr>
        <w:t xml:space="preserve"> neuskutočnil nákup, resp. predaj majetku. Preto nebolo potrebné vykonať konsolidáciu medzivýsledku.</w:t>
      </w: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Moment prvej konsolidácie kapitálu:</w:t>
      </w:r>
    </w:p>
    <w:p w:rsidR="001B6C79" w:rsidRDefault="001B6C79" w:rsidP="001B6C79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rozpočtových organizáciách je to deň ich zriadenia</w:t>
      </w:r>
    </w:p>
    <w:p w:rsidR="005B77A8" w:rsidRPr="00E02E93" w:rsidRDefault="001B6C79" w:rsidP="00A9422B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obchodných spoločnostiach je to deň ich zriadenia</w:t>
      </w:r>
    </w:p>
    <w:p w:rsidR="005B77A8" w:rsidRPr="005B77A8" w:rsidRDefault="005B77A8" w:rsidP="005B77A8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77A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O ÚDAJOCH NA STRANE AKTÍV SÚVAHY </w:t>
      </w:r>
    </w:p>
    <w:p w:rsidR="005B77A8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B43" w:rsidRP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pohybe dlhodobého hmotného a nehmotného majetku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2 - Prehľad DNM a DHM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majetkových podieloch</w:t>
      </w: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3 - Prehľad o majetkových podieloch CP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dlhodobom finančnom majetku</w:t>
      </w:r>
    </w:p>
    <w:p w:rsidR="00302B43" w:rsidRPr="00E82313" w:rsidRDefault="00302B43" w:rsidP="005B77A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4 – Realizovateľné cenné papiere </w:t>
      </w:r>
    </w:p>
    <w:p w:rsidR="00302B43" w:rsidRPr="00C356A8" w:rsidRDefault="00302B43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dlhodobých a krátkodobých pohľadávkach </w:t>
      </w:r>
    </w:p>
    <w:p w:rsidR="00302B43" w:rsidRPr="00107168" w:rsidRDefault="00302B43" w:rsidP="0010716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tabuľk</w:t>
      </w:r>
      <w:r w:rsidR="00107168" w:rsidRPr="00107168">
        <w:rPr>
          <w:rFonts w:ascii="Times New Roman" w:hAnsi="Times New Roman" w:cs="Times New Roman"/>
          <w:sz w:val="24"/>
          <w:szCs w:val="24"/>
        </w:rPr>
        <w:t>a</w:t>
      </w:r>
      <w:r w:rsidRPr="00107168">
        <w:rPr>
          <w:rFonts w:ascii="Times New Roman" w:hAnsi="Times New Roman" w:cs="Times New Roman"/>
          <w:sz w:val="24"/>
          <w:szCs w:val="24"/>
        </w:rPr>
        <w:t xml:space="preserve"> č. 9 – Pohľadávky podľa doby splatnosti</w:t>
      </w:r>
    </w:p>
    <w:p w:rsidR="00107168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aktív</w:t>
      </w:r>
    </w:p>
    <w:p w:rsidR="00377BAA" w:rsidRPr="00C356A8" w:rsidRDefault="00302B43" w:rsidP="0010716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10 – Náklady budúcich období,</w:t>
      </w:r>
    </w:p>
    <w:p w:rsidR="00C356A8" w:rsidRPr="00C356A8" w:rsidRDefault="00C356A8" w:rsidP="00C356A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Príjmy</w:t>
      </w:r>
      <w:r w:rsidRPr="00107168">
        <w:rPr>
          <w:rFonts w:ascii="Times New Roman" w:hAnsi="Times New Roman" w:cs="Times New Roman"/>
          <w:sz w:val="24"/>
          <w:szCs w:val="24"/>
        </w:rPr>
        <w:t xml:space="preserve"> budúcich období,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vlastného imania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12 – Vlastné imanie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rezerv </w:t>
      </w:r>
    </w:p>
    <w:p w:rsidR="00C356A8" w:rsidRPr="00C356A8" w:rsidRDefault="00C356A8" w:rsidP="00C356A8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Rezervy </w:t>
      </w:r>
      <w:r>
        <w:rPr>
          <w:rFonts w:ascii="Times New Roman" w:hAnsi="Times New Roman" w:cs="Times New Roman"/>
          <w:sz w:val="24"/>
          <w:szCs w:val="24"/>
        </w:rPr>
        <w:t>zákonné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 sa v tabuľke č. 14 – Rezervy ostatné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dlhodobých a krátkodobých záväzkoch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15 – Záväzky podľa doby splatnosti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bankových úveroch a prijatých finančných výpomociach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16 – Bankové úvery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pasív</w:t>
      </w:r>
    </w:p>
    <w:p w:rsidR="00377BAA" w:rsidRPr="00C356A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17 – Časové rozlíšenie na strane pasív – Výdavky budúcich období a v tabuľke č. 18 – Časové rozlíšenie na strane pasív – Výnosy budúcich období</w:t>
      </w:r>
    </w:p>
    <w:p w:rsidR="00A80C03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80C03">
        <w:rPr>
          <w:rFonts w:ascii="Times New Roman" w:hAnsi="Times New Roman" w:cs="Times New Roman"/>
          <w:sz w:val="24"/>
          <w:szCs w:val="24"/>
          <w:u w:val="single"/>
        </w:rPr>
        <w:t>Zoznam nehnuteľných pamiatok</w:t>
      </w:r>
    </w:p>
    <w:p w:rsidR="00A80C03" w:rsidRPr="00C356A8" w:rsidRDefault="00C356A8" w:rsidP="00A80C0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356A8">
        <w:rPr>
          <w:rFonts w:ascii="Times New Roman" w:hAnsi="Times New Roman" w:cs="Times New Roman"/>
          <w:sz w:val="24"/>
          <w:szCs w:val="24"/>
        </w:rPr>
        <w:t xml:space="preserve"> 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nachádza sa v tabuľke č. </w:t>
      </w:r>
      <w:r w:rsidR="00A80C03">
        <w:rPr>
          <w:rFonts w:ascii="Times New Roman" w:hAnsi="Times New Roman" w:cs="Times New Roman"/>
          <w:sz w:val="24"/>
          <w:szCs w:val="24"/>
        </w:rPr>
        <w:t>24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 – </w:t>
      </w:r>
      <w:r w:rsidR="00A80C03">
        <w:rPr>
          <w:rFonts w:ascii="Times New Roman" w:hAnsi="Times New Roman" w:cs="Times New Roman"/>
          <w:sz w:val="24"/>
          <w:szCs w:val="24"/>
        </w:rPr>
        <w:t>kultúrne pamiatky</w:t>
      </w:r>
    </w:p>
    <w:p w:rsidR="00C356A8" w:rsidRPr="00C356A8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5B1E82" w:rsidRPr="00A80C03" w:rsidRDefault="005B1E82" w:rsidP="00A80C0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02B43" w:rsidRPr="005B1E82" w:rsidRDefault="00302B43" w:rsidP="005B77A8">
      <w:p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t xml:space="preserve">IV. Informácie o výnosoch a nákladoch 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Prehľad o nákladoch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19 – Náklady na služby,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20 – Ostatné </w:t>
      </w:r>
      <w:r w:rsidR="00E73184" w:rsidRPr="005B1E82">
        <w:rPr>
          <w:rFonts w:ascii="Times New Roman" w:hAnsi="Times New Roman" w:cs="Times New Roman"/>
          <w:sz w:val="24"/>
          <w:szCs w:val="24"/>
        </w:rPr>
        <w:t xml:space="preserve">náklady na prevádzkovú činnosť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21 – Ostatné finančné náklady </w:t>
      </w: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>Prehľad o</w:t>
      </w:r>
      <w:r w:rsidR="00E73184" w:rsidRPr="005B1E82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5B1E82">
        <w:rPr>
          <w:rFonts w:ascii="Times New Roman" w:hAnsi="Times New Roman" w:cs="Times New Roman"/>
          <w:sz w:val="24"/>
          <w:szCs w:val="24"/>
          <w:u w:val="single"/>
        </w:rPr>
        <w:t>výnosoch</w:t>
      </w:r>
    </w:p>
    <w:p w:rsidR="00C22908" w:rsidRPr="005B1E82" w:rsidRDefault="00302B43" w:rsidP="005B1E8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22 – Ostatné výnosy z prevádzkovej činnosti</w:t>
      </w:r>
    </w:p>
    <w:p w:rsidR="00E73184" w:rsidRDefault="00E73184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E73184" w:rsidP="005B1E82">
      <w:pPr>
        <w:pStyle w:val="Odsekzoznamu"/>
        <w:numPr>
          <w:ilvl w:val="0"/>
          <w:numId w:val="7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lastRenderedPageBreak/>
        <w:t xml:space="preserve">Skutočnosti, ktoré nastali po dni, ku ktorému sa zostavuje konsolidovaná účtovná závierka, do dňa jej zostavenia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0246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>Po 31.decembri 2020 nenastali také udalosti, ktoré by vyžadovali zverejnenie alebo vykázanie v konsolidovanej účtovnej závierke za rok 2020</w:t>
      </w:r>
      <w:r w:rsidRPr="005B0246">
        <w:rPr>
          <w:rFonts w:ascii="Times New Roman" w:hAnsi="Times New Roman" w:cs="Times New Roman"/>
          <w:sz w:val="24"/>
          <w:szCs w:val="24"/>
        </w:rPr>
        <w:t>.</w:t>
      </w:r>
      <w:r w:rsidR="005B0246" w:rsidRPr="005B0246">
        <w:rPr>
          <w:rFonts w:ascii="Times New Roman" w:hAnsi="Times New Roman" w:cs="Times New Roman"/>
          <w:sz w:val="24"/>
          <w:szCs w:val="24"/>
        </w:rPr>
        <w:t xml:space="preserve"> </w:t>
      </w:r>
      <w:r w:rsidR="005B0246">
        <w:rPr>
          <w:rFonts w:ascii="Times New Roman" w:hAnsi="Times New Roman" w:cs="Times New Roman"/>
          <w:sz w:val="24"/>
          <w:szCs w:val="24"/>
        </w:rPr>
        <w:t xml:space="preserve">Upozorňujeme ale na skutočnosť </w:t>
      </w:r>
      <w:r w:rsidR="005B0246" w:rsidRPr="005B0246">
        <w:rPr>
          <w:rFonts w:ascii="Times New Roman" w:hAnsi="Times New Roman" w:cs="Times New Roman"/>
          <w:sz w:val="24"/>
          <w:szCs w:val="24"/>
        </w:rPr>
        <w:t>pokračovania šírenia ochorenia COVID 19, čo má negatívny vplyv na fungovanie obce.</w:t>
      </w:r>
    </w:p>
    <w:p w:rsidR="00E73184" w:rsidRPr="005B0246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Odorín, dňa </w:t>
      </w:r>
      <w:r w:rsidR="005B0246">
        <w:rPr>
          <w:rFonts w:ascii="Times New Roman" w:hAnsi="Times New Roman" w:cs="Times New Roman"/>
          <w:sz w:val="24"/>
          <w:szCs w:val="24"/>
        </w:rPr>
        <w:t>09</w:t>
      </w:r>
      <w:r w:rsidRPr="00E02E93">
        <w:rPr>
          <w:rFonts w:ascii="Times New Roman" w:hAnsi="Times New Roman" w:cs="Times New Roman"/>
          <w:sz w:val="24"/>
          <w:szCs w:val="24"/>
        </w:rPr>
        <w:t xml:space="preserve">.06.2020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Mária Goduľová</w:t>
      </w:r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73184">
        <w:rPr>
          <w:rFonts w:ascii="Times New Roman" w:hAnsi="Times New Roman" w:cs="Times New Roman"/>
          <w:sz w:val="24"/>
          <w:szCs w:val="24"/>
        </w:rPr>
        <w:t xml:space="preserve"> starost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73184">
        <w:rPr>
          <w:rFonts w:ascii="Times New Roman" w:hAnsi="Times New Roman" w:cs="Times New Roman"/>
          <w:sz w:val="24"/>
          <w:szCs w:val="24"/>
        </w:rPr>
        <w:t xml:space="preserve">a obce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Vypracovala : </w:t>
      </w:r>
      <w:r>
        <w:rPr>
          <w:rFonts w:ascii="Times New Roman" w:hAnsi="Times New Roman" w:cs="Times New Roman"/>
          <w:sz w:val="24"/>
          <w:szCs w:val="24"/>
        </w:rPr>
        <w:t xml:space="preserve">Mgr. </w:t>
      </w:r>
      <w:r w:rsidRPr="00E73184">
        <w:rPr>
          <w:rFonts w:ascii="Times New Roman" w:hAnsi="Times New Roman" w:cs="Times New Roman"/>
          <w:sz w:val="24"/>
          <w:szCs w:val="24"/>
        </w:rPr>
        <w:t xml:space="preserve">Anna </w:t>
      </w:r>
      <w:r>
        <w:rPr>
          <w:rFonts w:ascii="Times New Roman" w:hAnsi="Times New Roman" w:cs="Times New Roman"/>
          <w:sz w:val="24"/>
          <w:szCs w:val="24"/>
        </w:rPr>
        <w:t>Pramuková</w:t>
      </w:r>
    </w:p>
    <w:p w:rsidR="005B77A8" w:rsidRPr="00E73184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77A8" w:rsidRPr="005B77A8" w:rsidRDefault="005B77A8" w:rsidP="005B77A8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sectPr w:rsidR="005B77A8" w:rsidRPr="005B77A8" w:rsidSect="003C28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518A8"/>
    <w:multiLevelType w:val="hybridMultilevel"/>
    <w:tmpl w:val="A35EC2E4"/>
    <w:lvl w:ilvl="0" w:tplc="ABAEAD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1731F0"/>
    <w:multiLevelType w:val="hybridMultilevel"/>
    <w:tmpl w:val="5BF67F16"/>
    <w:lvl w:ilvl="0" w:tplc="3D542EC4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544B5"/>
    <w:multiLevelType w:val="hybridMultilevel"/>
    <w:tmpl w:val="48707C2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173FAA"/>
    <w:multiLevelType w:val="hybridMultilevel"/>
    <w:tmpl w:val="4DDC84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EA1FBB"/>
    <w:multiLevelType w:val="hybridMultilevel"/>
    <w:tmpl w:val="6D0E165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A7193F"/>
    <w:multiLevelType w:val="hybridMultilevel"/>
    <w:tmpl w:val="D6063DF4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6">
    <w:nsid w:val="570B14D7"/>
    <w:multiLevelType w:val="hybridMultilevel"/>
    <w:tmpl w:val="401E48BA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7">
    <w:nsid w:val="62B20C70"/>
    <w:multiLevelType w:val="hybridMultilevel"/>
    <w:tmpl w:val="D156747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7490C"/>
    <w:rsid w:val="000D17EC"/>
    <w:rsid w:val="000E41B2"/>
    <w:rsid w:val="00107168"/>
    <w:rsid w:val="00182CB9"/>
    <w:rsid w:val="001B6C79"/>
    <w:rsid w:val="00270DC5"/>
    <w:rsid w:val="002B0F18"/>
    <w:rsid w:val="002D5FF9"/>
    <w:rsid w:val="00302B43"/>
    <w:rsid w:val="00377BAA"/>
    <w:rsid w:val="003857F5"/>
    <w:rsid w:val="003C28E1"/>
    <w:rsid w:val="003D3002"/>
    <w:rsid w:val="003E040E"/>
    <w:rsid w:val="005B0246"/>
    <w:rsid w:val="005B1E82"/>
    <w:rsid w:val="005B77A8"/>
    <w:rsid w:val="00625CA4"/>
    <w:rsid w:val="00676044"/>
    <w:rsid w:val="006F440D"/>
    <w:rsid w:val="007B1BC9"/>
    <w:rsid w:val="008806A3"/>
    <w:rsid w:val="008A77CC"/>
    <w:rsid w:val="008D5083"/>
    <w:rsid w:val="00943798"/>
    <w:rsid w:val="00A7490C"/>
    <w:rsid w:val="00A80C03"/>
    <w:rsid w:val="00A9422B"/>
    <w:rsid w:val="00AB4564"/>
    <w:rsid w:val="00C22908"/>
    <w:rsid w:val="00C356A8"/>
    <w:rsid w:val="00C67C22"/>
    <w:rsid w:val="00CE57BF"/>
    <w:rsid w:val="00D71C9E"/>
    <w:rsid w:val="00DE1DD6"/>
    <w:rsid w:val="00DF7589"/>
    <w:rsid w:val="00E02E93"/>
    <w:rsid w:val="00E11802"/>
    <w:rsid w:val="00E3752F"/>
    <w:rsid w:val="00E73184"/>
    <w:rsid w:val="00E82313"/>
    <w:rsid w:val="00FB4E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9" type="connector" idref="#_x0000_s1033"/>
        <o:r id="V:Rule10" type="connector" idref="#_x0000_s1026"/>
        <o:r id="V:Rule11" type="connector" idref="#_x0000_s1027"/>
        <o:r id="V:Rule12" type="connector" idref="#_x0000_s1031"/>
        <o:r id="V:Rule13" type="connector" idref="#_x0000_s1030"/>
        <o:r id="V:Rule14" type="connector" idref="#_x0000_s1028"/>
        <o:r id="V:Rule15" type="connector" idref="#_x0000_s1032"/>
        <o:r id="V:Rule16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8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41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D9B745-3568-4167-94B0-64180F7E2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1303</Words>
  <Characters>7431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2021-06-01T12:01:00Z</dcterms:created>
  <dcterms:modified xsi:type="dcterms:W3CDTF">2021-06-15T12:50:00Z</dcterms:modified>
</cp:coreProperties>
</file>