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sz w:val="28"/>
          <w:szCs w:val="28"/>
        </w:rPr>
      </w:pPr>
      <w:r>
        <w:rPr>
          <w:b/>
          <w:sz w:val="28"/>
          <w:szCs w:val="28"/>
        </w:rPr>
        <w:t>POZNÁMKY KONSOLIDOVANEJ ÚČTOVNEJ ZÁVIERKY</w:t>
      </w:r>
    </w:p>
    <w:p>
      <w:pPr>
        <w:pStyle w:val="Normal"/>
        <w:jc w:val="center"/>
        <w:rPr>
          <w:b/>
          <w:b/>
          <w:sz w:val="28"/>
          <w:szCs w:val="28"/>
        </w:rPr>
      </w:pPr>
      <w:r>
        <w:rPr>
          <w:b/>
          <w:sz w:val="28"/>
          <w:szCs w:val="28"/>
        </w:rPr>
        <w:t>ÚČTOVNEJ JEDNOTKY VEREJNEJ SPRÁVY</w:t>
      </w:r>
    </w:p>
    <w:p>
      <w:pPr>
        <w:pStyle w:val="Normal"/>
        <w:jc w:val="center"/>
        <w:rPr/>
      </w:pPr>
      <w:r>
        <w:rPr>
          <w:b/>
          <w:sz w:val="28"/>
          <w:szCs w:val="28"/>
        </w:rPr>
        <w:t>ZOSTAVENEJ K  31. DECEMBRU 20</w:t>
      </w:r>
      <w:r>
        <w:rPr>
          <w:b/>
          <w:sz w:val="28"/>
          <w:szCs w:val="28"/>
        </w:rPr>
        <w:t>20</w:t>
      </w:r>
    </w:p>
    <w:p>
      <w:pPr>
        <w:pStyle w:val="Normal"/>
        <w:jc w:val="center"/>
        <w:rPr>
          <w:b/>
          <w:b/>
          <w:sz w:val="28"/>
          <w:szCs w:val="28"/>
        </w:rPr>
      </w:pPr>
      <w:r>
        <w:rPr>
          <w:b/>
          <w:sz w:val="28"/>
          <w:szCs w:val="28"/>
        </w:rPr>
        <w:t>OBEC TEKOVSKÉ NEMCE</w:t>
      </w:r>
    </w:p>
    <w:p>
      <w:pPr>
        <w:pStyle w:val="Normal"/>
        <w:jc w:val="center"/>
        <w:rPr>
          <w:b/>
          <w:b/>
          <w:sz w:val="28"/>
          <w:szCs w:val="28"/>
        </w:rPr>
      </w:pPr>
      <w:r>
        <w:rPr>
          <w:b/>
          <w:sz w:val="28"/>
          <w:szCs w:val="28"/>
        </w:rPr>
      </w:r>
    </w:p>
    <w:p>
      <w:pPr>
        <w:pStyle w:val="Normal"/>
        <w:jc w:val="center"/>
        <w:rPr>
          <w:b/>
          <w:b/>
          <w:sz w:val="24"/>
          <w:szCs w:val="24"/>
        </w:rPr>
      </w:pPr>
      <w:r>
        <w:rPr>
          <w:b/>
        </w:rPr>
        <w:t>Čl. I     VŠEOBECNÉ ÚDAJE</w:t>
      </w:r>
    </w:p>
    <w:p>
      <w:pPr>
        <w:pStyle w:val="Normal"/>
        <w:jc w:val="center"/>
        <w:rPr>
          <w:b/>
          <w:b/>
        </w:rPr>
      </w:pPr>
      <w:r>
        <w:rPr>
          <w:b/>
        </w:rPr>
      </w:r>
    </w:p>
    <w:p>
      <w:pPr>
        <w:pStyle w:val="Normal"/>
        <w:jc w:val="both"/>
        <w:rPr>
          <w:b/>
          <w:b/>
        </w:rPr>
      </w:pPr>
      <w:r>
        <w:rPr>
          <w:b/>
        </w:rPr>
        <w:t>1. Identifikačné údaje konsolidujúcej účtovnej jednotky a konsolidovaných účtovných jednotiek</w:t>
      </w:r>
    </w:p>
    <w:p>
      <w:pPr>
        <w:pStyle w:val="Normal"/>
        <w:jc w:val="both"/>
        <w:rPr/>
      </w:pPr>
      <w:r>
        <w:rPr>
          <w:b/>
        </w:rPr>
        <w:t xml:space="preserve">Názov konsolidujúcej účtovnej jednotky: </w:t>
      </w:r>
      <w:r>
        <w:rPr/>
        <w:t>Obec Tekovské Nemce</w:t>
      </w:r>
    </w:p>
    <w:p>
      <w:pPr>
        <w:pStyle w:val="Normal"/>
        <w:jc w:val="both"/>
        <w:rPr/>
      </w:pPr>
      <w:r>
        <w:rPr>
          <w:b/>
        </w:rPr>
        <w:t>Sídlo konsolidujúcej účtovnej jednotky:</w:t>
      </w:r>
      <w:r>
        <w:rPr/>
        <w:t xml:space="preserve"> Tekovská 245,  966 54 Tekovské Nemce</w:t>
      </w:r>
    </w:p>
    <w:p>
      <w:pPr>
        <w:pStyle w:val="Normal"/>
        <w:jc w:val="both"/>
        <w:rPr/>
      </w:pPr>
      <w:r>
        <w:rPr>
          <w:b/>
        </w:rPr>
        <w:t xml:space="preserve">Dátum vzniku konsolidujúcej účtovnej jednotky: </w:t>
      </w:r>
      <w:r>
        <w:rPr/>
        <w:t>01.01.1990</w:t>
      </w:r>
    </w:p>
    <w:p>
      <w:pPr>
        <w:pStyle w:val="Normal"/>
        <w:jc w:val="both"/>
        <w:rPr/>
      </w:pPr>
      <w:r>
        <w:rPr>
          <w:b/>
        </w:rPr>
        <w:t xml:space="preserve">IČO konsolidujúcej účtovnej jednotky: </w:t>
      </w:r>
      <w:r>
        <w:rPr/>
        <w:t>00 321 044</w:t>
      </w:r>
    </w:p>
    <w:p>
      <w:pPr>
        <w:pStyle w:val="Normal"/>
        <w:jc w:val="both"/>
        <w:rPr/>
      </w:pPr>
      <w:r>
        <w:rPr>
          <w:b/>
        </w:rPr>
        <w:t xml:space="preserve">DIČ konsolidujúcej účtovnej jednotky: </w:t>
      </w:r>
      <w:r>
        <w:rPr/>
        <w:t>2021111488</w:t>
      </w:r>
    </w:p>
    <w:p>
      <w:pPr>
        <w:pStyle w:val="Normal"/>
        <w:jc w:val="both"/>
        <w:rPr/>
      </w:pPr>
      <w:r>
        <w:rPr/>
      </w:r>
    </w:p>
    <w:p>
      <w:pPr>
        <w:pStyle w:val="Normal"/>
        <w:jc w:val="both"/>
        <w:rPr/>
      </w:pPr>
      <w:r>
        <w:rPr>
          <w:b/>
        </w:rPr>
        <w:t xml:space="preserve">Názov konsolidovanej účtovnej jednotky: </w:t>
      </w:r>
      <w:r>
        <w:rPr/>
        <w:t>ZŠ s MŠ Tekovské Nemce</w:t>
      </w:r>
    </w:p>
    <w:p>
      <w:pPr>
        <w:pStyle w:val="Normal"/>
        <w:jc w:val="both"/>
        <w:rPr/>
      </w:pPr>
      <w:r>
        <w:rPr>
          <w:b/>
        </w:rPr>
        <w:t xml:space="preserve">Sídlo konsolidovanej účtovnej jednotky: </w:t>
      </w:r>
      <w:r>
        <w:rPr/>
        <w:t>Školská 416, 966 54 Tekovské Nemce</w:t>
      </w:r>
    </w:p>
    <w:p>
      <w:pPr>
        <w:pStyle w:val="Normal"/>
        <w:jc w:val="both"/>
        <w:rPr/>
      </w:pPr>
      <w:r>
        <w:rPr>
          <w:b/>
        </w:rPr>
        <w:t>Dátum vzniku konsolidovanej účtovnej jednotky: 01.07.2003</w:t>
      </w:r>
    </w:p>
    <w:p>
      <w:pPr>
        <w:pStyle w:val="Normal"/>
        <w:jc w:val="both"/>
        <w:rPr/>
      </w:pPr>
      <w:r>
        <w:rPr>
          <w:b/>
        </w:rPr>
        <w:t xml:space="preserve">IČO konsolidovanej účtovnej jednotky: </w:t>
      </w:r>
      <w:r>
        <w:rPr/>
        <w:t>37 865 153</w:t>
      </w:r>
    </w:p>
    <w:p>
      <w:pPr>
        <w:pStyle w:val="Normal"/>
        <w:jc w:val="both"/>
        <w:rPr/>
      </w:pPr>
      <w:r>
        <w:rPr/>
      </w:r>
    </w:p>
    <w:p>
      <w:pPr>
        <w:pStyle w:val="Normal"/>
        <w:rPr/>
      </w:pPr>
      <w:r>
        <w:rPr/>
        <w:t>Konsolidovaný celok obce Skýcov obsahuje tieto účtovné jednotky:</w:t>
      </w:r>
    </w:p>
    <w:tbl>
      <w:tblPr>
        <w:tblW w:w="9210"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a0"/>
      </w:tblPr>
      <w:tblGrid>
        <w:gridCol w:w="2879"/>
        <w:gridCol w:w="2339"/>
        <w:gridCol w:w="1729"/>
        <w:gridCol w:w="2262"/>
      </w:tblGrid>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Názov  účtovnej jednotky</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Právna forma</w:t>
            </w:r>
          </w:p>
        </w:tc>
        <w:tc>
          <w:tcPr>
            <w:tcW w:w="172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Podiel ÚJ na ZI (%)</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b/>
                <w:b/>
                <w:sz w:val="24"/>
                <w:szCs w:val="24"/>
              </w:rPr>
            </w:pPr>
            <w:r>
              <w:rPr>
                <w:b/>
              </w:rPr>
              <w:t>Podiel ÚJ na hlasovacích právach (%)</w:t>
            </w:r>
          </w:p>
        </w:tc>
      </w:tr>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Obec Tekovské Nemce Materská účtovná jednotka</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Obec</w:t>
            </w:r>
          </w:p>
        </w:tc>
        <w:tc>
          <w:tcPr>
            <w:tcW w:w="172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r>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Základná škola s mMaterskou školou Tekovské Nemce – Dcérska účtovná jednotka</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Rozpočtová organizácia</w:t>
            </w:r>
          </w:p>
        </w:tc>
        <w:tc>
          <w:tcPr>
            <w:tcW w:w="172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r>
    </w:tbl>
    <w:p>
      <w:pPr>
        <w:pStyle w:val="Normal"/>
        <w:jc w:val="both"/>
        <w:rPr>
          <w:rFonts w:eastAsia="Times New Roman"/>
        </w:rPr>
      </w:pPr>
      <w:r>
        <w:rPr>
          <w:rFonts w:eastAsia="Times New Roman"/>
        </w:rPr>
      </w:r>
    </w:p>
    <w:p>
      <w:pPr>
        <w:pStyle w:val="Normal"/>
        <w:jc w:val="both"/>
        <w:rPr/>
      </w:pPr>
      <w:r>
        <w:rPr/>
        <w:t xml:space="preserve">Konsolidovaná účtovná závierka konsolidovaného celku obce Tekovské Nemce bola zostavená v súlade so zákonom č. 431/2002 Z.z.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a v súlade s Opatrením Ministerstva financií Slovenskej republiky č. MF/22110/2009 – 31 v znení neskorších predpisov, v znení opatrenia Ministerstva financií Slovenskej republiky č. MF/19567/2013 – 31 a v znení opatrenia Ministerstva financií Slovenskej republiky č. MF/21230/2014 – 31. </w:t>
      </w:r>
    </w:p>
    <w:p>
      <w:pPr>
        <w:pStyle w:val="Normal"/>
        <w:jc w:val="both"/>
        <w:rPr/>
      </w:pPr>
      <w:r>
        <w:rPr/>
        <w:t>Deň, ku ktorému bola zostavená konsolidovaná účtovná závierka 31.12.20</w:t>
      </w:r>
      <w:r>
        <w:rPr/>
        <w:t>20</w:t>
      </w:r>
      <w:r>
        <w:rPr/>
        <w:t xml:space="preserve"> je zhodný s dňom, ku ktorému bola zostavená individuálna účtovná závierka konsolidovaných účtovných jednotiek.</w:t>
      </w:r>
    </w:p>
    <w:p>
      <w:pPr>
        <w:pStyle w:val="Normal"/>
        <w:jc w:val="both"/>
        <w:rPr/>
      </w:pPr>
      <w:r>
        <w:rPr/>
        <w:t>Konsolidovaná účtovná jednotka Základná škola zostavuje účtovnú závierku. Táto účtovná závierka zostavená k 31. decembru 2018 bola zahrnutá do konsolidovanej účtovnej závierky konsolidovaného celku obce Tekovské Nemce. Konsolidovaná účtovná jednotka Základná škola je rozpočtovou organizáciou v zriadovateľskej pôsobnosti konsolidujúcej účtovnej jednotky obce Tekovské Nemce.</w:t>
      </w:r>
    </w:p>
    <w:p>
      <w:pPr>
        <w:pStyle w:val="Normal"/>
        <w:jc w:val="both"/>
        <w:rPr/>
      </w:pPr>
      <w:r>
        <w:rPr/>
        <w:t xml:space="preserve">Konsolidujúca účtovná jednotka obec Tekovské Nemce nemá príspevkové organizácie vo svojej zriaďovatelskej pôsobnosti a tiež nemá žiadne obchodné spoločnosti. </w:t>
      </w:r>
    </w:p>
    <w:p>
      <w:pPr>
        <w:pStyle w:val="Normal"/>
        <w:jc w:val="both"/>
        <w:rPr/>
      </w:pPr>
      <w:r>
        <w:rPr/>
      </w:r>
    </w:p>
    <w:p>
      <w:pPr>
        <w:pStyle w:val="Normal"/>
        <w:jc w:val="both"/>
        <w:rPr>
          <w:b/>
          <w:b/>
        </w:rPr>
      </w:pPr>
      <w:r>
        <w:rPr>
          <w:b/>
        </w:rPr>
        <w:t>2. Informácie o zamestnancoch konsolidovaného celku</w:t>
      </w:r>
    </w:p>
    <w:p>
      <w:pPr>
        <w:pStyle w:val="Normal"/>
        <w:jc w:val="both"/>
        <w:rPr/>
      </w:pPr>
      <w:r>
        <w:rPr>
          <w:b/>
        </w:rPr>
        <w:t>Priemerný počet zamestnancov konsolidovaného celku verejnej správy počas účtovného obdobia: 3</w:t>
      </w:r>
      <w:r>
        <w:rPr>
          <w:b/>
        </w:rPr>
        <w:t>6</w:t>
      </w:r>
      <w:r>
        <w:rPr/>
        <w:t xml:space="preserve"> zamestnancov</w:t>
      </w:r>
    </w:p>
    <w:p>
      <w:pPr>
        <w:pStyle w:val="Normal"/>
        <w:jc w:val="both"/>
        <w:rPr/>
      </w:pPr>
      <w:r>
        <w:rPr>
          <w:b/>
        </w:rPr>
        <w:t>Z toho počet vedúcich zamestnancov: 4</w:t>
      </w:r>
      <w:r>
        <w:rPr/>
        <w:t xml:space="preserve"> vedúci zamestnanci</w:t>
      </w:r>
    </w:p>
    <w:p>
      <w:pPr>
        <w:pStyle w:val="Normal"/>
        <w:jc w:val="both"/>
        <w:rPr/>
      </w:pPr>
      <w:r>
        <w:rPr/>
      </w:r>
    </w:p>
    <w:p>
      <w:pPr>
        <w:pStyle w:val="Normal"/>
        <w:jc w:val="both"/>
        <w:rPr>
          <w:b/>
          <w:b/>
        </w:rPr>
      </w:pPr>
      <w:r>
        <w:rPr>
          <w:b/>
        </w:rPr>
        <w:t>3. Údaje o konsolidujúcej účtovnej jednotke, ktorá zostavuje konsolidovanú účtovnú závierku</w:t>
      </w:r>
    </w:p>
    <w:p>
      <w:pPr>
        <w:pStyle w:val="Normal"/>
        <w:jc w:val="both"/>
        <w:rPr/>
      </w:pPr>
      <w:r>
        <w:rPr>
          <w:b/>
        </w:rPr>
        <w:t xml:space="preserve">Názov konsolidujúcej účtovnej jednotky, ktorá zostavuje konsolidovanú účtovnú závierku: </w:t>
      </w:r>
      <w:r>
        <w:rPr/>
        <w:t>Obec Tekovské Nemce</w:t>
      </w:r>
    </w:p>
    <w:p>
      <w:pPr>
        <w:pStyle w:val="Normal"/>
        <w:jc w:val="both"/>
        <w:rPr/>
      </w:pPr>
      <w:r>
        <w:rPr>
          <w:b/>
        </w:rPr>
        <w:t>Sídlo konsolidujúcej účtovnej jednotky, ktorá zostavuje konsolidovanú účtovnú závierku: Tekovská 405 966 54  Tekovské Nemce</w:t>
      </w:r>
    </w:p>
    <w:p>
      <w:pPr>
        <w:pStyle w:val="Nadpis2"/>
        <w:rPr>
          <w:rFonts w:ascii="Calibri" w:hAnsi="Calibri"/>
          <w:sz w:val="22"/>
          <w:szCs w:val="22"/>
        </w:rPr>
      </w:pPr>
      <w:r>
        <w:rPr>
          <w:rFonts w:ascii="Calibri" w:hAnsi="Calibri"/>
          <w:sz w:val="22"/>
          <w:szCs w:val="22"/>
        </w:rPr>
        <w:t>Informácie o vedúcich predstaviteľoch a o </w:t>
      </w:r>
      <w:r>
        <w:rPr>
          <w:rFonts w:ascii="Calibri" w:hAnsi="Calibri"/>
          <w:sz w:val="22"/>
          <w:szCs w:val="22"/>
          <w:lang w:val="sk-SK"/>
        </w:rPr>
        <w:t>zamestnancoch konsolidovaného celku</w:t>
      </w:r>
    </w:p>
    <w:p>
      <w:pPr>
        <w:pStyle w:val="Odstavec"/>
        <w:rPr>
          <w:rFonts w:ascii="Calibri" w:hAnsi="Calibri"/>
          <w:sz w:val="22"/>
          <w:szCs w:val="22"/>
        </w:rPr>
      </w:pPr>
      <w:r>
        <w:rPr>
          <w:rFonts w:ascii="Calibri" w:hAnsi="Calibri"/>
          <w:sz w:val="22"/>
          <w:szCs w:val="22"/>
        </w:rPr>
        <w:t xml:space="preserve">Starosta obce: </w:t>
        <w:tab/>
        <w:tab/>
        <w:t xml:space="preserve">    Ing. </w:t>
      </w:r>
      <w:r>
        <w:rPr>
          <w:rFonts w:ascii="Calibri" w:hAnsi="Calibri"/>
          <w:sz w:val="22"/>
          <w:szCs w:val="22"/>
        </w:rPr>
        <w:t>Erika Valkovičová</w:t>
      </w:r>
    </w:p>
    <w:p>
      <w:pPr>
        <w:pStyle w:val="Odstavec"/>
        <w:rPr>
          <w:rFonts w:ascii="Calibri" w:hAnsi="Calibri"/>
          <w:sz w:val="22"/>
          <w:szCs w:val="22"/>
        </w:rPr>
      </w:pPr>
      <w:r>
        <w:rPr>
          <w:rFonts w:ascii="Calibri" w:hAnsi="Calibri"/>
          <w:sz w:val="22"/>
          <w:szCs w:val="22"/>
        </w:rPr>
        <w:t>Zástupca starostu:</w:t>
        <w:tab/>
        <w:t xml:space="preserve">     </w:t>
      </w:r>
      <w:r>
        <w:rPr>
          <w:rFonts w:ascii="Calibri" w:hAnsi="Calibri"/>
          <w:sz w:val="22"/>
          <w:szCs w:val="22"/>
        </w:rPr>
        <w:t>Ing. Valkovič Ján</w:t>
      </w:r>
      <w:r>
        <w:rPr>
          <w:rFonts w:ascii="Calibri" w:hAnsi="Calibri"/>
          <w:sz w:val="22"/>
          <w:szCs w:val="22"/>
        </w:rPr>
        <w:t xml:space="preserve">    </w:t>
      </w:r>
    </w:p>
    <w:p>
      <w:pPr>
        <w:pStyle w:val="Odstavec"/>
        <w:rPr>
          <w:rFonts w:ascii="Calibri" w:hAnsi="Calibri"/>
          <w:sz w:val="22"/>
          <w:szCs w:val="22"/>
        </w:rPr>
      </w:pPr>
      <w:r>
        <w:rPr>
          <w:rFonts w:ascii="Calibri" w:hAnsi="Calibri"/>
          <w:sz w:val="22"/>
          <w:szCs w:val="22"/>
        </w:rPr>
        <w:t xml:space="preserve">Hlavný kontrolór obce:       </w:t>
      </w:r>
      <w:r>
        <w:rPr>
          <w:rFonts w:ascii="Calibri" w:hAnsi="Calibri"/>
          <w:sz w:val="22"/>
          <w:szCs w:val="22"/>
        </w:rPr>
        <w:t>Mária  Šalková</w:t>
      </w:r>
    </w:p>
    <w:p>
      <w:pPr>
        <w:pStyle w:val="Odstavec"/>
        <w:jc w:val="both"/>
        <w:rPr/>
      </w:pPr>
      <w:r>
        <w:rPr>
          <w:rFonts w:ascii="Calibri" w:hAnsi="Calibri"/>
          <w:sz w:val="22"/>
          <w:szCs w:val="22"/>
        </w:rPr>
        <w:t xml:space="preserve">Riditeľka ZŠsMŠ                   </w:t>
      </w:r>
      <w:r>
        <w:rPr>
          <w:rFonts w:ascii="Calibri" w:hAnsi="Calibri"/>
          <w:sz w:val="22"/>
          <w:szCs w:val="22"/>
        </w:rPr>
        <w:t>Mgr</w:t>
      </w:r>
      <w:r>
        <w:rPr>
          <w:rFonts w:ascii="Calibri" w:hAnsi="Calibri"/>
          <w:sz w:val="22"/>
          <w:szCs w:val="22"/>
        </w:rPr>
        <w:t xml:space="preserve">. </w:t>
      </w:r>
      <w:r>
        <w:rPr>
          <w:rFonts w:ascii="Calibri" w:hAnsi="Calibri"/>
          <w:sz w:val="22"/>
          <w:szCs w:val="22"/>
        </w:rPr>
        <w:t>Patrícia Jančeková</w:t>
      </w:r>
    </w:p>
    <w:p>
      <w:pPr>
        <w:pStyle w:val="Odstavec"/>
        <w:jc w:val="both"/>
        <w:rPr/>
      </w:pPr>
      <w:r>
        <w:rPr>
          <w:rFonts w:ascii="Calibri" w:hAnsi="Calibri"/>
          <w:sz w:val="22"/>
          <w:szCs w:val="22"/>
        </w:rPr>
        <w:t xml:space="preserve"> </w:t>
      </w:r>
      <w:r>
        <w:rPr/>
        <w:t xml:space="preserve">     </w:t>
      </w:r>
    </w:p>
    <w:p>
      <w:pPr>
        <w:pStyle w:val="Normal"/>
        <w:jc w:val="both"/>
        <w:rPr>
          <w:b/>
          <w:b/>
        </w:rPr>
      </w:pPr>
      <w:r>
        <w:rPr>
          <w:b/>
        </w:rPr>
        <w:t>4. Údaje o účtovných jednotkách, v ktorých má konsolidujúca účtovná jednotka podiely a nie sú zaradené do konsolidovaného celku</w:t>
      </w:r>
    </w:p>
    <w:p>
      <w:pPr>
        <w:pStyle w:val="Normal"/>
        <w:jc w:val="both"/>
        <w:rPr/>
      </w:pPr>
      <w:r>
        <w:rPr>
          <w:b/>
        </w:rPr>
        <w:t>Názov účtovnej jednotky, v ktorej má konsolidujúca účtovná jednotka podiely, ktoré nespĺňajú podmienky na zahrnutie do konsolidovaného celku:</w:t>
      </w:r>
      <w:r>
        <w:rPr/>
        <w:t xml:space="preserve"> Západoslovenská vodárenská spoločnosť, a.s. </w:t>
      </w:r>
      <w:r>
        <w:rPr>
          <w:b/>
        </w:rPr>
        <w:t xml:space="preserve">Sídlo účtovnej jednotky, v ktorej má konsolidujúca účtovná jednotka podiely, ktoré nespĺňajú podmienky na zahrnutie do konsolidovaného celku: </w:t>
      </w:r>
      <w:r>
        <w:rPr/>
        <w:t>Nábrežie za hydrocentrálou 4, 949 60 Nitra</w:t>
      </w:r>
    </w:p>
    <w:p>
      <w:pPr>
        <w:pStyle w:val="Normal"/>
        <w:jc w:val="both"/>
        <w:rPr/>
      </w:pPr>
      <w:r>
        <w:rPr>
          <w:b/>
        </w:rPr>
        <w:t>Odôvodnenie nezahrnutia do konsolidovaného celku:</w:t>
      </w:r>
      <w:r>
        <w:rPr/>
        <w:t xml:space="preserve"> Obec Tekovské Nemce má v Západoslovenskej vodárenskej spoločnosti, a.s. podiely vo výške 206275,85 €, čo predstavujú realizovateľné cenné papiere účtované na účte 063. Podiely predstavujú 0,12% podiel na základnom imaní. Vzhľadom k tomu, že obec Tekovské Nemce má menej ako 20% hlasovacích práv, vplyv nie je ani podstatný, Západoslovenská vodárenská spoločnosť nevstupuje do konsolidácie. </w:t>
      </w:r>
    </w:p>
    <w:p>
      <w:pPr>
        <w:pStyle w:val="Normal"/>
        <w:jc w:val="both"/>
        <w:rPr/>
      </w:pPr>
      <w:r>
        <w:rPr/>
      </w:r>
    </w:p>
    <w:p>
      <w:pPr>
        <w:pStyle w:val="Normal"/>
        <w:jc w:val="both"/>
        <w:rPr>
          <w:b/>
          <w:b/>
        </w:rPr>
      </w:pPr>
      <w:r>
        <w:rPr>
          <w:b/>
        </w:rPr>
        <w:t>5.</w:t>
      </w:r>
      <w:r>
        <w:rPr/>
        <w:t xml:space="preserve"> </w:t>
      </w:r>
      <w:r>
        <w:rPr>
          <w:b/>
        </w:rPr>
        <w:t>Výška podielov na výsledku hospodárenia konsolidovaných účtovných jednotiek, ktorými sú obchodné spoločnosti, ktoré konsolidujúca účtovná jednotka ovláda alebo vykonáva v nich podstatný vplyv</w:t>
      </w:r>
    </w:p>
    <w:p>
      <w:pPr>
        <w:pStyle w:val="Normal"/>
        <w:jc w:val="both"/>
        <w:rPr/>
      </w:pPr>
      <w:r>
        <w:rPr/>
        <w:t>Obec Tekovské Nemce neovláda žiadne obchodné spoločnosti ani nevykonáva v nich podstatný vplyv. V priebehu účtovného obdobia sa medzi účtovnými jednotkami konsolidovaného celku neuskutočnil žiaden nákup resp. predaj majetku, nie sú nijaké podiely na výsledku hospodárenia konsolidovaných účtovných jednotiek.</w:t>
      </w:r>
    </w:p>
    <w:p>
      <w:pPr>
        <w:pStyle w:val="Normal"/>
        <w:jc w:val="both"/>
        <w:rPr/>
      </w:pPr>
      <w:r>
        <w:rPr/>
      </w:r>
    </w:p>
    <w:p>
      <w:pPr>
        <w:pStyle w:val="Normal"/>
        <w:jc w:val="both"/>
        <w:rPr>
          <w:b/>
          <w:b/>
        </w:rPr>
      </w:pPr>
      <w:r>
        <w:rPr>
          <w:b/>
        </w:rPr>
        <w:t>6.</w:t>
      </w:r>
      <w:r>
        <w:rPr/>
        <w:t xml:space="preserve"> </w:t>
      </w:r>
      <w:r>
        <w:rPr>
          <w:b/>
        </w:rPr>
        <w:t>Informácie o zmenách v konsolidovanom celku</w:t>
      </w:r>
    </w:p>
    <w:p>
      <w:pPr>
        <w:pStyle w:val="Normal"/>
        <w:jc w:val="both"/>
        <w:rPr/>
      </w:pPr>
      <w:r>
        <w:rPr/>
        <w:t>V konsolidovanom celku nenastali počas účtovného obdobia roku 20</w:t>
      </w:r>
      <w:r>
        <w:rPr/>
        <w:t>20</w:t>
      </w:r>
      <w:r>
        <w:rPr/>
        <w:t xml:space="preserve"> žiadne zmeny.</w:t>
      </w:r>
    </w:p>
    <w:p>
      <w:pPr>
        <w:pStyle w:val="Normal"/>
        <w:jc w:val="both"/>
        <w:rPr/>
      </w:pPr>
      <w:r>
        <w:rPr/>
      </w:r>
    </w:p>
    <w:p>
      <w:pPr>
        <w:pStyle w:val="Normal"/>
        <w:jc w:val="both"/>
        <w:rPr>
          <w:b/>
          <w:b/>
        </w:rPr>
      </w:pPr>
      <w:r>
        <w:rPr>
          <w:b/>
        </w:rPr>
        <w:t>7.</w:t>
      </w:r>
      <w:r>
        <w:rPr/>
        <w:t xml:space="preserve"> </w:t>
      </w:r>
      <w:r>
        <w:rPr>
          <w:b/>
        </w:rPr>
        <w:t>Dosiahnutý kladný alebo záporný výsledok hospodárenia z dôvodu predaja majetku medzi účtovnými jednotkami konsolidovaného celku</w:t>
      </w:r>
    </w:p>
    <w:p>
      <w:pPr>
        <w:pStyle w:val="Normal"/>
        <w:jc w:val="both"/>
        <w:rPr/>
      </w:pPr>
      <w:r>
        <w:rPr/>
        <w:t xml:space="preserve">Nakoľko medzi účtovnými jednotkami konsolidovaného celku nenastal v priebehu účtovného obdobia žiaden predaj majetku, nie je dosiahnutý ani kladný ani záporný výsledok hospodárenia. </w:t>
      </w:r>
    </w:p>
    <w:p>
      <w:pPr>
        <w:pStyle w:val="Normal"/>
        <w:jc w:val="both"/>
        <w:rPr/>
      </w:pPr>
      <w:r>
        <w:rPr/>
      </w:r>
    </w:p>
    <w:p>
      <w:pPr>
        <w:pStyle w:val="Normal"/>
        <w:jc w:val="both"/>
        <w:rPr/>
      </w:pPr>
      <w:r>
        <w:rPr/>
      </w:r>
    </w:p>
    <w:p>
      <w:pPr>
        <w:pStyle w:val="Normal"/>
        <w:jc w:val="both"/>
        <w:rPr>
          <w:b/>
          <w:b/>
        </w:rPr>
      </w:pPr>
      <w:r>
        <w:rPr>
          <w:b/>
        </w:rPr>
        <w:t>8. Metódy oceňovania použité pri ocenení jednotlivých položiek konsolidovanej účtovnej závierky účtovnej jednotky</w:t>
      </w:r>
    </w:p>
    <w:p>
      <w:pPr>
        <w:pStyle w:val="Odstavec"/>
        <w:rPr/>
      </w:pPr>
      <w:r>
        <w:rPr>
          <w:b/>
        </w:rPr>
        <w:t>Dlhodobý nehmotný majetok nakupovaný</w:t>
      </w:r>
      <w:r>
        <w:rP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pPr>
        <w:pStyle w:val="Odstavec"/>
        <w:rPr/>
      </w:pPr>
      <w:r>
        <w:rPr>
          <w:b/>
        </w:rPr>
        <w:t xml:space="preserve">Dlhodobý nehmotný majetok vytvorený vlastnou činnosťou </w:t>
      </w:r>
      <w:r>
        <w:rP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pPr>
        <w:pStyle w:val="Odstavec"/>
        <w:rPr/>
      </w:pPr>
      <w:r>
        <w:rPr>
          <w:b/>
        </w:rPr>
        <w:t>Dlhodobý hmotný majetok nakupovaný</w:t>
      </w:r>
      <w:r>
        <w:rP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pPr>
        <w:pStyle w:val="Odstavec"/>
        <w:rPr/>
      </w:pPr>
      <w:r>
        <w:rPr>
          <w:b/>
        </w:rPr>
        <w:t xml:space="preserve">Dlhodobý hmotný majetok vytvorený vlastnou činnosťou </w:t>
      </w:r>
      <w:r>
        <w:rP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pPr>
        <w:pStyle w:val="Normal"/>
        <w:tabs>
          <w:tab w:val="left" w:pos="540" w:leader="none"/>
        </w:tabs>
        <w:jc w:val="both"/>
        <w:rPr/>
      </w:pPr>
      <w:r>
        <w:rPr>
          <w:b/>
        </w:rPr>
        <w:t xml:space="preserve">Dlhodobý nehmotný majetok a dlhodobý hmotný majetok získaný bezodplatne </w:t>
      </w:r>
      <w:r>
        <w:rPr/>
        <w:t xml:space="preserve">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pPr>
        <w:pStyle w:val="Normal"/>
        <w:tabs>
          <w:tab w:val="left" w:pos="540" w:leader="none"/>
        </w:tabs>
        <w:jc w:val="both"/>
        <w:rPr/>
      </w:pPr>
      <w:r>
        <w:rPr>
          <w:b/>
        </w:rPr>
        <w:t xml:space="preserve">Dlhodobý finančný majetok </w:t>
      </w:r>
      <w:r>
        <w:rPr/>
        <w:t xml:space="preserve">sa oceňuje pri jeho nadobudnutí obstarávacou cenou, t.j. vrátane nákladov súvisiacich s obstaraním. </w:t>
      </w:r>
    </w:p>
    <w:p>
      <w:pPr>
        <w:pStyle w:val="Odstavec"/>
        <w:rPr/>
      </w:pPr>
      <w:r>
        <w:rPr>
          <w:b/>
        </w:rPr>
        <w:t xml:space="preserve">Zásoby nakupované </w:t>
      </w:r>
      <w:r>
        <w:rP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b/>
        </w:rPr>
        <w:t xml:space="preserve">Zásoby vytvorené vlastnou činnosťou </w:t>
      </w:r>
      <w:r>
        <w:rPr/>
        <w:t xml:space="preserve">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b/>
        </w:rPr>
        <w:t>Zásoby získané bezodplatne</w:t>
      </w:r>
      <w:r>
        <w:rPr/>
        <w:t xml:space="preserve"> (darovaním a delimitáciou), prebytky zásob, odpad a zvyškové produkty  sa oceňujú reprodukčnou obstarávacou cenou, čo je cena, za ktorú by sa majetok obstarali v čase, keď sa o ňom účtuje.</w:t>
      </w:r>
      <w:r>
        <w:rPr>
          <w:bCs/>
        </w:rPr>
        <w:t xml:space="preserve"> </w:t>
      </w:r>
      <w:r>
        <w:rPr/>
        <w:t>Novo                                                                          zistené zásoby pri inventarizácii sa oceňujú reprodukčnou obstarávacou cenou.</w:t>
      </w:r>
    </w:p>
    <w:p>
      <w:pPr>
        <w:pStyle w:val="Odstavec"/>
        <w:rPr/>
      </w:pPr>
      <w:r>
        <w:rPr>
          <w:b/>
        </w:rPr>
        <w:t xml:space="preserve">Pohľadávky </w:t>
      </w:r>
      <w:r>
        <w:rPr/>
        <w:t>pri ich vzniku sa oceňujú menovitou hodnotou. Pohľadávky pri odplatnom nadobudnutí sa oceňujú obstarávacou cenou, t.j. vrátane nákladov súvisiacich s obstaraním. Toto ocenenie sa znižuje o pochybné,  nedobytné pohľadávky a o pohľadávky, pri ktorých existuje riziko nevymožitelnosti a to prostredníctvom opravnej položky.</w:t>
      </w:r>
    </w:p>
    <w:p>
      <w:pPr>
        <w:pStyle w:val="Odstavec"/>
        <w:rPr/>
      </w:pPr>
      <w:r>
        <w:rPr>
          <w:b/>
        </w:rPr>
        <w:t xml:space="preserve">Krátkodobý finančný majetok </w:t>
      </w:r>
      <w:r>
        <w:rPr/>
        <w:t>sa oceňuje menovitou hodnotou. Zníženie ich hodnoty sa vyjadruje opravnou položkou.</w:t>
      </w:r>
    </w:p>
    <w:p>
      <w:pPr>
        <w:pStyle w:val="Odstavec"/>
        <w:rPr/>
      </w:pPr>
      <w:r>
        <w:rPr>
          <w:b/>
        </w:rPr>
        <w:t xml:space="preserve">Časové rozlíšenie na strane aktív </w:t>
      </w:r>
      <w:r>
        <w:rPr/>
        <w:t>(náklady budúcich období a príjmy budúcich období)  sú vykázané vo výške, ktorá je potrebná na dodržanie zásady vecnej a časovej súvislosti s účtovným obdobím.</w:t>
      </w:r>
    </w:p>
    <w:p>
      <w:pPr>
        <w:pStyle w:val="Odstavec"/>
        <w:rPr/>
      </w:pPr>
      <w:r>
        <w:rPr>
          <w:b/>
        </w:rPr>
        <w:t xml:space="preserve">Záväzky, vrátane rezerv, dlhopisov, pôžičiek a úverov </w:t>
      </w:r>
      <w:r>
        <w:rPr/>
        <w:t>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 Rezervy sú záväzky s neurčitým časovým vymedzením alebo výškou a oceňujú sa v očakávanej výške záväzku alebo poistno-matematickými metódami. Tvoria sa na základe zásady opatrnosti, t.z. tvoria sa na krytie známych rizík alebo strát.</w:t>
      </w:r>
    </w:p>
    <w:p>
      <w:pPr>
        <w:pStyle w:val="Odstavec"/>
        <w:rPr/>
      </w:pPr>
      <w:r>
        <w:rPr>
          <w:b/>
        </w:rPr>
        <w:t xml:space="preserve">Časové rozlíšenie na strane pasív </w:t>
      </w:r>
      <w:r>
        <w:rPr/>
        <w:t>(výdavky budúcich období a výnosy budúcich období)  sú vykázané vo výške, ktorá je potrebná na dodržanie zásady vecnej a časovej súvislosti s účtovným obdobím.</w:t>
      </w:r>
    </w:p>
    <w:p>
      <w:pPr>
        <w:pStyle w:val="Odstavec"/>
        <w:rPr/>
      </w:pPr>
      <w:r>
        <w:rPr>
          <w:b/>
        </w:rPr>
        <w:t>Deriváty</w:t>
      </w:r>
      <w:r>
        <w:rPr/>
        <w:t xml:space="preserve">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tab/>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pPr>
        <w:pStyle w:val="Odstavec"/>
        <w:rPr/>
      </w:pPr>
      <w:r>
        <w:rPr>
          <w:b/>
        </w:rPr>
        <w:t>Majetok a záväzky zabezpečené derivátmi</w:t>
      </w:r>
      <w:r>
        <w:rPr/>
        <w:t xml:space="preserve"> sa oceňujú reálnou hodnotou. Zmeny reálnych hodnôt majetku a záväzkov zabezpečených derivátmi sa účtujú bez vplyvu na výsledok hospodárenia priamo do vlastného imania na účet 414.</w:t>
      </w:r>
    </w:p>
    <w:p>
      <w:pPr>
        <w:pStyle w:val="Normal"/>
        <w:jc w:val="both"/>
        <w:rPr>
          <w:bCs/>
          <w:kern w:val="2"/>
        </w:rPr>
      </w:pPr>
      <w:r>
        <w:rPr>
          <w:b/>
          <w:bCs/>
          <w:kern w:val="2"/>
        </w:rPr>
        <w:t>Majetok obstaraný z transferov</w:t>
      </w:r>
      <w:r>
        <w:rPr>
          <w:bCs/>
          <w:kern w:val="2"/>
        </w:rPr>
        <w:t xml:space="preserve"> sa oceňuje obstarávacou cenou.</w:t>
      </w:r>
    </w:p>
    <w:p>
      <w:pPr>
        <w:pStyle w:val="Normal"/>
        <w:jc w:val="both"/>
        <w:rPr>
          <w:bCs/>
          <w:kern w:val="2"/>
        </w:rPr>
      </w:pPr>
      <w:r>
        <w:rPr>
          <w:b/>
          <w:bCs/>
          <w:kern w:val="2"/>
        </w:rPr>
        <w:t>Finančný prenájom</w:t>
      </w:r>
      <w:r>
        <w:rPr>
          <w:bCs/>
          <w:kern w:val="2"/>
        </w:rPr>
        <w:t xml:space="preserve">  - majetok obstaraný formou finančného a operatívneho prenájmu sa oceňuje obstarávacou cenou. Finančný prenájom je obstaranie dlhodobého hmotného majetku na základe nájomnej zmluvy s dojednaným právom kúpy prenajatej veci za dohodnuté platby počas dohodnutej doby nájmu. Majetok prenajatý formou finančného prenájmu sa vykazuje ako svoj majetok a odpisuje ho jeho nájomca, nie vlastník.</w:t>
      </w:r>
    </w:p>
    <w:p>
      <w:pPr>
        <w:pStyle w:val="Normal"/>
        <w:jc w:val="both"/>
        <w:rPr>
          <w:b/>
          <w:b/>
        </w:rPr>
      </w:pPr>
      <w:r>
        <w:rPr>
          <w:b/>
        </w:rPr>
      </w:r>
    </w:p>
    <w:p>
      <w:pPr>
        <w:pStyle w:val="Normal"/>
        <w:jc w:val="center"/>
        <w:rPr>
          <w:b/>
          <w:b/>
        </w:rPr>
      </w:pPr>
      <w:r>
        <w:rPr>
          <w:b/>
        </w:rPr>
        <w:t>Čl. II     INFORMÁCIE O METÓDACH A POSTUPOCH KONSOLIDÁCIE</w:t>
      </w:r>
    </w:p>
    <w:p>
      <w:pPr>
        <w:pStyle w:val="Normal"/>
        <w:jc w:val="center"/>
        <w:rPr>
          <w:b/>
          <w:b/>
        </w:rPr>
      </w:pPr>
      <w:r>
        <w:rPr>
          <w:b/>
        </w:rPr>
      </w:r>
    </w:p>
    <w:p>
      <w:pPr>
        <w:pStyle w:val="Normal"/>
        <w:jc w:val="both"/>
        <w:rPr>
          <w:b/>
          <w:b/>
        </w:rPr>
      </w:pPr>
      <w:r>
        <w:rPr>
          <w:b/>
        </w:rPr>
        <w:t>Informácie o použitých metódach konsolidácie</w:t>
      </w:r>
    </w:p>
    <w:p>
      <w:pPr>
        <w:pStyle w:val="Normal"/>
        <w:jc w:val="both"/>
        <w:rPr/>
      </w:pPr>
      <w:r>
        <w:rPr/>
        <w:t xml:space="preserve">Konsolidované účtovné jednotky boli zahrnuté do konsolidovanej účtovnej závierky konsolidovaného celku obce Tekovské Nemce metódou konsolidácie uvedenou v nasledujúcom prehľade: </w:t>
      </w:r>
    </w:p>
    <w:tbl>
      <w:tblPr>
        <w:tblW w:w="9180"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a0"/>
      </w:tblPr>
      <w:tblGrid>
        <w:gridCol w:w="4619"/>
        <w:gridCol w:w="1483"/>
        <w:gridCol w:w="1526"/>
        <w:gridCol w:w="1551"/>
      </w:tblGrid>
      <w:tr>
        <w:trPr/>
        <w:tc>
          <w:tcPr>
            <w:tcW w:w="46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jc w:val="center"/>
              <w:rPr>
                <w:rFonts w:eastAsia="Times New Roman"/>
                <w:b/>
                <w:b/>
                <w:sz w:val="24"/>
                <w:szCs w:val="24"/>
              </w:rPr>
            </w:pPr>
            <w:r>
              <w:rPr>
                <w:b/>
              </w:rPr>
              <w:t>Názov resp. obchodné meno</w:t>
            </w:r>
          </w:p>
          <w:p>
            <w:pPr>
              <w:pStyle w:val="Normal"/>
              <w:spacing w:before="0" w:after="200"/>
              <w:jc w:val="center"/>
              <w:rPr>
                <w:rFonts w:eastAsia="Times New Roman"/>
                <w:b/>
                <w:b/>
                <w:sz w:val="24"/>
                <w:szCs w:val="24"/>
              </w:rPr>
            </w:pPr>
            <w:r>
              <w:rPr>
                <w:b/>
              </w:rPr>
              <w:t>konsolidovanej účtovnej jednotky</w:t>
            </w:r>
          </w:p>
        </w:tc>
        <w:tc>
          <w:tcPr>
            <w:tcW w:w="14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jc w:val="center"/>
              <w:rPr>
                <w:rFonts w:eastAsia="Times New Roman"/>
                <w:b/>
                <w:b/>
                <w:sz w:val="24"/>
                <w:szCs w:val="24"/>
              </w:rPr>
            </w:pPr>
            <w:r>
              <w:rPr>
                <w:b/>
              </w:rPr>
              <w:t xml:space="preserve">Metóda </w:t>
            </w:r>
          </w:p>
          <w:p>
            <w:pPr>
              <w:pStyle w:val="Normal"/>
              <w:spacing w:before="0" w:after="200"/>
              <w:jc w:val="center"/>
              <w:rPr>
                <w:rFonts w:eastAsia="Times New Roman"/>
                <w:b/>
                <w:b/>
                <w:sz w:val="24"/>
                <w:szCs w:val="24"/>
              </w:rPr>
            </w:pPr>
            <w:r>
              <w:rPr>
                <w:b/>
              </w:rPr>
              <w:t>úplnej konsolidácie</w:t>
            </w:r>
          </w:p>
        </w:tc>
        <w:tc>
          <w:tcPr>
            <w:tcW w:w="15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jc w:val="center"/>
              <w:rPr>
                <w:rFonts w:eastAsia="Times New Roman"/>
                <w:b/>
                <w:b/>
                <w:sz w:val="24"/>
                <w:szCs w:val="24"/>
              </w:rPr>
            </w:pPr>
            <w:r>
              <w:rPr>
                <w:b/>
              </w:rPr>
              <w:t xml:space="preserve">Metóda </w:t>
            </w:r>
          </w:p>
          <w:p>
            <w:pPr>
              <w:pStyle w:val="Normal"/>
              <w:spacing w:before="0" w:after="200"/>
              <w:jc w:val="center"/>
              <w:rPr>
                <w:rFonts w:eastAsia="Times New Roman"/>
                <w:b/>
                <w:b/>
                <w:sz w:val="24"/>
                <w:szCs w:val="24"/>
              </w:rPr>
            </w:pPr>
            <w:r>
              <w:rPr>
                <w:b/>
              </w:rPr>
              <w:t>podielovej konsolidácie</w:t>
            </w:r>
          </w:p>
        </w:tc>
        <w:tc>
          <w:tcPr>
            <w:tcW w:w="15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jc w:val="center"/>
              <w:rPr>
                <w:rFonts w:eastAsia="Times New Roman"/>
                <w:b/>
                <w:b/>
                <w:sz w:val="24"/>
                <w:szCs w:val="24"/>
              </w:rPr>
            </w:pPr>
            <w:r>
              <w:rPr>
                <w:b/>
              </w:rPr>
              <w:t>Metóda</w:t>
            </w:r>
          </w:p>
          <w:p>
            <w:pPr>
              <w:pStyle w:val="Normal"/>
              <w:spacing w:before="0" w:after="200"/>
              <w:jc w:val="center"/>
              <w:rPr>
                <w:rFonts w:eastAsia="Times New Roman"/>
                <w:b/>
                <w:b/>
                <w:sz w:val="24"/>
                <w:szCs w:val="24"/>
              </w:rPr>
            </w:pPr>
            <w:r>
              <w:rPr>
                <w:b/>
              </w:rPr>
              <w:t>vlastného imania</w:t>
            </w:r>
          </w:p>
        </w:tc>
      </w:tr>
      <w:tr>
        <w:trPr/>
        <w:tc>
          <w:tcPr>
            <w:tcW w:w="46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b/>
                <w:b/>
                <w:sz w:val="24"/>
                <w:szCs w:val="24"/>
              </w:rPr>
            </w:pPr>
            <w:r>
              <w:rPr>
                <w:b/>
              </w:rPr>
              <w:t>Základná škola s Materskou školou Tekovské Nemce</w:t>
            </w:r>
          </w:p>
        </w:tc>
        <w:tc>
          <w:tcPr>
            <w:tcW w:w="14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sz w:val="24"/>
                <w:szCs w:val="24"/>
              </w:rPr>
            </w:pPr>
            <w:r>
              <w:rPr>
                <w:i/>
              </w:rPr>
              <w:t>áno</w:t>
            </w:r>
          </w:p>
        </w:tc>
        <w:tc>
          <w:tcPr>
            <w:tcW w:w="15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color w:val="FF0000"/>
                <w:sz w:val="24"/>
                <w:szCs w:val="24"/>
              </w:rPr>
            </w:pPr>
            <w:r>
              <w:rPr>
                <w:rFonts w:eastAsia="Times New Roman"/>
                <w:i/>
                <w:color w:val="FF0000"/>
                <w:sz w:val="24"/>
                <w:szCs w:val="24"/>
              </w:rPr>
            </w:r>
          </w:p>
        </w:tc>
        <w:tc>
          <w:tcPr>
            <w:tcW w:w="15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color w:val="FF0000"/>
                <w:sz w:val="24"/>
                <w:szCs w:val="24"/>
              </w:rPr>
            </w:pPr>
            <w:r>
              <w:rPr>
                <w:rFonts w:eastAsia="Times New Roman"/>
                <w:i/>
                <w:color w:val="FF0000"/>
                <w:sz w:val="24"/>
                <w:szCs w:val="24"/>
              </w:rPr>
            </w:r>
          </w:p>
        </w:tc>
      </w:tr>
    </w:tbl>
    <w:p>
      <w:pPr>
        <w:pStyle w:val="Normal"/>
        <w:jc w:val="both"/>
        <w:rPr>
          <w:rFonts w:eastAsia="Times New Roman"/>
        </w:rPr>
      </w:pPr>
      <w:r>
        <w:rPr/>
        <w:t xml:space="preserve">Do konsolidovaného celku bola zahrnutá ZŠ s MŠ Tekovské Nemce ako rozpočtová organizácia obce Tekovské Nemce. Pri konsolidácii sa uplatňuje metóda úplnej konsolidácie.  </w:t>
      </w:r>
    </w:p>
    <w:p>
      <w:pPr>
        <w:pStyle w:val="Normal"/>
        <w:jc w:val="both"/>
        <w:rPr>
          <w:b/>
          <w:b/>
        </w:rPr>
      </w:pPr>
      <w:r>
        <w:rPr>
          <w:b/>
        </w:rPr>
        <w:t>Metódy a postupy konsolidácie</w:t>
      </w:r>
    </w:p>
    <w:p>
      <w:pPr>
        <w:pStyle w:val="BodyText3"/>
        <w:rPr>
          <w:rFonts w:ascii="Times New Roman" w:hAnsi="Times New Roman" w:cs="Times New Roman"/>
        </w:rPr>
      </w:pPr>
      <w:r>
        <w:rPr>
          <w:rFonts w:cs="Times New Roman" w:ascii="Times New Roman" w:hAnsi="Times New Roman"/>
        </w:rPr>
        <w:t>Pri použitej metóde úplnej konsolidácie sa uplatnil nasledovný postup:</w:t>
      </w:r>
    </w:p>
    <w:p>
      <w:pPr>
        <w:pStyle w:val="Normal"/>
        <w:numPr>
          <w:ilvl w:val="0"/>
          <w:numId w:val="1"/>
        </w:numPr>
        <w:spacing w:lineRule="auto" w:line="240" w:before="0" w:after="0"/>
        <w:jc w:val="both"/>
        <w:rPr>
          <w:rFonts w:ascii="Times New Roman" w:hAnsi="Times New Roman" w:cs="Times New Roman"/>
          <w:bCs/>
          <w:iCs/>
        </w:rPr>
      </w:pPr>
      <w:r>
        <w:rPr>
          <w:bCs/>
          <w:iCs/>
        </w:rPr>
        <w:t>prispôsobenie účtovných výkazov účtovných jednotiek vstupujúcich do konsolidácie</w:t>
      </w:r>
    </w:p>
    <w:p>
      <w:pPr>
        <w:pStyle w:val="Normal"/>
        <w:numPr>
          <w:ilvl w:val="0"/>
          <w:numId w:val="1"/>
        </w:numPr>
        <w:spacing w:lineRule="auto" w:line="240" w:before="0" w:after="0"/>
        <w:jc w:val="both"/>
        <w:rPr>
          <w:bCs/>
          <w:iCs/>
        </w:rPr>
      </w:pPr>
      <w:r>
        <w:rPr>
          <w:bCs/>
          <w:iCs/>
        </w:rPr>
        <w:t>vytvorenie súčtovej súvahy a súčtového výkazu ziskov a strát</w:t>
      </w:r>
    </w:p>
    <w:p>
      <w:pPr>
        <w:pStyle w:val="Normal"/>
        <w:numPr>
          <w:ilvl w:val="0"/>
          <w:numId w:val="1"/>
        </w:numPr>
        <w:spacing w:lineRule="auto" w:line="240" w:before="0" w:after="0"/>
        <w:jc w:val="both"/>
        <w:rPr>
          <w:bCs/>
          <w:iCs/>
        </w:rPr>
      </w:pPr>
      <w:r>
        <w:rPr>
          <w:bCs/>
          <w:iCs/>
        </w:rPr>
        <w:t xml:space="preserve">eliminácia vzájomných transakcií (pohľadávok, záväzkov, nákladov, výnosov, kapitálu, medzivýsledkov). </w:t>
      </w:r>
    </w:p>
    <w:p>
      <w:pPr>
        <w:pStyle w:val="Normal"/>
        <w:jc w:val="both"/>
        <w:rPr>
          <w:bCs/>
          <w:iCs/>
        </w:rPr>
      </w:pPr>
      <w:r>
        <w:rPr>
          <w:bCs/>
          <w:iCs/>
        </w:rPr>
        <w:t>Konsolidácia sa skladá z konsolidácie kapitálu, konsolidácie pohľadávok a záväzkov, konsolidácie medzivýsledku a konsolidácie nákladov a výnosov.</w:t>
      </w:r>
    </w:p>
    <w:p>
      <w:pPr>
        <w:pStyle w:val="Normal"/>
        <w:jc w:val="both"/>
        <w:rPr>
          <w:bCs/>
          <w:iCs/>
        </w:rPr>
      </w:pPr>
      <w:r>
        <w:rPr>
          <w:bCs/>
          <w:iCs/>
        </w:rPr>
        <w:t>Konsolidácia kapitálu sa v prípade rozpočtovej organizácie nevykonáva.</w:t>
      </w:r>
    </w:p>
    <w:p>
      <w:pPr>
        <w:pStyle w:val="Normal"/>
        <w:jc w:val="both"/>
        <w:rPr>
          <w:bCs/>
          <w:iCs/>
        </w:rPr>
      </w:pPr>
      <w:r>
        <w:rPr>
          <w:bCs/>
          <w:iCs/>
        </w:rPr>
        <w:t>Konsolidácia pohľadávok a záväzkov predstavuje vylúčenie všetkých vzájomných pohľadávok a záväzkov medzi účtovnými jednotkami, ktoré sú eliminované v plnej výške. Na strane aktív bol eliminovaný účet 355 – Zúčtovanie transferov rozpočtu obce a VÚC vo výške –55 128,71 € a na strane pasív bol tiež eliminovaný účet 355 vo výške – 55 128,71 €.</w:t>
      </w:r>
    </w:p>
    <w:p>
      <w:pPr>
        <w:pStyle w:val="Normal"/>
        <w:jc w:val="both"/>
        <w:rPr>
          <w:bCs/>
          <w:iCs/>
        </w:rPr>
      </w:pPr>
      <w:r>
        <w:rPr>
          <w:bCs/>
          <w:iCs/>
        </w:rPr>
        <w:t>Konsolidácia medzivýsledku vzniká pri predaji majetku medzi dvomi účtovnými jednotkami konsolidačného celku. Konsolidácia medzivýsledku sa nevykonávala, nakoľko nedošlo k predaju majetku medzi účtovnými jednotkami konsolidovaného celku.</w:t>
      </w:r>
    </w:p>
    <w:p>
      <w:pPr>
        <w:pStyle w:val="Normal"/>
        <w:jc w:val="both"/>
        <w:rPr>
          <w:bCs/>
          <w:iCs/>
        </w:rPr>
      </w:pPr>
      <w:r>
        <w:rPr>
          <w:bCs/>
          <w:iCs/>
        </w:rPr>
        <w:t>Konsolidácia nákladov a výnosov - tieto náklady a výnosy sa eliminujú a uplatňuje sa fikcia ekonomickej jednotky. Na strane nákladov bol eliminovaný príslušný nákladový účet obce a na strane výnosov bol eliminovaný príslušný výnosový účet rozpočtovej organizácie (Základná škola).</w:t>
      </w:r>
    </w:p>
    <w:p>
      <w:pPr>
        <w:pStyle w:val="Normal"/>
        <w:rPr>
          <w:b/>
          <w:b/>
          <w:i/>
          <w:i/>
        </w:rPr>
      </w:pPr>
      <w:r>
        <w:rPr>
          <w:b/>
          <w:i/>
        </w:rPr>
      </w:r>
    </w:p>
    <w:p>
      <w:pPr>
        <w:pStyle w:val="Normal"/>
        <w:rPr>
          <w:b/>
          <w:b/>
        </w:rPr>
      </w:pPr>
      <w:r>
        <w:rPr>
          <w:b/>
        </w:rPr>
        <w:t xml:space="preserve"> </w:t>
      </w:r>
      <w:r>
        <w:rPr>
          <w:b/>
        </w:rPr>
        <w:t>Moment prvej konsolidácie kapitálu :</w:t>
      </w:r>
    </w:p>
    <w:p>
      <w:pPr>
        <w:pStyle w:val="Normal"/>
        <w:ind w:firstLine="284"/>
        <w:rPr>
          <w:b/>
          <w:b/>
          <w:i/>
          <w:i/>
        </w:rPr>
      </w:pPr>
      <w:r>
        <w:rPr>
          <w:b/>
          <w:i/>
        </w:rPr>
      </w:r>
    </w:p>
    <w:p>
      <w:pPr>
        <w:pStyle w:val="Normal"/>
        <w:numPr>
          <w:ilvl w:val="0"/>
          <w:numId w:val="2"/>
        </w:numPr>
        <w:tabs>
          <w:tab w:val="left" w:pos="567" w:leader="none"/>
        </w:tabs>
        <w:spacing w:lineRule="auto" w:line="240" w:before="0" w:after="0"/>
        <w:ind w:left="1440" w:hanging="1156"/>
        <w:rPr/>
      </w:pPr>
      <w:r>
        <w:rPr/>
        <w:t xml:space="preserve">Pri  rozpočtových organizáciách je to deň ich zriadenia. </w:t>
      </w:r>
    </w:p>
    <w:p>
      <w:pPr>
        <w:pStyle w:val="Normal"/>
        <w:numPr>
          <w:ilvl w:val="0"/>
          <w:numId w:val="2"/>
        </w:numPr>
        <w:tabs>
          <w:tab w:val="left" w:pos="567" w:leader="none"/>
        </w:tabs>
        <w:spacing w:lineRule="auto" w:line="240" w:before="0" w:after="0"/>
        <w:ind w:left="1440" w:hanging="1156"/>
        <w:rPr/>
      </w:pPr>
      <w:r>
        <w:rPr/>
        <w:t xml:space="preserve">Pri  príspevkových  organizáciách je to deň ich zriadenia. </w:t>
      </w:r>
    </w:p>
    <w:p>
      <w:pPr>
        <w:pStyle w:val="Normal"/>
        <w:numPr>
          <w:ilvl w:val="0"/>
          <w:numId w:val="2"/>
        </w:numPr>
        <w:tabs>
          <w:tab w:val="left" w:pos="567" w:leader="none"/>
        </w:tabs>
        <w:spacing w:lineRule="auto" w:line="240" w:before="0" w:after="0"/>
        <w:ind w:left="1440" w:hanging="1156"/>
        <w:rPr/>
      </w:pPr>
      <w:r>
        <w:rPr/>
        <w:t>Pri obchodných spoločnostiach je to deň obstarania podielov.</w:t>
      </w:r>
    </w:p>
    <w:p>
      <w:pPr>
        <w:pStyle w:val="Normal"/>
        <w:ind w:firstLine="284"/>
        <w:jc w:val="both"/>
        <w:rPr>
          <w:b/>
          <w:b/>
          <w:i/>
          <w:i/>
        </w:rPr>
      </w:pPr>
      <w:r>
        <w:rPr>
          <w:b/>
          <w:i/>
        </w:rPr>
      </w:r>
    </w:p>
    <w:p>
      <w:pPr>
        <w:pStyle w:val="Normal"/>
        <w:jc w:val="both"/>
        <w:rPr>
          <w:b/>
          <w:b/>
        </w:rPr>
      </w:pPr>
      <w:r>
        <w:rPr>
          <w:b/>
        </w:rPr>
        <w:t>Informácie o goodwille</w:t>
      </w:r>
    </w:p>
    <w:p>
      <w:pPr>
        <w:pStyle w:val="Normal"/>
        <w:ind w:firstLine="284"/>
        <w:jc w:val="both"/>
        <w:rPr>
          <w:b/>
          <w:b/>
          <w:i/>
          <w:i/>
        </w:rPr>
      </w:pPr>
      <w:r>
        <w:rPr>
          <w:b/>
          <w:i/>
        </w:rPr>
      </w:r>
    </w:p>
    <w:p>
      <w:pPr>
        <w:pStyle w:val="Normal"/>
        <w:numPr>
          <w:ilvl w:val="0"/>
          <w:numId w:val="3"/>
        </w:numPr>
        <w:tabs>
          <w:tab w:val="left" w:pos="567" w:leader="none"/>
        </w:tabs>
        <w:spacing w:lineRule="auto" w:line="240" w:before="0" w:after="0"/>
        <w:ind w:left="567" w:hanging="283"/>
        <w:jc w:val="both"/>
        <w:rPr/>
      </w:pPr>
      <w:r>
        <w:rPr/>
        <w:t>Goodwill nevzniká pri konsolidovanej účtovnej  jednotke, ktorou je rozpočtová organizácia.</w:t>
      </w:r>
    </w:p>
    <w:p>
      <w:pPr>
        <w:pStyle w:val="Normal"/>
        <w:numPr>
          <w:ilvl w:val="0"/>
          <w:numId w:val="3"/>
        </w:numPr>
        <w:tabs>
          <w:tab w:val="left" w:pos="567" w:leader="none"/>
        </w:tabs>
        <w:spacing w:lineRule="auto" w:line="240" w:before="0" w:after="0"/>
        <w:ind w:left="567" w:hanging="283"/>
        <w:jc w:val="both"/>
        <w:rPr/>
      </w:pPr>
      <w:r>
        <w:rPr/>
        <w:t>Goodwill nevzniká pri konsolidovanej účtovnej  jednotke, ktorou je príspevková  organizácia.</w:t>
      </w:r>
    </w:p>
    <w:p>
      <w:pPr>
        <w:pStyle w:val="Normal"/>
        <w:numPr>
          <w:ilvl w:val="0"/>
          <w:numId w:val="3"/>
        </w:numPr>
        <w:tabs>
          <w:tab w:val="left" w:pos="567" w:leader="none"/>
        </w:tabs>
        <w:spacing w:lineRule="auto" w:line="240" w:before="0" w:after="0"/>
        <w:ind w:left="567" w:hanging="283"/>
        <w:jc w:val="both"/>
        <w:rPr/>
      </w:pPr>
      <w:r>
        <w:rPr/>
        <w:t xml:space="preserve">Goodwill nevzniká pri založení konsolidovanej účtovnej  jednotky, ktorou je obchodná spoločnosť. </w:t>
      </w:r>
    </w:p>
    <w:p>
      <w:pPr>
        <w:pStyle w:val="Normal"/>
        <w:numPr>
          <w:ilvl w:val="0"/>
          <w:numId w:val="3"/>
        </w:numPr>
        <w:tabs>
          <w:tab w:val="left" w:pos="567" w:leader="none"/>
        </w:tabs>
        <w:spacing w:lineRule="auto" w:line="240" w:before="0" w:after="0"/>
        <w:ind w:left="567" w:hanging="283"/>
        <w:jc w:val="both"/>
        <w:rPr/>
      </w:pPr>
      <w:r>
        <w:rPr/>
        <w:t>Goodwill vzniká pri kúpe už existujúcej konsolidovanej účtovnej  jednotky, ktorou je obchodná spoločnosť.</w:t>
      </w:r>
    </w:p>
    <w:p>
      <w:pPr>
        <w:pStyle w:val="Normal"/>
        <w:numPr>
          <w:ilvl w:val="0"/>
          <w:numId w:val="3"/>
        </w:numPr>
        <w:tabs>
          <w:tab w:val="left" w:pos="567" w:leader="none"/>
        </w:tabs>
        <w:spacing w:lineRule="auto" w:line="240" w:before="0" w:after="0"/>
        <w:ind w:left="1440" w:hanging="1156"/>
        <w:jc w:val="both"/>
        <w:rPr/>
      </w:pPr>
      <w:r>
        <w:rPr/>
        <w:t>Goodwill sa odpisuje do 5 rokov.</w:t>
      </w:r>
    </w:p>
    <w:p>
      <w:pPr>
        <w:pStyle w:val="Normal"/>
        <w:jc w:val="both"/>
        <w:rPr/>
      </w:pPr>
      <w:r>
        <w:rPr/>
        <w:t xml:space="preserve">Vzhľadom k tomu, že obec Tekovské Nemce a konsolidovanú účtovnú jednotku Základnú školu, ktorá je rozpočtovou organizáciou, goodwill nevzniká. </w:t>
      </w:r>
    </w:p>
    <w:p>
      <w:pPr>
        <w:pStyle w:val="Pismenka"/>
        <w:rPr>
          <w:b/>
          <w:b/>
          <w:bCs/>
        </w:rPr>
      </w:pPr>
      <w:r>
        <w:rPr>
          <w:b/>
          <w:bCs/>
        </w:rPr>
      </w:r>
    </w:p>
    <w:p>
      <w:pPr>
        <w:pStyle w:val="Pismenka"/>
        <w:rPr/>
      </w:pPr>
      <w:r>
        <w:rPr/>
        <w:t>Metóda vlastného imania sa  neuplatňuje.</w:t>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jc w:val="center"/>
        <w:rPr/>
      </w:pPr>
      <w:r>
        <w:rPr/>
        <w:t>Čl. III     INFORMÁCIE O  ÚDAJOCH  AKTÍV A  PASÍV</w:t>
      </w:r>
    </w:p>
    <w:p>
      <w:pPr>
        <w:pStyle w:val="Pismenka"/>
        <w:jc w:val="center"/>
        <w:rPr/>
      </w:pPr>
      <w:r>
        <w:rPr/>
      </w:r>
    </w:p>
    <w:p>
      <w:pPr>
        <w:pStyle w:val="Pismenka"/>
        <w:rPr/>
      </w:pPr>
      <w:r>
        <w:rPr/>
        <w:t>a) Vlastné imanie</w:t>
      </w:r>
    </w:p>
    <w:p>
      <w:pPr>
        <w:pStyle w:val="Pismenka"/>
        <w:rPr>
          <w:b/>
          <w:b/>
        </w:rPr>
      </w:pPr>
      <w:r>
        <w:rPr>
          <w:b/>
        </w:rPr>
        <w:t xml:space="preserve">Podrobný prehľad o pohybe vlastného imania konsolidovaného celku je uvedený v tabuľkovej časti Tabuľka č. 12. </w:t>
      </w:r>
    </w:p>
    <w:p>
      <w:pPr>
        <w:pStyle w:val="Pismenka"/>
        <w:rPr/>
      </w:pPr>
      <w:r>
        <w:rPr>
          <w:b/>
        </w:rPr>
        <w:t>V roku 20</w:t>
      </w:r>
      <w:r>
        <w:rPr>
          <w:b/>
        </w:rPr>
        <w:t>20</w:t>
      </w:r>
      <w:r>
        <w:rPr>
          <w:b/>
        </w:rPr>
        <w:t xml:space="preserve"> bolo vlastné imanie 1 </w:t>
      </w:r>
      <w:r>
        <w:rPr>
          <w:b/>
        </w:rPr>
        <w:t>234 190,51</w:t>
      </w:r>
      <w:r>
        <w:rPr>
          <w:b/>
        </w:rPr>
        <w:t xml:space="preserve">  v roku 2019 zvýšené o kladný výsledok hospodárenia za účtovné obdobie vo výške 3</w:t>
      </w:r>
      <w:r>
        <w:rPr>
          <w:b/>
        </w:rPr>
        <w:t>8 511,15</w:t>
      </w:r>
      <w:r>
        <w:rPr>
          <w:b/>
        </w:rPr>
        <w:t xml:space="preserve"> €. Počas účtovného obdobia neboli realizované žiadne opravy významných chýb minulých období.</w:t>
      </w:r>
    </w:p>
    <w:p>
      <w:pPr>
        <w:pStyle w:val="Pismenka"/>
        <w:rPr>
          <w:b/>
          <w:b/>
        </w:rPr>
      </w:pPr>
      <w:r>
        <w:rPr>
          <w:b/>
        </w:rPr>
      </w:r>
    </w:p>
    <w:p>
      <w:pPr>
        <w:pStyle w:val="Pismenka"/>
        <w:rPr/>
      </w:pPr>
      <w:r>
        <w:rPr/>
        <w:t>b) Rezervy</w:t>
      </w:r>
    </w:p>
    <w:p>
      <w:pPr>
        <w:pStyle w:val="Pismenka"/>
        <w:rPr>
          <w:b/>
          <w:b/>
        </w:rPr>
      </w:pPr>
      <w:r>
        <w:rPr>
          <w:b/>
        </w:rPr>
        <w:t>Podrobný prehľad o pohybe rezerv konsolidovaného celku je uvedený v tabuľkovej časti Tabuľka č. 13 a 14.</w:t>
      </w:r>
    </w:p>
    <w:p>
      <w:pPr>
        <w:pStyle w:val="Pismenka"/>
        <w:rPr/>
      </w:pPr>
      <w:r>
        <w:rPr>
          <w:b/>
        </w:rPr>
        <w:t>Konsolidovaný celok nevykazuje dlhodobé rezervy. Sú vykazované len ostatné krátkodobé rezervy za rok 20</w:t>
      </w:r>
      <w:r>
        <w:rPr>
          <w:b/>
        </w:rPr>
        <w:t>20</w:t>
      </w:r>
      <w:r>
        <w:rPr>
          <w:b/>
        </w:rPr>
        <w:t xml:space="preserve"> vo výške 1</w:t>
      </w:r>
      <w:r>
        <w:rPr>
          <w:b/>
        </w:rPr>
        <w:t>8</w:t>
      </w:r>
      <w:r>
        <w:rPr>
          <w:b/>
        </w:rPr>
        <w:t>00 € (v roku 201</w:t>
      </w:r>
      <w:r>
        <w:rPr>
          <w:b/>
        </w:rPr>
        <w:t>9</w:t>
      </w:r>
      <w:r>
        <w:rPr>
          <w:b/>
        </w:rPr>
        <w:t xml:space="preserve"> boli tieto rezervy vo výške 1</w:t>
      </w:r>
      <w:r>
        <w:rPr>
          <w:b/>
        </w:rPr>
        <w:t>7</w:t>
      </w:r>
      <w:r>
        <w:rPr>
          <w:b/>
        </w:rPr>
        <w:t>00,00 €). Za rok 20</w:t>
      </w:r>
      <w:r>
        <w:rPr>
          <w:b/>
        </w:rPr>
        <w:t>20</w:t>
      </w:r>
      <w:r>
        <w:rPr>
          <w:b/>
        </w:rPr>
        <w:t xml:space="preserve"> sa jedná o rezervu na náklady na overenie účtovnej závierky a výročnej správy týkajúcej sa vykazovaného účtovného obdobia (1700,- €). V roku 2018 bola rezerva na overenie účtovnej závierky. Rezerva za rok 20</w:t>
      </w:r>
      <w:r>
        <w:rPr>
          <w:b/>
        </w:rPr>
        <w:t>20</w:t>
      </w:r>
      <w:r>
        <w:rPr>
          <w:b/>
        </w:rPr>
        <w:t xml:space="preserve"> sa použije v roku 202</w:t>
      </w:r>
      <w:r>
        <w:rPr>
          <w:b/>
        </w:rPr>
        <w:t>1</w:t>
      </w:r>
      <w:r>
        <w:rPr>
          <w:b/>
        </w:rPr>
        <w:t>.</w:t>
      </w:r>
    </w:p>
    <w:p>
      <w:pPr>
        <w:pStyle w:val="Pismenka"/>
        <w:rPr>
          <w:b/>
          <w:b/>
        </w:rPr>
      </w:pPr>
      <w:r>
        <w:rPr>
          <w:b/>
        </w:rPr>
      </w:r>
    </w:p>
    <w:p>
      <w:pPr>
        <w:pStyle w:val="Pismenka"/>
        <w:rPr/>
      </w:pPr>
      <w:r>
        <w:rPr/>
        <w:t>c) Dlhodobý majetok – nehmotný a hmotný</w:t>
      </w:r>
    </w:p>
    <w:p>
      <w:pPr>
        <w:pStyle w:val="Pismenka"/>
        <w:rPr/>
      </w:pPr>
      <w:r>
        <w:rPr>
          <w:b/>
        </w:rPr>
        <w:t xml:space="preserve">Podrobný prehľad o pohybe dlhodobého nehmotného a hmotného majetk konsolidovaného celku je uvedený v tabuľkovej časti Tabuľka č. 2 riadky č. 001 – 022. </w:t>
      </w:r>
    </w:p>
    <w:p>
      <w:pPr>
        <w:pStyle w:val="Normal"/>
        <w:jc w:val="both"/>
        <w:rPr/>
      </w:pPr>
      <w:r>
        <w:rPr/>
        <w:t xml:space="preserve">Konsolidovaný celok má poistene všetky budovy   a majetok a budovu Základnej školy s Materskou školou. </w:t>
      </w:r>
    </w:p>
    <w:p>
      <w:pPr>
        <w:pStyle w:val="Normal"/>
        <w:jc w:val="both"/>
        <w:rPr/>
      </w:pPr>
      <w:r>
        <w:rPr/>
        <w:t xml:space="preserve">Konsolidovaný celok vlastní dlhodobý nehmotný a hmotný majetok v nasledovnom členení: </w:t>
      </w:r>
    </w:p>
    <w:p>
      <w:pPr>
        <w:pStyle w:val="Normal"/>
        <w:numPr>
          <w:ilvl w:val="0"/>
          <w:numId w:val="1"/>
        </w:numPr>
        <w:spacing w:lineRule="auto" w:line="240" w:before="0" w:after="0"/>
        <w:jc w:val="both"/>
        <w:rPr/>
      </w:pPr>
      <w:r>
        <w:rPr/>
        <w:t>pozemky v hodnote 21</w:t>
      </w:r>
      <w:r>
        <w:rPr/>
        <w:t>5499,49</w:t>
      </w:r>
      <w:r>
        <w:rPr/>
        <w:t xml:space="preserve">7 € (ide o pozemky vo vlastníctve konsolidovaného celku evidované na LV v roku 2019 bola hodnota majetku 217161,34 </w:t>
      </w:r>
      <w:r>
        <w:rPr/>
        <w:t>€</w:t>
      </w:r>
      <w:r>
        <w:rPr/>
        <w:t>. Tento majetok sa neodpisuje.</w:t>
      </w:r>
    </w:p>
    <w:p>
      <w:pPr>
        <w:pStyle w:val="Normal"/>
        <w:numPr>
          <w:ilvl w:val="0"/>
          <w:numId w:val="1"/>
        </w:numPr>
        <w:spacing w:lineRule="auto" w:line="240" w:before="0" w:after="0"/>
        <w:jc w:val="both"/>
        <w:rPr/>
      </w:pPr>
      <w:r>
        <w:rPr/>
        <w:t>umelecké diela a zbierky v hodnote obec nevlastní</w:t>
      </w:r>
    </w:p>
    <w:p>
      <w:pPr>
        <w:pStyle w:val="Normal"/>
        <w:numPr>
          <w:ilvl w:val="0"/>
          <w:numId w:val="1"/>
        </w:numPr>
        <w:spacing w:lineRule="auto" w:line="240" w:before="0" w:after="0"/>
        <w:jc w:val="both"/>
        <w:rPr/>
      </w:pPr>
      <w:r>
        <w:rPr/>
        <w:t>stavby v hodnote 2</w:t>
      </w:r>
      <w:r>
        <w:rPr/>
        <w:t>942838,72</w:t>
      </w:r>
      <w:r>
        <w:rPr/>
        <w:t xml:space="preserve"> €, oprávky činia sumu </w:t>
      </w:r>
      <w:r>
        <w:rPr/>
        <w:t>739200,73</w:t>
      </w:r>
      <w:r>
        <w:rPr/>
        <w:t xml:space="preserve"> € a zostatková hodnota je 22</w:t>
      </w:r>
      <w:r>
        <w:rPr/>
        <w:t xml:space="preserve">03637,94 </w:t>
      </w:r>
      <w:r>
        <w:rPr/>
        <w:t>€ (jedná sa o budovy a stavby vo vlastníctve konsolidovanho celku napr, Kultúrny dom, budova Pošty, Muštáreň  šatne TJ, Materská škola, Základná škola, Nájomná bytové domy a pod.).</w:t>
      </w:r>
    </w:p>
    <w:p>
      <w:pPr>
        <w:pStyle w:val="Normal"/>
        <w:numPr>
          <w:ilvl w:val="0"/>
          <w:numId w:val="1"/>
        </w:numPr>
        <w:spacing w:lineRule="auto" w:line="240" w:before="0" w:after="0"/>
        <w:jc w:val="both"/>
        <w:rPr/>
      </w:pPr>
      <w:r>
        <w:rPr/>
        <w:t xml:space="preserve">samostatné hnuteľné veci a súbory hnuteľných vecí v hodnote </w:t>
      </w:r>
      <w:r>
        <w:rPr/>
        <w:t>41513,48</w:t>
      </w:r>
      <w:r>
        <w:rPr/>
        <w:t xml:space="preserve"> €, oprávky činia sumu </w:t>
      </w:r>
      <w:r>
        <w:rPr/>
        <w:t xml:space="preserve">24158,22 </w:t>
      </w:r>
      <w:r>
        <w:rPr/>
        <w:t xml:space="preserve">€ a zostatková hodnota je </w:t>
      </w:r>
      <w:r>
        <w:rPr/>
        <w:t xml:space="preserve">17355,26 </w:t>
      </w:r>
      <w:r>
        <w:rPr/>
        <w:t>€ (jedná sa prevažne o rôzne stroje a prístroje v školskej kuchyni.  V roku 201</w:t>
      </w:r>
      <w:r>
        <w:rPr/>
        <w:t>9</w:t>
      </w:r>
      <w:r>
        <w:rPr/>
        <w:t xml:space="preserve"> bola zostatková hodnota tohto majetku 1</w:t>
      </w:r>
      <w:r>
        <w:rPr/>
        <w:t>64</w:t>
      </w:r>
      <w:r>
        <w:rPr/>
        <w:t>2</w:t>
      </w:r>
      <w:r>
        <w:rPr/>
        <w:t>9,11</w:t>
      </w:r>
      <w:r>
        <w:rPr/>
        <w:t xml:space="preserve"> €.</w:t>
      </w:r>
    </w:p>
    <w:p>
      <w:pPr>
        <w:pStyle w:val="Normal"/>
        <w:numPr>
          <w:ilvl w:val="0"/>
          <w:numId w:val="1"/>
        </w:numPr>
        <w:spacing w:lineRule="auto" w:line="240" w:before="0" w:after="0"/>
        <w:jc w:val="both"/>
        <w:rPr/>
      </w:pPr>
      <w:r>
        <w:rPr/>
        <w:t>dopravné prostriedky v hodnote 1689,43 €, oprávky činia sumu 1689,43 €, zostatková hodnota je 0,- € (ide o osobné motorové vozidlo Opel Agila. V roku 201</w:t>
      </w:r>
      <w:r>
        <w:rPr/>
        <w:t>9</w:t>
      </w:r>
      <w:r>
        <w:rPr/>
        <w:t xml:space="preserve"> bola zostatková hodnota tohto majetku tiež 0,- €.</w:t>
      </w:r>
    </w:p>
    <w:p>
      <w:pPr>
        <w:pStyle w:val="Normal"/>
        <w:numPr>
          <w:ilvl w:val="0"/>
          <w:numId w:val="1"/>
        </w:numPr>
        <w:spacing w:lineRule="auto" w:line="240" w:before="0" w:after="0"/>
        <w:jc w:val="both"/>
        <w:rPr/>
      </w:pPr>
      <w:r>
        <w:rPr/>
        <w:t>drobný dlhodobý hmotný majetok v hodnote 3</w:t>
      </w:r>
      <w:r>
        <w:rPr/>
        <w:t>6189,22</w:t>
      </w:r>
      <w:r>
        <w:rPr/>
        <w:t xml:space="preserve"> €, oprávky činia sumu 3</w:t>
      </w:r>
      <w:r>
        <w:rPr/>
        <w:t>6189,22</w:t>
      </w:r>
      <w:r>
        <w:rPr/>
        <w:t xml:space="preserve"> € a tak zostatková hodnota je 0,- € rovnako ako v roku 201</w:t>
      </w:r>
      <w:r>
        <w:rPr/>
        <w:t>9</w:t>
      </w:r>
      <w:r>
        <w:rPr/>
        <w:t xml:space="preserve"> (ide o rôzny majetok, ktorý má charakter dlhodobého majetku).</w:t>
      </w:r>
    </w:p>
    <w:p>
      <w:pPr>
        <w:pStyle w:val="Normal"/>
        <w:numPr>
          <w:ilvl w:val="0"/>
          <w:numId w:val="1"/>
        </w:numPr>
        <w:spacing w:lineRule="auto" w:line="240" w:before="0" w:after="0"/>
        <w:jc w:val="both"/>
        <w:rPr/>
      </w:pPr>
      <w:r>
        <w:rPr/>
        <w:t>obstaranie dlhodobého hmotného majetku v hodnote 859</w:t>
      </w:r>
      <w:r>
        <w:rPr/>
        <w:t>83,07</w:t>
      </w:r>
      <w:r>
        <w:rPr/>
        <w:t xml:space="preserve"> € (ide o obstaranie projekt na ČOV  V roku 201</w:t>
      </w:r>
      <w:r>
        <w:rPr/>
        <w:t>9</w:t>
      </w:r>
      <w:r>
        <w:rPr/>
        <w:t xml:space="preserve"> bola hodnota tohto majetku 85982,27 €.</w:t>
      </w:r>
    </w:p>
    <w:p>
      <w:pPr>
        <w:pStyle w:val="Normal"/>
        <w:jc w:val="both"/>
        <w:rPr/>
      </w:pPr>
      <w:r>
        <w:rPr/>
        <w:t xml:space="preserve">Celková hodnota dlhodobého hmotného a hmotného majetku konsolidovaného celku je </w:t>
      </w:r>
      <w:r>
        <w:rPr/>
        <w:t xml:space="preserve">274205,39 </w:t>
      </w:r>
      <w:r>
        <w:rPr/>
        <w:t xml:space="preserve">€, oprávky k tomuto majetku sú vo výške </w:t>
      </w:r>
      <w:r>
        <w:rPr/>
        <w:t>180167,49</w:t>
      </w:r>
      <w:r>
        <w:rPr/>
        <w:t xml:space="preserve"> € a zostatková hodnota tohto majetku je </w:t>
      </w:r>
      <w:r>
        <w:rPr/>
        <w:t>940037,90</w:t>
      </w:r>
      <w:r>
        <w:rPr/>
        <w:t xml:space="preserve"> €. V roku 201</w:t>
      </w:r>
      <w:r>
        <w:rPr/>
        <w:t>9</w:t>
      </w:r>
      <w:r>
        <w:rPr/>
        <w:t xml:space="preserve"> bola zostatková hodnota dlhodobého hmotného a hmotného majetku </w:t>
      </w:r>
      <w:r>
        <w:rPr/>
        <w:t>94139,87</w:t>
      </w:r>
      <w:r>
        <w:rPr/>
        <w:t xml:space="preserve"> €.</w:t>
      </w:r>
    </w:p>
    <w:p>
      <w:pPr>
        <w:pStyle w:val="Normal"/>
        <w:jc w:val="both"/>
        <w:rPr/>
      </w:pPr>
      <w:r>
        <w:rPr/>
        <w:t>Konsolidovaný celok má v správe dcérskej účtovnej jednotky (Základná škola) stavby a pozemky v hodnote 228 936,08 € (oprávky v hodnote 1</w:t>
      </w:r>
      <w:r>
        <w:rPr/>
        <w:t>80167,49</w:t>
      </w:r>
      <w:r>
        <w:rPr/>
        <w:t xml:space="preserve"> € a zostatková hodnota </w:t>
      </w:r>
      <w:r>
        <w:rPr/>
        <w:t>48768,59</w:t>
      </w:r>
      <w:r>
        <w:rPr/>
        <w:t xml:space="preserve"> € budova školy a materskej školy ktorú má Základná škola zverenú do správy. A pozemky pod budovami.</w:t>
      </w:r>
    </w:p>
    <w:p>
      <w:pPr>
        <w:pStyle w:val="Normal"/>
        <w:jc w:val="both"/>
        <w:rPr/>
      </w:pPr>
      <w:r>
        <w:rPr/>
        <w:t>Konsolidovaný celok nemá k dlhodobému hmotnému a nehmotnému majetku vytvorené opravné položky.</w:t>
      </w:r>
    </w:p>
    <w:p>
      <w:pPr>
        <w:pStyle w:val="Normal"/>
        <w:jc w:val="both"/>
        <w:rPr/>
      </w:pPr>
      <w:r>
        <w:rPr/>
      </w:r>
    </w:p>
    <w:p>
      <w:pPr>
        <w:pStyle w:val="Normal"/>
        <w:jc w:val="both"/>
        <w:rPr>
          <w:b/>
          <w:b/>
        </w:rPr>
      </w:pPr>
      <w:r>
        <w:rPr>
          <w:b/>
        </w:rPr>
        <w:t>d) Dlhodobý finančný majetok</w:t>
      </w:r>
    </w:p>
    <w:p>
      <w:pPr>
        <w:pStyle w:val="Pismenka"/>
        <w:rPr>
          <w:b/>
          <w:b/>
        </w:rPr>
      </w:pPr>
      <w:r>
        <w:rPr>
          <w:b/>
        </w:rPr>
        <w:t xml:space="preserve">Podrobný prehľad o pohybe dlhodobého finančného majetku konsolidovaného celku je uvedený v tabuľkovej časti Tabuľka č. 2 riadky č. 023 – 031. </w:t>
      </w:r>
    </w:p>
    <w:p>
      <w:pPr>
        <w:pStyle w:val="Normal"/>
        <w:jc w:val="both"/>
        <w:rPr/>
      </w:pPr>
      <w:r>
        <w:rPr/>
        <w:t xml:space="preserve">Jedná sa o realizovateľné cenné papiere a podiely, ktoré má konsolidovaný celok v Západoslovenskej vodárenskej spoločnosti, a.s. v mene euro a predstavujú 0,12 % podiel na základnom imaní. Účtovná hodnota týchto podielov je 206275,85 € rovnako ako v roku 2019. Opravné položky k dlhodobému finančnému majetku sa netvorili. </w:t>
      </w:r>
    </w:p>
    <w:p>
      <w:pPr>
        <w:pStyle w:val="Normal"/>
        <w:jc w:val="both"/>
        <w:rPr>
          <w:b/>
          <w:b/>
        </w:rPr>
      </w:pPr>
      <w:r>
        <w:rPr>
          <w:b/>
        </w:rPr>
      </w:r>
    </w:p>
    <w:p>
      <w:pPr>
        <w:pStyle w:val="Normal"/>
        <w:jc w:val="both"/>
        <w:rPr>
          <w:b/>
          <w:b/>
        </w:rPr>
      </w:pPr>
      <w:r>
        <w:rPr>
          <w:b/>
        </w:rPr>
        <w:t>e) Zásoby</w:t>
      </w:r>
    </w:p>
    <w:p>
      <w:pPr>
        <w:pStyle w:val="Normal"/>
        <w:jc w:val="both"/>
        <w:rPr/>
      </w:pPr>
      <w:r>
        <w:rPr/>
        <w:t xml:space="preserve">Konsolidovaný celok eviduje zásoby vo forme materiálu v hodnote  </w:t>
      </w:r>
      <w:r>
        <w:rPr/>
        <w:t>2148,26</w:t>
      </w:r>
      <w:r>
        <w:rPr/>
        <w:t xml:space="preserve"> € (v roku 201</w:t>
      </w:r>
      <w:r>
        <w:rPr/>
        <w:t>9</w:t>
      </w:r>
      <w:r>
        <w:rPr/>
        <w:t xml:space="preserve"> boli zásoby v hodnote </w:t>
      </w:r>
      <w:r>
        <w:rPr/>
        <w:t>1239,22</w:t>
      </w:r>
      <w:r>
        <w:rPr/>
        <w:t xml:space="preserve">). Opravné položky k zásobám neboli vytvorené, pretože nedošlo k zníženiu úžitkovej hodnoty zásob. Na zásoby nie je zriadené záložné právo a neevidujú sa zásoby s obmedzeným právom nakladať s nimi. Zásoby nie sú poistené. </w:t>
      </w:r>
    </w:p>
    <w:p>
      <w:pPr>
        <w:pStyle w:val="Normal"/>
        <w:jc w:val="both"/>
        <w:rPr/>
      </w:pPr>
      <w:r>
        <w:rPr/>
      </w:r>
    </w:p>
    <w:p>
      <w:pPr>
        <w:pStyle w:val="Normal"/>
        <w:jc w:val="both"/>
        <w:rPr>
          <w:b/>
          <w:b/>
        </w:rPr>
      </w:pPr>
      <w:r>
        <w:rPr>
          <w:b/>
        </w:rPr>
        <w:t>f) Transfery</w:t>
      </w:r>
    </w:p>
    <w:p>
      <w:pPr>
        <w:pStyle w:val="Normal"/>
        <w:jc w:val="both"/>
        <w:rPr/>
      </w:pPr>
      <w:r>
        <w:rPr/>
        <w:t xml:space="preserve">V rámci konsolidácie bol eliminovaný účet 355 – Zúčtovanie transferov rozpočtu obce a VÚC vo výške – </w:t>
      </w:r>
      <w:r>
        <w:rPr/>
        <w:t>48768,59</w:t>
      </w:r>
      <w:r>
        <w:rPr/>
        <w:t xml:space="preserve"> €. </w:t>
      </w:r>
    </w:p>
    <w:p>
      <w:pPr>
        <w:pStyle w:val="Normal"/>
        <w:jc w:val="both"/>
        <w:rPr/>
      </w:pPr>
      <w:r>
        <w:rPr/>
        <w:t>Hodnota transferov na účte 357 – ostatné zúčtovanie rozpočtu obce a VÚC predstavuje za rok 20</w:t>
      </w:r>
      <w:r>
        <w:rPr/>
        <w:t>20</w:t>
      </w:r>
      <w:r>
        <w:rPr/>
        <w:t xml:space="preserve"> sumu </w:t>
      </w:r>
      <w:r>
        <w:rPr/>
        <w:t>14368,00</w:t>
      </w:r>
      <w:r>
        <w:rPr/>
        <w:t xml:space="preserve"> €(v roku 201</w:t>
      </w:r>
      <w:r>
        <w:rPr/>
        <w:t>9</w:t>
      </w:r>
      <w:r>
        <w:rPr/>
        <w:t xml:space="preserve">  bola hodnota </w:t>
      </w:r>
      <w:r>
        <w:rPr/>
        <w:t>30,80</w:t>
      </w:r>
      <w:r>
        <w:rPr/>
        <w:t xml:space="preserve"> €), hodnota transferov na účte 359 – zúčtovanie transferov medzi subjektami verejnej správy a iné zúčtovania predstavuje za rok 20</w:t>
      </w:r>
      <w:r>
        <w:rPr/>
        <w:t>20</w:t>
      </w:r>
      <w:r>
        <w:rPr/>
        <w:t xml:space="preserve"> sumu  </w:t>
      </w:r>
      <w:r>
        <w:rPr/>
        <w:t>0</w:t>
      </w:r>
      <w:r>
        <w:rPr/>
        <w:t xml:space="preserve"> € (v roku 201</w:t>
      </w:r>
      <w:r>
        <w:rPr/>
        <w:t>9</w:t>
      </w:r>
      <w:r>
        <w:rPr/>
        <w:t xml:space="preserve"> nebola na tomto účte žiadna hodnota). </w:t>
      </w:r>
    </w:p>
    <w:p>
      <w:pPr>
        <w:pStyle w:val="Normal"/>
        <w:jc w:val="both"/>
        <w:rPr>
          <w:b/>
          <w:b/>
        </w:rPr>
      </w:pPr>
      <w:r>
        <w:rPr>
          <w:b/>
        </w:rPr>
      </w:r>
    </w:p>
    <w:p>
      <w:pPr>
        <w:pStyle w:val="Normal"/>
        <w:jc w:val="both"/>
        <w:rPr>
          <w:b/>
          <w:b/>
        </w:rPr>
      </w:pPr>
      <w:r>
        <w:rPr>
          <w:b/>
        </w:rPr>
        <w:t>g) Dlhodobé pohľadávky</w:t>
      </w:r>
    </w:p>
    <w:p>
      <w:pPr>
        <w:pStyle w:val="Normal"/>
        <w:jc w:val="both"/>
        <w:rPr/>
      </w:pPr>
      <w:r>
        <w:rPr/>
        <w:t>Konsolidovaný celok neeviduje dlhodobé pohľadávky.</w:t>
      </w:r>
    </w:p>
    <w:p>
      <w:pPr>
        <w:pStyle w:val="Normal"/>
        <w:jc w:val="both"/>
        <w:rPr/>
      </w:pPr>
      <w:r>
        <w:rPr/>
      </w:r>
    </w:p>
    <w:p>
      <w:pPr>
        <w:pStyle w:val="Normal"/>
        <w:jc w:val="both"/>
        <w:rPr>
          <w:b/>
          <w:b/>
        </w:rPr>
      </w:pPr>
      <w:r>
        <w:rPr>
          <w:b/>
        </w:rPr>
        <w:t>h) Krátkodobé pohľadávky</w:t>
      </w:r>
    </w:p>
    <w:p>
      <w:pPr>
        <w:pStyle w:val="Normal"/>
        <w:jc w:val="both"/>
        <w:rPr/>
      </w:pPr>
      <w:r>
        <w:rPr/>
        <w:t xml:space="preserve">Konsolidovaný celok eviduje krátkodobé pohľadávky v celkovej výške </w:t>
      </w:r>
      <w:r>
        <w:rPr/>
        <w:t>7061,42</w:t>
      </w:r>
      <w:r>
        <w:rPr/>
        <w:t xml:space="preserve"> €, opravné položky k týmto pohľadávkam obec tvorila vo výške 1</w:t>
      </w:r>
      <w:r>
        <w:rPr/>
        <w:t>764,16</w:t>
      </w:r>
      <w:r>
        <w:rPr/>
        <w:t xml:space="preserve"> €. Jedná sa o pohľadávky, pohľadávky z nedaňových a daňových príjmov</w:t>
      </w:r>
    </w:p>
    <w:p>
      <w:pPr>
        <w:pStyle w:val="Normal"/>
        <w:jc w:val="both"/>
        <w:rPr/>
      </w:pPr>
      <w:r>
        <w:rPr/>
        <w:t xml:space="preserve">Najvýznamnejšou položkou krátkodobých pohľadávok sú pohľadávky z daňových a nedaňových príjmov. Jedná sa o pohľadávky voči občanom- FO a PO, ktoré sú vymáhané. </w:t>
      </w:r>
    </w:p>
    <w:p>
      <w:pPr>
        <w:pStyle w:val="Normal"/>
        <w:jc w:val="both"/>
        <w:rPr/>
      </w:pPr>
      <w:r>
        <w:rPr/>
        <w:t>Pohľadávky nie sú zabezpečené záložným právom ani inou formou zabezpečenia. Nie sú evidované pohľadávky, na ktoré sa zriadilo záložné právo a nie sú pohľadávky s obmedzeným právom nakladať s nimi.</w:t>
      </w:r>
    </w:p>
    <w:p>
      <w:pPr>
        <w:pStyle w:val="Normal"/>
        <w:jc w:val="both"/>
        <w:rPr>
          <w:b/>
          <w:b/>
        </w:rPr>
      </w:pPr>
      <w:r>
        <w:rPr>
          <w:b/>
        </w:rPr>
      </w:r>
    </w:p>
    <w:p>
      <w:pPr>
        <w:pStyle w:val="Normal"/>
        <w:jc w:val="both"/>
        <w:rPr>
          <w:b/>
          <w:b/>
        </w:rPr>
      </w:pPr>
      <w:r>
        <w:rPr>
          <w:b/>
        </w:rPr>
        <w:t>i) Finančné účty</w:t>
      </w:r>
    </w:p>
    <w:p>
      <w:pPr>
        <w:pStyle w:val="Normal"/>
        <w:jc w:val="both"/>
        <w:rPr/>
      </w:pPr>
      <w:r>
        <w:rPr/>
        <w:t>Ako finančné účty sú vykázané peniaze v pokladnici, ceniny (stravné lístky) a účty v bankách. S účtami v bankách môže konsolidovaný celok voľne disponovať. Najvýznamnejšou položkou sú práve účty v bankách, ktorých hodnota je 3</w:t>
      </w:r>
      <w:r>
        <w:rPr/>
        <w:t>92402,28</w:t>
      </w:r>
      <w:r>
        <w:rPr/>
        <w:t xml:space="preserve"> € (v roku 201</w:t>
      </w:r>
      <w:r>
        <w:rPr/>
        <w:t>9</w:t>
      </w:r>
      <w:r>
        <w:rPr/>
        <w:t xml:space="preserve"> bola ich hodnota 3</w:t>
      </w:r>
      <w:r>
        <w:rPr/>
        <w:t>44772,09</w:t>
      </w:r>
      <w:r>
        <w:rPr/>
        <w:t xml:space="preserve"> €).Konsolidovaný celok nemá na finančné účty zriadené záložné právo ani nemá obmedzené právo s nimi nakladať. K finančným účtom neboli vytvorené opravné položky.</w:t>
      </w:r>
    </w:p>
    <w:p>
      <w:pPr>
        <w:pStyle w:val="Normal"/>
        <w:jc w:val="both"/>
        <w:rPr>
          <w:b/>
          <w:b/>
        </w:rPr>
      </w:pPr>
      <w:r>
        <w:rPr>
          <w:b/>
        </w:rPr>
      </w:r>
    </w:p>
    <w:p>
      <w:pPr>
        <w:pStyle w:val="Normal"/>
        <w:jc w:val="both"/>
        <w:rPr>
          <w:b/>
          <w:b/>
        </w:rPr>
      </w:pPr>
      <w:r>
        <w:rPr>
          <w:b/>
        </w:rPr>
        <w:t>j) Poskytnuté finančné výpomoci</w:t>
      </w:r>
    </w:p>
    <w:p>
      <w:pPr>
        <w:pStyle w:val="Normal"/>
        <w:jc w:val="both"/>
        <w:rPr/>
      </w:pPr>
      <w:r>
        <w:rPr/>
        <w:t>Konsolidovaný celok neposkytol žiadne návratné finančné výpomoci a preto ich ani nevykazuje.</w:t>
      </w:r>
    </w:p>
    <w:p>
      <w:pPr>
        <w:pStyle w:val="Normal"/>
        <w:jc w:val="both"/>
        <w:rPr/>
      </w:pPr>
      <w:r>
        <w:rPr/>
      </w:r>
    </w:p>
    <w:p>
      <w:pPr>
        <w:pStyle w:val="Normal"/>
        <w:jc w:val="both"/>
        <w:rPr>
          <w:b/>
          <w:b/>
        </w:rPr>
      </w:pPr>
      <w:r>
        <w:rPr>
          <w:b/>
        </w:rPr>
        <w:t>k) Časové rozlíšenie na strane aktív</w:t>
      </w:r>
    </w:p>
    <w:p>
      <w:pPr>
        <w:pStyle w:val="Normal"/>
        <w:jc w:val="both"/>
        <w:rPr/>
      </w:pPr>
      <w:r>
        <w:rPr/>
        <w:t>Časové rozlíšenie na strane aktív konsolidovaného celku je podrobne uvedené v tabuľkovej časti Tabuľka č. 10 a 11.</w:t>
      </w:r>
    </w:p>
    <w:p>
      <w:pPr>
        <w:pStyle w:val="Normal"/>
        <w:jc w:val="both"/>
        <w:rPr/>
      </w:pPr>
      <w:r>
        <w:rPr/>
        <w:t xml:space="preserve">Konsolidovaný celok eviduje na účte 381 – Náklady budúcich období hodnotu </w:t>
      </w:r>
      <w:r>
        <w:rPr/>
        <w:t>1276,89</w:t>
      </w:r>
      <w:r>
        <w:rPr/>
        <w:t xml:space="preserve"> € (za rok 201</w:t>
      </w:r>
      <w:r>
        <w:rPr/>
        <w:t>9</w:t>
      </w:r>
      <w:r>
        <w:rPr/>
        <w:t xml:space="preserve"> bola hodnota </w:t>
      </w:r>
      <w:r>
        <w:rPr/>
        <w:t xml:space="preserve">784,98 </w:t>
      </w:r>
      <w:r>
        <w:rPr/>
        <w:t xml:space="preserve">€). Na tomto účte je evidované predplatné vo výške </w:t>
      </w:r>
      <w:r>
        <w:rPr/>
        <w:t>26,40</w:t>
      </w:r>
      <w:r>
        <w:rPr/>
        <w:t xml:space="preserve"> predplatné poistné vo výške </w:t>
      </w:r>
      <w:r>
        <w:rPr/>
        <w:t xml:space="preserve">86,11 </w:t>
      </w:r>
      <w:r>
        <w:rPr/>
        <w:t xml:space="preserve"> € a ostatné vo výške 1</w:t>
      </w:r>
      <w:r>
        <w:rPr/>
        <w:t xml:space="preserve">164,38 </w:t>
      </w:r>
      <w:r>
        <w:rPr/>
        <w:t xml:space="preserve"> €.</w:t>
      </w:r>
    </w:p>
    <w:p>
      <w:pPr>
        <w:pStyle w:val="Normal"/>
        <w:jc w:val="both"/>
        <w:rPr/>
      </w:pPr>
      <w:r>
        <w:rPr/>
        <w:t xml:space="preserve">Konsolidovaný celok neeviduje na účte 385 – príjmy budúcich období, </w:t>
      </w:r>
    </w:p>
    <w:p>
      <w:pPr>
        <w:pStyle w:val="Normal"/>
        <w:jc w:val="both"/>
        <w:rPr>
          <w:b/>
          <w:b/>
        </w:rPr>
      </w:pPr>
      <w:r>
        <w:rPr>
          <w:b/>
        </w:rPr>
      </w:r>
    </w:p>
    <w:p>
      <w:pPr>
        <w:pStyle w:val="Pismenka"/>
        <w:rPr/>
      </w:pPr>
      <w:r>
        <w:rPr/>
        <w:t>l) Dlhodobé záväzky</w:t>
      </w:r>
    </w:p>
    <w:p>
      <w:pPr>
        <w:pStyle w:val="Pismenka"/>
        <w:rPr/>
      </w:pPr>
      <w:r>
        <w:rPr>
          <w:b/>
        </w:rPr>
        <w:t xml:space="preserve">Konsolidovaný celok eviduje dlhodobé záväzky vo výške </w:t>
      </w:r>
      <w:r>
        <w:rPr>
          <w:b/>
        </w:rPr>
        <w:t>901721,57</w:t>
      </w:r>
      <w:r>
        <w:rPr>
          <w:b/>
        </w:rPr>
        <w:t xml:space="preserve"> € (v roku 201</w:t>
      </w:r>
      <w:r>
        <w:rPr>
          <w:b/>
        </w:rPr>
        <w:t>9  927215,62</w:t>
      </w:r>
      <w:r>
        <w:rPr>
          <w:b/>
        </w:rPr>
        <w:t xml:space="preserve"> boli v hodnote </w:t>
      </w:r>
      <w:r>
        <w:rPr>
          <w:b/>
        </w:rPr>
        <w:t xml:space="preserve">927215,62 </w:t>
      </w:r>
      <w:r>
        <w:rPr>
          <w:b/>
        </w:rPr>
        <w:t xml:space="preserve"> €). Jedná sa o záväzky zo sociálneho fondu vo výške </w:t>
      </w:r>
      <w:r>
        <w:rPr>
          <w:b/>
        </w:rPr>
        <w:t>2603,30</w:t>
      </w:r>
      <w:r>
        <w:rPr>
          <w:b/>
        </w:rPr>
        <w:t xml:space="preserve"> a zväzky zo ŠFRB vo výške </w:t>
      </w:r>
      <w:r>
        <w:rPr>
          <w:b/>
        </w:rPr>
        <w:t>899118,27 €</w:t>
      </w:r>
      <w:r>
        <w:rPr>
          <w:b/>
        </w:rPr>
        <w:t xml:space="preserve"> .</w:t>
      </w:r>
    </w:p>
    <w:p>
      <w:pPr>
        <w:pStyle w:val="Pismenka"/>
        <w:rPr>
          <w:b/>
          <w:b/>
        </w:rPr>
      </w:pPr>
      <w:r>
        <w:rPr>
          <w:b/>
        </w:rPr>
      </w:r>
    </w:p>
    <w:p>
      <w:pPr>
        <w:pStyle w:val="Pismenka"/>
        <w:rPr/>
      </w:pPr>
      <w:r>
        <w:rPr/>
        <w:t>m) Krátkodobé záväzky</w:t>
      </w:r>
    </w:p>
    <w:p>
      <w:pPr>
        <w:pStyle w:val="Normal"/>
        <w:jc w:val="both"/>
        <w:rPr/>
      </w:pPr>
      <w:r>
        <w:rPr/>
        <w:t xml:space="preserve">Konsolidovaný celok eviduje krátkodobé záväzky vo výške </w:t>
      </w:r>
      <w:r>
        <w:rPr/>
        <w:t>89064,98</w:t>
      </w:r>
      <w:r>
        <w:rPr/>
        <w:t xml:space="preserve"> € (v roku 201</w:t>
      </w:r>
      <w:r>
        <w:rPr/>
        <w:t>9</w:t>
      </w:r>
      <w:r>
        <w:rPr/>
        <w:t xml:space="preserve"> boli v hodnote </w:t>
      </w:r>
      <w:r>
        <w:rPr/>
        <w:t>76543,71</w:t>
      </w:r>
      <w:r>
        <w:rPr/>
        <w:t xml:space="preserve"> €). Významnými položkami krátkodobých záväzkov sú záväzky vyplývajúce z miezd a to záväzky voči zamestnancom vo výške </w:t>
      </w:r>
      <w:r>
        <w:rPr/>
        <w:t>26763,44</w:t>
      </w:r>
      <w:r>
        <w:rPr/>
        <w:t xml:space="preserve"> €, ostatné záväzky voči zamestnancom vo výške </w:t>
      </w:r>
      <w:r>
        <w:rPr/>
        <w:t>0</w:t>
      </w:r>
      <w:r>
        <w:rPr/>
        <w:t xml:space="preserve"> €, záväzky voči orgánom sociálneho a zdravotného poistenia vo výške </w:t>
      </w:r>
      <w:r>
        <w:rPr/>
        <w:t>18182,60</w:t>
      </w:r>
      <w:r>
        <w:rPr/>
        <w:t xml:space="preserve"> € a ostatné priame dane vo výške </w:t>
      </w:r>
      <w:r>
        <w:rPr/>
        <w:t>4006,02</w:t>
      </w:r>
      <w:r>
        <w:rPr/>
        <w:t xml:space="preserve"> €. Záväzky voči dodávateľom sú vo výške </w:t>
      </w:r>
      <w:r>
        <w:rPr/>
        <w:t>8995,84</w:t>
      </w:r>
      <w:r>
        <w:rPr/>
        <w:t xml:space="preserve"> € prijaté preddavky </w:t>
      </w:r>
      <w:r>
        <w:rPr/>
        <w:t>1436,13</w:t>
      </w:r>
      <w:r>
        <w:rPr/>
        <w:t xml:space="preserve"> € a ostatné závazky zo ŠFRB </w:t>
      </w:r>
      <w:r>
        <w:rPr/>
        <w:t>27617,63</w:t>
      </w:r>
      <w:r>
        <w:rPr/>
        <w:t xml:space="preserve"> rok 201</w:t>
      </w:r>
      <w:r>
        <w:rPr/>
        <w:t>9</w:t>
      </w:r>
      <w:r>
        <w:rPr/>
        <w:t xml:space="preserve"> boli vo výške </w:t>
      </w:r>
      <w:r>
        <w:rPr/>
        <w:t>76543,71</w:t>
      </w:r>
      <w:r>
        <w:rPr/>
        <w:t>), čím možno konštatovať, že konsolidovaný celok oproti predchádzajúcemu roku zvýšil svoje záväzky.</w:t>
      </w:r>
    </w:p>
    <w:p>
      <w:pPr>
        <w:pStyle w:val="Normal"/>
        <w:jc w:val="both"/>
        <w:rPr/>
      </w:pPr>
      <w:r>
        <w:rPr/>
        <w:t>Prehľad záväzkov podľa doby splatnosti je uvedený v tabuľkovej časti Tabuľka č. 15.</w:t>
      </w:r>
    </w:p>
    <w:p>
      <w:pPr>
        <w:pStyle w:val="Normal"/>
        <w:jc w:val="both"/>
        <w:rPr/>
      </w:pPr>
      <w:r>
        <w:rPr/>
      </w:r>
    </w:p>
    <w:p>
      <w:pPr>
        <w:pStyle w:val="Normal"/>
        <w:jc w:val="both"/>
        <w:rPr>
          <w:b/>
          <w:b/>
        </w:rPr>
      </w:pPr>
      <w:r>
        <w:rPr>
          <w:b/>
        </w:rPr>
        <w:t>n) Vydané dlhopisy</w:t>
      </w:r>
    </w:p>
    <w:p>
      <w:pPr>
        <w:pStyle w:val="Normal"/>
        <w:jc w:val="both"/>
        <w:rPr/>
      </w:pPr>
      <w:r>
        <w:rPr/>
        <w:t>Konsolidovaný celok nevydal v roku 2019 žiadne dlhopisy.</w:t>
      </w:r>
    </w:p>
    <w:p>
      <w:pPr>
        <w:pStyle w:val="Normal"/>
        <w:jc w:val="both"/>
        <w:rPr/>
      </w:pPr>
      <w:r>
        <w:rPr/>
      </w:r>
    </w:p>
    <w:p>
      <w:pPr>
        <w:pStyle w:val="Normal"/>
        <w:jc w:val="both"/>
        <w:rPr>
          <w:b/>
          <w:b/>
        </w:rPr>
      </w:pPr>
      <w:r>
        <w:rPr>
          <w:b/>
        </w:rPr>
        <w:t>o) Bankové úvery a výpomoci</w:t>
      </w:r>
    </w:p>
    <w:p>
      <w:pPr>
        <w:pStyle w:val="Normal"/>
        <w:jc w:val="both"/>
        <w:rPr/>
      </w:pPr>
      <w:r>
        <w:rPr/>
        <w:t>Podrobný prehľad o bankových úveroch konsolidovaného celku je uvedený v tabuľkovej časti Tabuľka č. 16.</w:t>
      </w:r>
    </w:p>
    <w:p>
      <w:pPr>
        <w:pStyle w:val="Normal"/>
        <w:jc w:val="both"/>
        <w:rPr/>
      </w:pPr>
      <w:r>
        <w:rPr/>
        <w:t xml:space="preserve">Konsolidovaný celok nemá prijatý žíadny bankový úver. </w:t>
      </w:r>
    </w:p>
    <w:p>
      <w:pPr>
        <w:pStyle w:val="Normal"/>
        <w:jc w:val="both"/>
        <w:rPr/>
      </w:pPr>
      <w:r>
        <w:rPr/>
        <w:t>Konsolidovaný celok neprijal žiadne návratné finančné výpomoci.</w:t>
      </w:r>
    </w:p>
    <w:p>
      <w:pPr>
        <w:pStyle w:val="Normal"/>
        <w:jc w:val="both"/>
        <w:rPr/>
      </w:pPr>
      <w:r>
        <w:rPr/>
      </w:r>
    </w:p>
    <w:p>
      <w:pPr>
        <w:pStyle w:val="Normal"/>
        <w:jc w:val="both"/>
        <w:rPr>
          <w:b/>
          <w:b/>
        </w:rPr>
      </w:pPr>
      <w:r>
        <w:rPr>
          <w:b/>
        </w:rPr>
        <w:t>p) Časové rozlíšenie na strane pasív</w:t>
      </w:r>
    </w:p>
    <w:p>
      <w:pPr>
        <w:pStyle w:val="Normal"/>
        <w:jc w:val="both"/>
        <w:rPr/>
      </w:pPr>
      <w:r>
        <w:rPr/>
        <w:t>Prehľad o časovom rozlíšení na strane pasív je uvedený v tabuľkovej časti Tabuľka č. 17 a 18.</w:t>
      </w:r>
    </w:p>
    <w:p>
      <w:pPr>
        <w:pStyle w:val="Normal"/>
        <w:jc w:val="both"/>
        <w:rPr/>
      </w:pPr>
      <w:r>
        <w:rPr/>
        <w:t>Konsolidovaný celok neeviduje na účte 383 – Výdavky budúcich období žiadnu hodnotu.</w:t>
      </w:r>
    </w:p>
    <w:p>
      <w:pPr>
        <w:pStyle w:val="Normal"/>
        <w:jc w:val="both"/>
        <w:rPr/>
      </w:pPr>
      <w:r>
        <w:rPr/>
        <w:t xml:space="preserve">Konsolidovaný celok eviduje na účte 384 – Výnosy budúcich období hodnotu 862085,31 € (v roku 2018 bola hodnota 537711,78). Jedná sa o transfery.  </w:t>
      </w:r>
    </w:p>
    <w:p>
      <w:pPr>
        <w:pStyle w:val="Normal"/>
        <w:jc w:val="both"/>
        <w:rPr>
          <w:b/>
          <w:b/>
        </w:rPr>
      </w:pPr>
      <w:r>
        <w:rPr>
          <w:b/>
        </w:rPr>
        <w:t>q) Predaj zásob v účtovných jednotkách zahrnutých do konsolidovaného celku</w:t>
      </w:r>
    </w:p>
    <w:p>
      <w:pPr>
        <w:pStyle w:val="Normal"/>
        <w:jc w:val="both"/>
        <w:rPr/>
      </w:pPr>
      <w:r>
        <w:rPr/>
        <w:t>V účtovných jednotkách zahrnutých do konsolidovaného celku nedošlo počas účtovného obdobia k predaju zásob.</w:t>
      </w:r>
    </w:p>
    <w:p>
      <w:pPr>
        <w:pStyle w:val="Normal"/>
        <w:jc w:val="both"/>
        <w:rPr/>
      </w:pPr>
      <w:r>
        <w:rPr/>
      </w:r>
    </w:p>
    <w:p>
      <w:pPr>
        <w:pStyle w:val="Normal"/>
        <w:jc w:val="both"/>
        <w:rPr>
          <w:b/>
          <w:b/>
        </w:rPr>
      </w:pPr>
      <w:r>
        <w:rPr>
          <w:b/>
        </w:rPr>
        <w:t>r) Ďalšie potrebné údaje</w:t>
      </w:r>
    </w:p>
    <w:p>
      <w:pPr>
        <w:pStyle w:val="Normal"/>
        <w:jc w:val="both"/>
        <w:rPr/>
      </w:pPr>
      <w:r>
        <w:rPr/>
        <w:t>Konsolidovaný celok nemá žiadne ďalšie údaje potrebné na vykázanie a zverejnenie v konsolidovanej účtovnej závierke za rok 2019.</w:t>
      </w:r>
    </w:p>
    <w:p>
      <w:pPr>
        <w:pStyle w:val="Normal"/>
        <w:jc w:val="both"/>
        <w:rPr/>
      </w:pPr>
      <w:r>
        <w:rPr/>
      </w:r>
    </w:p>
    <w:p>
      <w:pPr>
        <w:pStyle w:val="Normal"/>
        <w:jc w:val="both"/>
        <w:rPr/>
      </w:pPr>
      <w:r>
        <w:rPr/>
      </w:r>
    </w:p>
    <w:p>
      <w:pPr>
        <w:pStyle w:val="Normal"/>
        <w:jc w:val="center"/>
        <w:rPr>
          <w:b/>
          <w:b/>
        </w:rPr>
      </w:pPr>
      <w:r>
        <w:rPr>
          <w:b/>
        </w:rPr>
        <w:t>Čl. IV     INFORMÁCIE O NÁKLADOCH A VÝNOSOCH</w:t>
      </w:r>
    </w:p>
    <w:p>
      <w:pPr>
        <w:pStyle w:val="Normal"/>
        <w:jc w:val="both"/>
        <w:rPr>
          <w:b/>
          <w:b/>
        </w:rPr>
      </w:pPr>
      <w:r>
        <w:rPr>
          <w:b/>
        </w:rPr>
      </w:r>
    </w:p>
    <w:p>
      <w:pPr>
        <w:pStyle w:val="Normal"/>
        <w:jc w:val="both"/>
        <w:rPr>
          <w:b/>
          <w:b/>
        </w:rPr>
      </w:pPr>
      <w:r>
        <w:rPr>
          <w:b/>
        </w:rPr>
        <w:t>1. Informácie o významných položkách nákladov a výnosov konsolidovaného celku</w:t>
      </w:r>
    </w:p>
    <w:p>
      <w:pPr>
        <w:pStyle w:val="Normal"/>
        <w:jc w:val="both"/>
        <w:rPr>
          <w:b/>
          <w:b/>
        </w:rPr>
      </w:pPr>
      <w:r>
        <w:rPr>
          <w:b/>
        </w:rPr>
      </w:r>
    </w:p>
    <w:p>
      <w:pPr>
        <w:pStyle w:val="Normal"/>
        <w:jc w:val="both"/>
        <w:rPr>
          <w:b/>
          <w:b/>
        </w:rPr>
      </w:pPr>
      <w:r>
        <w:rPr>
          <w:b/>
        </w:rPr>
        <w:t>Náklady</w:t>
      </w:r>
    </w:p>
    <w:p>
      <w:pPr>
        <w:pStyle w:val="Normal"/>
        <w:jc w:val="both"/>
        <w:rPr/>
      </w:pPr>
      <w:r>
        <w:rPr/>
        <w:t>Prehľad o nákladoch na spotrebované nákupy:</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070"/>
        <w:gridCol w:w="3071"/>
        <w:gridCol w:w="3071"/>
      </w:tblGrid>
      <w:tr>
        <w:trPr/>
        <w:tc>
          <w:tcPr>
            <w:tcW w:w="3070"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19</w:t>
            </w:r>
          </w:p>
        </w:tc>
      </w:tr>
      <w:tr>
        <w:trPr/>
        <w:tc>
          <w:tcPr>
            <w:tcW w:w="3070"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501 – spotreba materiálu</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62805,28</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58074,36</w:t>
            </w:r>
          </w:p>
        </w:tc>
      </w:tr>
      <w:tr>
        <w:trPr/>
        <w:tc>
          <w:tcPr>
            <w:tcW w:w="3070"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502 – spotreba energie</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34</w:t>
            </w:r>
            <w:r>
              <w:rPr>
                <w:rFonts w:eastAsia="Times New Roman" w:cs="Times New Roman" w:ascii="Times New Roman" w:hAnsi="Times New Roman"/>
                <w:sz w:val="20"/>
                <w:szCs w:val="20"/>
              </w:rPr>
              <w:t>959,06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34787,05</w:t>
            </w:r>
          </w:p>
        </w:tc>
      </w:tr>
      <w:tr>
        <w:trPr/>
        <w:tc>
          <w:tcPr>
            <w:tcW w:w="3070"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503 -  spotreba ost.nskl. dodá</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4112,98</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2375,30</w:t>
            </w:r>
          </w:p>
        </w:tc>
      </w:tr>
      <w:tr>
        <w:trPr/>
        <w:tc>
          <w:tcPr>
            <w:tcW w:w="3070"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307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95236,71</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95236,71</w:t>
            </w:r>
          </w:p>
        </w:tc>
      </w:tr>
    </w:tbl>
    <w:p>
      <w:pPr>
        <w:pStyle w:val="Normal"/>
        <w:jc w:val="both"/>
        <w:rPr/>
      </w:pPr>
      <w:r>
        <w:rPr/>
      </w:r>
    </w:p>
    <w:p>
      <w:pPr>
        <w:pStyle w:val="Normal"/>
        <w:jc w:val="both"/>
        <w:rPr/>
      </w:pPr>
      <w:r>
        <w:rPr/>
        <w:t>Prehľad o nákladoch na služby:</w:t>
      </w:r>
    </w:p>
    <w:p>
      <w:pPr>
        <w:pStyle w:val="Normal"/>
        <w:jc w:val="both"/>
        <w:rPr>
          <w:i/>
          <w:i/>
        </w:rPr>
      </w:pPr>
      <w:r>
        <w:rPr/>
        <w:tab/>
        <w:tab/>
        <w:tab/>
        <w:tab/>
        <w:tab/>
        <w:tab/>
        <w:tab/>
        <w:tab/>
        <w:tab/>
        <w:tab/>
        <w:tab/>
        <w:tab/>
      </w:r>
      <w:r>
        <w:rPr>
          <w:i/>
        </w:rPr>
        <w:t>v eur</w:t>
      </w:r>
    </w:p>
    <w:tbl>
      <w:tblPr>
        <w:tblStyle w:val="Mriekatabuky"/>
        <w:tblW w:w="9213" w:type="dxa"/>
        <w:jc w:val="left"/>
        <w:tblInd w:w="0" w:type="dxa"/>
        <w:tblCellMar>
          <w:top w:w="0" w:type="dxa"/>
          <w:left w:w="108" w:type="dxa"/>
          <w:bottom w:w="0" w:type="dxa"/>
          <w:right w:w="108" w:type="dxa"/>
        </w:tblCellMar>
        <w:tblLook w:val="01e0"/>
      </w:tblPr>
      <w:tblGrid>
        <w:gridCol w:w="3348"/>
        <w:gridCol w:w="2794"/>
        <w:gridCol w:w="3071"/>
      </w:tblGrid>
      <w:tr>
        <w:trPr/>
        <w:tc>
          <w:tcPr>
            <w:tcW w:w="33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794"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511 – opravy a udržiavanie</w:t>
            </w:r>
          </w:p>
        </w:tc>
        <w:tc>
          <w:tcPr>
            <w:tcW w:w="2794" w:type="dxa"/>
            <w:tcBorders/>
            <w:shd w:fill="auto" w:val="clear"/>
          </w:tcPr>
          <w:p>
            <w:pPr>
              <w:pStyle w:val="Normal"/>
              <w:spacing w:lineRule="auto" w:line="240" w:before="0" w:after="0"/>
              <w:jc w:val="both"/>
              <w:rPr>
                <w:rFonts w:ascii="Times New Roman" w:hAnsi="Times New Roman" w:eastAsia="Times New Roman" w:cs="Times New Roman"/>
              </w:rPr>
            </w:pPr>
            <w:r>
              <w:rPr>
                <w:rFonts w:eastAsia="Times New Roman" w:cs="Times New Roman" w:ascii="Times New Roman" w:hAnsi="Times New Roman"/>
                <w:sz w:val="24"/>
                <w:szCs w:val="24"/>
              </w:rPr>
              <w:t>13972,30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17717,13</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512 – cestovné</w:t>
            </w:r>
          </w:p>
        </w:tc>
        <w:tc>
          <w:tcPr>
            <w:tcW w:w="2794"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217,90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572,09</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513 – náklady na reprezentáciu</w:t>
            </w:r>
          </w:p>
        </w:tc>
        <w:tc>
          <w:tcPr>
            <w:tcW w:w="2794" w:type="dxa"/>
            <w:tcBorders/>
            <w:shd w:fill="auto" w:val="clear"/>
          </w:tcPr>
          <w:p>
            <w:pPr>
              <w:pStyle w:val="Normal"/>
              <w:spacing w:lineRule="auto" w:line="240" w:before="0" w:after="0"/>
              <w:jc w:val="both"/>
              <w:rPr>
                <w:rFonts w:ascii="Times New Roman" w:hAnsi="Times New Roman" w:eastAsia="Times New Roman" w:cs="Times New Roman"/>
              </w:rPr>
            </w:pPr>
            <w:r>
              <w:rPr>
                <w:rFonts w:eastAsia="Times New Roman" w:cs="Times New Roman" w:ascii="Times New Roman" w:hAnsi="Times New Roman"/>
                <w:sz w:val="24"/>
                <w:szCs w:val="24"/>
              </w:rPr>
              <w:t>425,70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1038,14</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518 – ostatné služby</w:t>
            </w:r>
          </w:p>
        </w:tc>
        <w:tc>
          <w:tcPr>
            <w:tcW w:w="2794"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75539,56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63403,62</w:t>
            </w:r>
          </w:p>
        </w:tc>
      </w:tr>
      <w:tr>
        <w:trPr/>
        <w:tc>
          <w:tcPr>
            <w:tcW w:w="33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794"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90155,46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82760,98</w:t>
            </w:r>
          </w:p>
        </w:tc>
      </w:tr>
    </w:tbl>
    <w:p>
      <w:pPr>
        <w:pStyle w:val="Normal"/>
        <w:jc w:val="both"/>
        <w:rPr>
          <w:rFonts w:eastAsia="Times New Roman"/>
        </w:rPr>
      </w:pPr>
      <w:r>
        <w:rPr>
          <w:rFonts w:eastAsia="Times New Roman"/>
        </w:rPr>
      </w:r>
    </w:p>
    <w:p>
      <w:pPr>
        <w:pStyle w:val="Normal"/>
        <w:jc w:val="both"/>
        <w:rPr/>
      </w:pPr>
      <w:r>
        <w:rPr/>
        <w:t>Prehľad o osobných nákladoch: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528"/>
        <w:gridCol w:w="2613"/>
        <w:gridCol w:w="3071"/>
      </w:tblGrid>
      <w:tr>
        <w:trPr/>
        <w:tc>
          <w:tcPr>
            <w:tcW w:w="352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613"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521 – mzdové náklady</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439010,66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392524,68</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524 – zákonné sociálne poistenie</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143732,64</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135165,94</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525 – ostatné sociálne poistenie</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8880,86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6384,83</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527 – zákonné sociálne náklady</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11434,43</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20952,88</w:t>
            </w:r>
          </w:p>
        </w:tc>
      </w:tr>
      <w:tr>
        <w:trPr/>
        <w:tc>
          <w:tcPr>
            <w:tcW w:w="352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603058,59</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555028,62</w:t>
            </w:r>
          </w:p>
        </w:tc>
      </w:tr>
    </w:tbl>
    <w:p>
      <w:pPr>
        <w:pStyle w:val="Normal"/>
        <w:jc w:val="both"/>
        <w:rPr>
          <w:rFonts w:eastAsia="Times New Roman"/>
        </w:rPr>
      </w:pPr>
      <w:r>
        <w:rPr>
          <w:rFonts w:eastAsia="Times New Roman"/>
        </w:rPr>
      </w:r>
    </w:p>
    <w:p>
      <w:pPr>
        <w:pStyle w:val="Normal"/>
        <w:jc w:val="both"/>
        <w:rPr/>
      </w:pPr>
      <w:r>
        <w:rPr/>
        <w:t>Prehľad o nákladoch na dane a poplatky:</w:t>
      </w:r>
    </w:p>
    <w:p>
      <w:pPr>
        <w:pStyle w:val="Normal"/>
        <w:jc w:val="both"/>
        <w:rPr>
          <w:i/>
          <w:i/>
        </w:rPr>
      </w:pPr>
      <w:r>
        <w:rPr/>
        <w:tab/>
        <w:tab/>
        <w:tab/>
        <w:tab/>
        <w:tab/>
        <w:tab/>
        <w:tab/>
        <w:tab/>
        <w:tab/>
        <w:tab/>
        <w:tab/>
        <w:tab/>
      </w:r>
      <w:r>
        <w:rPr>
          <w:i/>
        </w:rPr>
        <w:t>v eur</w:t>
      </w:r>
    </w:p>
    <w:tbl>
      <w:tblPr>
        <w:tblStyle w:val="Mriekatabuky"/>
        <w:tblW w:w="9213" w:type="dxa"/>
        <w:jc w:val="left"/>
        <w:tblInd w:w="0" w:type="dxa"/>
        <w:tblCellMar>
          <w:top w:w="0" w:type="dxa"/>
          <w:left w:w="108" w:type="dxa"/>
          <w:bottom w:w="0" w:type="dxa"/>
          <w:right w:w="108" w:type="dxa"/>
        </w:tblCellMar>
        <w:tblLook w:val="01e0"/>
      </w:tblPr>
      <w:tblGrid>
        <w:gridCol w:w="3348"/>
        <w:gridCol w:w="2794"/>
        <w:gridCol w:w="3071"/>
      </w:tblGrid>
      <w:tr>
        <w:trPr/>
        <w:tc>
          <w:tcPr>
            <w:tcW w:w="33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794"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538 – ostatné dane a poplatky</w:t>
            </w:r>
          </w:p>
        </w:tc>
        <w:tc>
          <w:tcPr>
            <w:tcW w:w="2794"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77,90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 </w:t>
            </w:r>
            <w:r>
              <w:rPr>
                <w:rFonts w:eastAsia="Times New Roman" w:cs="Times New Roman" w:ascii="Times New Roman" w:hAnsi="Times New Roman"/>
                <w:sz w:val="20"/>
                <w:szCs w:val="20"/>
              </w:rPr>
              <w:t>416,53</w:t>
            </w:r>
          </w:p>
        </w:tc>
      </w:tr>
      <w:tr>
        <w:trPr/>
        <w:tc>
          <w:tcPr>
            <w:tcW w:w="33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794"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77,90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416,53</w:t>
            </w:r>
          </w:p>
        </w:tc>
      </w:tr>
    </w:tbl>
    <w:p>
      <w:pPr>
        <w:pStyle w:val="Normal"/>
        <w:jc w:val="both"/>
        <w:rPr>
          <w:rFonts w:eastAsia="Times New Roman"/>
          <w:sz w:val="16"/>
          <w:szCs w:val="16"/>
        </w:rPr>
      </w:pPr>
      <w:r>
        <w:rPr>
          <w:rFonts w:eastAsia="Times New Roman"/>
          <w:sz w:val="16"/>
          <w:szCs w:val="16"/>
        </w:rPr>
      </w:r>
    </w:p>
    <w:p>
      <w:pPr>
        <w:pStyle w:val="Normal"/>
        <w:jc w:val="both"/>
        <w:rPr>
          <w:sz w:val="24"/>
          <w:szCs w:val="24"/>
        </w:rPr>
      </w:pPr>
      <w:r>
        <w:rPr/>
        <w:t>Prehľad o ostatných nákladoch na prevádzkovú činnosť:</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79"/>
        <w:gridCol w:w="1382"/>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79"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82"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541 – zostatková cena predaného dlhodobého nehmotného a hmotného majetku</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2497,34</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542 – predaný materiál</w:t>
            </w:r>
          </w:p>
        </w:tc>
        <w:tc>
          <w:tcPr>
            <w:tcW w:w="1279" w:type="dxa"/>
            <w:tcBorders/>
            <w:shd w:fill="auto" w:val="clear"/>
          </w:tcPr>
          <w:p>
            <w:pPr>
              <w:pStyle w:val="Normal"/>
              <w:spacing w:lineRule="auto" w:line="240" w:before="0" w:after="0"/>
              <w:jc w:val="both"/>
              <w:rPr>
                <w:rFonts w:ascii="Times New Roman" w:hAnsi="Times New Roman" w:eastAsia="Times New Roman" w:cs="Times New Roman"/>
              </w:rPr>
            </w:pPr>
            <w:r>
              <w:rPr>
                <w:rFonts w:eastAsia="Times New Roman" w:cs="Times New Roman" w:ascii="Times New Roman" w:hAnsi="Times New Roman"/>
                <w:sz w:val="24"/>
                <w:szCs w:val="24"/>
              </w:rPr>
              <w:t>1404,00</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1327,44</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545 – ostatné pokuty, penále a úroky z omeškania</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284,41</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12,41</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544 – zmluvné pokuty a úroky z omeškania</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83,00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548 – ostatné náklady na prevádzkovú činnosť</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3066,68</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10565,36</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4755,07</w:t>
            </w:r>
          </w:p>
        </w:tc>
        <w:tc>
          <w:tcPr>
            <w:tcW w:w="1382"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14505,55</w:t>
            </w:r>
          </w:p>
        </w:tc>
      </w:tr>
    </w:tbl>
    <w:p>
      <w:pPr>
        <w:pStyle w:val="Normal"/>
        <w:jc w:val="both"/>
        <w:rPr>
          <w:rFonts w:eastAsia="Times New Roman"/>
        </w:rPr>
      </w:pPr>
      <w:r>
        <w:rPr>
          <w:rFonts w:eastAsia="Times New Roman"/>
        </w:rPr>
      </w:r>
    </w:p>
    <w:p>
      <w:pPr>
        <w:pStyle w:val="Normal"/>
        <w:jc w:val="both"/>
        <w:rPr/>
      </w:pPr>
      <w:r>
        <w:rPr/>
      </w:r>
    </w:p>
    <w:p>
      <w:pPr>
        <w:pStyle w:val="Normal"/>
        <w:jc w:val="both"/>
        <w:rPr/>
      </w:pPr>
      <w:r>
        <w:rPr/>
      </w:r>
    </w:p>
    <w:p>
      <w:pPr>
        <w:pStyle w:val="Normal"/>
        <w:jc w:val="both"/>
        <w:rPr/>
      </w:pPr>
      <w:r>
        <w:rPr/>
      </w:r>
    </w:p>
    <w:p>
      <w:pPr>
        <w:pStyle w:val="Normal"/>
        <w:jc w:val="both"/>
        <w:rPr/>
      </w:pPr>
      <w:r>
        <w:rPr/>
        <w:t>Prehľad o nákladoch na odpisy, rezervy a opravné položky z prevádzkovej a finančnej činnosti a zúčtovanie časového rozlíšenia: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551 – odpisy dlhodobého nehmotného a hmotného majetku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100334,76</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83208,54</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552  - tvorba zákonných rezerv z prev. činnosti</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553 – tvorba ostatných rezerv z prevádzkovej činnosti</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1800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1700,00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558 – Tvorba ostatných opravných položiek z prevádzkovej činn.</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1764,16</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1458,64</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103898,92</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86367,18</w:t>
            </w:r>
          </w:p>
        </w:tc>
      </w:tr>
    </w:tbl>
    <w:p>
      <w:pPr>
        <w:pStyle w:val="Normal"/>
        <w:jc w:val="both"/>
        <w:rPr>
          <w:rFonts w:eastAsia="Times New Roman"/>
        </w:rPr>
      </w:pPr>
      <w:r>
        <w:rPr>
          <w:rFonts w:eastAsia="Times New Roman"/>
        </w:rPr>
      </w:r>
    </w:p>
    <w:p>
      <w:pPr>
        <w:pStyle w:val="Normal"/>
        <w:jc w:val="both"/>
        <w:rPr/>
      </w:pPr>
      <w:r>
        <w:rPr/>
        <w:t>Prehľad o finančných nákladoch: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528"/>
        <w:gridCol w:w="2613"/>
        <w:gridCol w:w="3071"/>
      </w:tblGrid>
      <w:tr>
        <w:trPr/>
        <w:tc>
          <w:tcPr>
            <w:tcW w:w="352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613"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3071"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562 - Úroky</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9309,26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5787,77</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568 – ostatné finančné náklady</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4435,10</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4353,85</w:t>
            </w:r>
          </w:p>
        </w:tc>
      </w:tr>
      <w:tr>
        <w:trPr/>
        <w:tc>
          <w:tcPr>
            <w:tcW w:w="352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13744,36</w:t>
            </w:r>
          </w:p>
        </w:tc>
        <w:tc>
          <w:tcPr>
            <w:tcW w:w="3071"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10141,29</w:t>
            </w:r>
          </w:p>
        </w:tc>
      </w:tr>
    </w:tbl>
    <w:p>
      <w:pPr>
        <w:pStyle w:val="Normal"/>
        <w:jc w:val="both"/>
        <w:rPr>
          <w:rFonts w:eastAsia="Times New Roman"/>
        </w:rPr>
      </w:pPr>
      <w:r>
        <w:rPr>
          <w:rFonts w:eastAsia="Times New Roman"/>
        </w:rPr>
      </w:r>
    </w:p>
    <w:p>
      <w:pPr>
        <w:pStyle w:val="Normal"/>
        <w:jc w:val="both"/>
        <w:rPr/>
      </w:pPr>
      <w:r>
        <w:rPr/>
        <w:t>Prehľad o nákladoch na transfery a náklady z odvodu príjmov:</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585- náklady na transfery z rozpočtu obce alebo VÚC ostatným subjektom verejnej 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300,00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586 – náklady na transfery z rozpočtu obce alebo VÚC ostatným subjektom mimo verejnej 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640,43</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7413,77</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587 – Náklady na ostatné transfery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4"/>
                <w:szCs w:val="24"/>
              </w:rPr>
              <w:t>9852,20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11240,40</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10492,83</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18054,17</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Náklady 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828060,25</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863410,74</w:t>
            </w:r>
          </w:p>
        </w:tc>
      </w:tr>
    </w:tbl>
    <w:p>
      <w:pPr>
        <w:pStyle w:val="Normal"/>
        <w:jc w:val="both"/>
        <w:rPr>
          <w:rFonts w:eastAsia="Times New Roman"/>
        </w:rPr>
      </w:pPr>
      <w:r>
        <w:rPr>
          <w:rFonts w:eastAsia="Times New Roman"/>
        </w:rPr>
      </w:r>
    </w:p>
    <w:p>
      <w:pPr>
        <w:pStyle w:val="Normal"/>
        <w:jc w:val="both"/>
        <w:rPr>
          <w:b/>
          <w:b/>
        </w:rPr>
      </w:pPr>
      <w:r>
        <w:rPr>
          <w:b/>
        </w:rPr>
        <w:t>Výnosy</w:t>
      </w:r>
    </w:p>
    <w:p>
      <w:pPr>
        <w:pStyle w:val="Normal"/>
        <w:jc w:val="both"/>
        <w:rPr/>
      </w:pPr>
      <w:r>
        <w:rPr/>
        <w:t>Prehľad o tržbách za vlastné výkony a tovar:</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602 – tržby z predaja služieb</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38943,63</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52507.41</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38943,63</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52507.41</w:t>
            </w:r>
          </w:p>
        </w:tc>
      </w:tr>
    </w:tbl>
    <w:p>
      <w:pPr>
        <w:pStyle w:val="Normal"/>
        <w:jc w:val="both"/>
        <w:rPr>
          <w:rFonts w:eastAsia="Times New Roman"/>
        </w:rPr>
      </w:pPr>
      <w:r>
        <w:rPr>
          <w:rFonts w:eastAsia="Times New Roman"/>
        </w:rPr>
      </w:r>
    </w:p>
    <w:p>
      <w:pPr>
        <w:pStyle w:val="Normal"/>
        <w:jc w:val="both"/>
        <w:rPr/>
      </w:pPr>
      <w:r>
        <w:rPr/>
        <w:t>Prehľad o daňových a colných výnosoch a výnosoch z poplatkov:</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632 – daňové výnosy samosprávy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469000,69</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420523,10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633 – výnosy z poplatkov</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2577,00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1954,00</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471577,59</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422477,10</w:t>
            </w:r>
          </w:p>
        </w:tc>
      </w:tr>
    </w:tbl>
    <w:p>
      <w:pPr>
        <w:pStyle w:val="Normal"/>
        <w:jc w:val="both"/>
        <w:rPr>
          <w:rFonts w:eastAsia="Times New Roman"/>
        </w:rPr>
      </w:pPr>
      <w:r>
        <w:rPr>
          <w:rFonts w:eastAsia="Times New Roman"/>
        </w:rPr>
      </w:r>
    </w:p>
    <w:p>
      <w:pPr>
        <w:pStyle w:val="Normal"/>
        <w:jc w:val="both"/>
        <w:rPr/>
      </w:pPr>
      <w:r>
        <w:rPr/>
        <w:t>Prehľad o ostatných výnosoch z prevádzkovej činnosti:</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641 – tržby z predaja DHM a DNHM</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93,15</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642 – tržby z predaja materiálu</w:t>
            </w:r>
          </w:p>
        </w:tc>
        <w:tc>
          <w:tcPr>
            <w:tcW w:w="1296" w:type="dxa"/>
            <w:tcBorders/>
            <w:shd w:fill="auto" w:val="clear"/>
          </w:tcPr>
          <w:p>
            <w:pPr>
              <w:pStyle w:val="Normal"/>
              <w:spacing w:lineRule="auto" w:line="240" w:before="0" w:after="0"/>
              <w:jc w:val="both"/>
              <w:rPr>
                <w:rFonts w:ascii="Times New Roman" w:hAnsi="Times New Roman" w:eastAsia="Times New Roman" w:cs="Times New Roman"/>
              </w:rPr>
            </w:pPr>
            <w:r>
              <w:rPr>
                <w:rFonts w:eastAsia="Times New Roman" w:cs="Times New Roman" w:ascii="Times New Roman" w:hAnsi="Times New Roman"/>
                <w:sz w:val="24"/>
                <w:szCs w:val="24"/>
              </w:rPr>
              <w:t>1404,00</w:t>
            </w:r>
          </w:p>
        </w:tc>
        <w:tc>
          <w:tcPr>
            <w:tcW w:w="1365" w:type="dxa"/>
            <w:tcBorders/>
            <w:shd w:fill="auto" w:val="clear"/>
          </w:tcPr>
          <w:p>
            <w:pPr>
              <w:pStyle w:val="Normal"/>
              <w:spacing w:lineRule="auto" w:line="240" w:before="0" w:after="0"/>
              <w:jc w:val="both"/>
              <w:rPr>
                <w:rFonts w:ascii="Times New Roman" w:hAnsi="Times New Roman" w:eastAsia="Times New Roman" w:cs="Times New Roman"/>
              </w:rPr>
            </w:pPr>
            <w:r>
              <w:rPr>
                <w:rFonts w:eastAsia="Times New Roman" w:cs="Times New Roman" w:ascii="Times New Roman" w:hAnsi="Times New Roman"/>
                <w:sz w:val="24"/>
                <w:szCs w:val="24"/>
              </w:rPr>
              <w:t>1472,44</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644 – zmluvné pokuty, penále a úroky z omeškania</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645 – ostatné pokuty, penále a úroky z omeškania</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10,00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648 – ostatné výnosy z prevádzkovej činnosti</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58130,27</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86984,13</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59534,27</w:t>
            </w:r>
          </w:p>
        </w:tc>
        <w:tc>
          <w:tcPr>
            <w:tcW w:w="1365"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24104,85</w:t>
            </w:r>
          </w:p>
        </w:tc>
      </w:tr>
    </w:tbl>
    <w:p>
      <w:pPr>
        <w:pStyle w:val="Normal"/>
        <w:jc w:val="both"/>
        <w:rPr>
          <w:rFonts w:eastAsia="Times New Roman"/>
        </w:rPr>
      </w:pPr>
      <w:r>
        <w:rPr>
          <w:rFonts w:eastAsia="Times New Roman"/>
        </w:rPr>
      </w:r>
    </w:p>
    <w:p>
      <w:pPr>
        <w:pStyle w:val="Normal"/>
        <w:jc w:val="both"/>
        <w:rPr/>
      </w:pPr>
      <w:r>
        <w:rPr/>
      </w:r>
    </w:p>
    <w:p>
      <w:pPr>
        <w:pStyle w:val="Normal"/>
        <w:jc w:val="both"/>
        <w:rPr/>
      </w:pPr>
      <w:r>
        <w:rPr/>
        <w:t>Prehľad o zúčtovaní rezerv a opravných položiek z prevádzkovej činnosti a finančnej činnosti a časového rozlíšenia: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652 – zúčtovanie zákonných rezerv z prevádzkovej činnosti</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1700,00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1600,00</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658 – Zúčtovanie ostatných opravných položiek</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1458,64</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1295,94</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3158,64</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2895,94</w:t>
            </w:r>
          </w:p>
        </w:tc>
      </w:tr>
    </w:tbl>
    <w:p>
      <w:pPr>
        <w:pStyle w:val="Normal"/>
        <w:jc w:val="both"/>
        <w:rPr>
          <w:rFonts w:eastAsia="Times New Roman"/>
        </w:rPr>
      </w:pPr>
      <w:r>
        <w:rPr>
          <w:rFonts w:eastAsia="Times New Roman"/>
        </w:rPr>
      </w:r>
    </w:p>
    <w:p>
      <w:pPr>
        <w:pStyle w:val="Normal"/>
        <w:jc w:val="both"/>
        <w:rPr/>
      </w:pPr>
      <w:r>
        <w:rPr/>
        <w:t>Prehľad o finančných výnosoch: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662 - úroky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9,61</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11,34</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9,61</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11,34</w:t>
            </w:r>
          </w:p>
        </w:tc>
      </w:tr>
    </w:tbl>
    <w:p>
      <w:pPr>
        <w:pStyle w:val="Normal"/>
        <w:jc w:val="both"/>
        <w:rPr>
          <w:rFonts w:eastAsia="Times New Roman"/>
        </w:rPr>
      </w:pPr>
      <w:r>
        <w:rPr>
          <w:rFonts w:eastAsia="Times New Roman"/>
        </w:rPr>
      </w:r>
    </w:p>
    <w:p>
      <w:pPr>
        <w:pStyle w:val="Normal"/>
        <w:jc w:val="both"/>
        <w:rPr/>
      </w:pPr>
      <w:r>
        <w:rPr/>
        <w:t>Prehľad o výnosoch z transferov a rozpočtových príjmov obcí, VÚC a v RO a PO zriadených obcou alebo VÚC:</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693 – výnosy samosprávy z bežných transferov zo štátneho rozpočtu a od iných subjektov verejnej 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351380,01</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296158,08</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694 – výnosy samosprávy z kapitálových transferov zo štátneho rozpočtu a od iných subjektov verejnej 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41351,65</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37968,26</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697 – výnosy samosprávy z bežných transferov od ostatných subjektov mimo ver. správy</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 xml:space="preserve">0 </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0 </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698  výnosy samosprávy z kap. Transferov od ostatných subjekt.</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616,00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708,00</w:t>
            </w:r>
          </w:p>
        </w:tc>
      </w:tr>
      <w:tr>
        <w:trPr>
          <w:trHeight w:val="202" w:hRule="atLeast"/>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393347,66</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334834,34</w:t>
            </w:r>
          </w:p>
        </w:tc>
      </w:tr>
    </w:tbl>
    <w:p>
      <w:pPr>
        <w:pStyle w:val="Normal"/>
        <w:jc w:val="both"/>
        <w:rPr>
          <w:rFonts w:eastAsia="Times New Roman"/>
        </w:rPr>
      </w:pPr>
      <w:r>
        <w:rPr>
          <w:rFonts w:eastAsia="Times New Roman"/>
        </w:rPr>
      </w:r>
    </w:p>
    <w:p>
      <w:pPr>
        <w:pStyle w:val="Normal"/>
        <w:jc w:val="both"/>
        <w:rPr/>
      </w:pPr>
      <w:r>
        <w:rPr/>
        <w:t>Prehľad o výsledku hospodárenia: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51"/>
        <w:gridCol w:w="1296"/>
        <w:gridCol w:w="1365"/>
      </w:tblGrid>
      <w:tr>
        <w:trPr/>
        <w:tc>
          <w:tcPr>
            <w:tcW w:w="6551"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c>
          <w:tcPr>
            <w:tcW w:w="1365"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31.12.201</w:t>
            </w:r>
            <w:r>
              <w:rPr>
                <w:rFonts w:eastAsia="Times New Roman" w:cs="Times New Roman" w:ascii="Times New Roman" w:hAnsi="Times New Roman"/>
                <w:sz w:val="20"/>
                <w:szCs w:val="20"/>
              </w:rPr>
              <w:t>9</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Výsledok hospodárenia pred zdanením</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38511,15</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37865,11</w:t>
            </w:r>
          </w:p>
        </w:tc>
      </w:tr>
      <w:tr>
        <w:trPr/>
        <w:tc>
          <w:tcPr>
            <w:tcW w:w="6551"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591 – splatná daň z príjmov</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-0,00</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-0,00</w:t>
            </w:r>
          </w:p>
        </w:tc>
      </w:tr>
      <w:tr>
        <w:trPr/>
        <w:tc>
          <w:tcPr>
            <w:tcW w:w="6551"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Výsledok hospodárenia po zdanení</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38511,15</w:t>
            </w:r>
          </w:p>
        </w:tc>
        <w:tc>
          <w:tcPr>
            <w:tcW w:w="1365"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rPr>
              <w:t>37865,11</w:t>
            </w:r>
          </w:p>
        </w:tc>
      </w:tr>
    </w:tbl>
    <w:p>
      <w:pPr>
        <w:pStyle w:val="Normal"/>
        <w:jc w:val="both"/>
        <w:rPr>
          <w:rFonts w:eastAsia="Times New Roman"/>
        </w:rPr>
      </w:pPr>
      <w:r>
        <w:rPr>
          <w:rFonts w:eastAsia="Times New Roman"/>
        </w:rPr>
      </w:r>
    </w:p>
    <w:p>
      <w:pPr>
        <w:pStyle w:val="Normal"/>
        <w:jc w:val="both"/>
        <w:rPr>
          <w:b/>
          <w:b/>
        </w:rPr>
      </w:pPr>
      <w:r>
        <w:rPr>
          <w:b/>
        </w:rPr>
        <w:t>2. Popis a výška nákladov voči audítorovi alebo audítorskej spoločnosti</w:t>
      </w:r>
    </w:p>
    <w:p>
      <w:pPr>
        <w:pStyle w:val="Normal"/>
        <w:jc w:val="both"/>
        <w:rPr>
          <w:b/>
          <w:b/>
        </w:rPr>
      </w:pPr>
      <w:r>
        <w:rPr>
          <w:b/>
        </w:rPr>
      </w:r>
    </w:p>
    <w:p>
      <w:pPr>
        <w:pStyle w:val="Normal"/>
        <w:jc w:val="both"/>
        <w:rPr>
          <w:b/>
          <w:b/>
        </w:rPr>
      </w:pPr>
      <w:r>
        <w:rPr>
          <w:b/>
        </w:rPr>
        <w:t>a) Overenie účtovnej závierky</w:t>
      </w:r>
    </w:p>
    <w:p>
      <w:pPr>
        <w:pStyle w:val="Normal"/>
        <w:tabs>
          <w:tab w:val="left" w:pos="0" w:leader="none"/>
          <w:tab w:val="left" w:pos="360" w:leader="none"/>
          <w:tab w:val="left" w:pos="420" w:leader="none"/>
        </w:tabs>
        <w:ind w:left="-14" w:hanging="70"/>
        <w:jc w:val="both"/>
        <w:rPr/>
      </w:pPr>
      <w:r>
        <w:rPr/>
        <w:t>Konsolidovaný celok mal náklady na overenie účtovnej závierky vo výške 1</w:t>
      </w:r>
      <w:r>
        <w:rPr/>
        <w:t>7</w:t>
      </w:r>
      <w:r>
        <w:rPr/>
        <w:t>00,- €.</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b) Uistovacie audítorské služby s výnimkou overenia účtovnej závierky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c) Súvisiace audítorské služby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d) Daňové poradenstvo</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e) Ostatné neaudítorské služby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t xml:space="preserve">Po dni, ku ktorému sa zostavuje účtovná závierka do dňa zostavenia úštovnej konsolidovanej závierky nenastali žiadne skutočnosti, ktoré by bolo treba uvádzať v poznámkach účtovnej jednotky. </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r>
    </w:p>
    <w:p>
      <w:pPr>
        <w:pStyle w:val="Normal"/>
        <w:rPr>
          <w:sz w:val="24"/>
          <w:szCs w:val="24"/>
        </w:rPr>
      </w:pPr>
      <w:r>
        <w:rPr>
          <w:sz w:val="24"/>
          <w:szCs w:val="24"/>
        </w:rPr>
      </w:r>
    </w:p>
    <w:p>
      <w:pPr>
        <w:pStyle w:val="Normal"/>
        <w:rPr/>
      </w:pPr>
      <w:r>
        <w:rPr/>
      </w:r>
    </w:p>
    <w:p>
      <w:pPr>
        <w:pStyle w:val="Normal"/>
        <w:rPr/>
      </w:pPr>
      <w:r>
        <w:rPr/>
      </w:r>
    </w:p>
    <w:p>
      <w:pPr>
        <w:pStyle w:val="Normal"/>
        <w:widowControl/>
        <w:bidi w:val="0"/>
        <w:spacing w:lineRule="auto" w:line="276" w:before="0" w:after="200"/>
        <w:jc w:val="left"/>
        <w:rPr/>
      </w:pPr>
      <w:r>
        <w:rPr/>
      </w:r>
    </w:p>
    <w:sectPr>
      <w:type w:val="nextPage"/>
      <w:pgSz w:w="11906" w:h="16838"/>
      <w:pgMar w:left="1417" w:right="1417" w:header="0" w:top="1417" w:footer="0" w:bottom="156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w:charset w:val="ee"/>
    <w:family w:val="roman"/>
    <w:pitch w:val="variable"/>
  </w:font>
  <w:font w:name="Times New Roman">
    <w:charset w:val="ee"/>
    <w:family w:val="roman"/>
    <w:pitch w:val="variable"/>
  </w:font>
  <w:font w:name="Liberation Sans">
    <w:altName w:val="Arial"/>
    <w:charset w:val="ee"/>
    <w:family w:val="swiss"/>
    <w:pitch w:val="variable"/>
  </w:font>
  <w:font w:name="Calibri">
    <w:charset w:val="01"/>
    <w:family w:val="swiss"/>
    <w:pitch w:val="variable"/>
  </w:font>
  <w:font w:name="Times New Roman">
    <w:charset w:val="01"/>
    <w:family w:val="roman"/>
    <w:pitch w:val="variable"/>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
      <w:numFmt w:val="bullet"/>
      <w:lvlText w:val="-"/>
      <w:lvlJc w:val="left"/>
      <w:pPr>
        <w:tabs>
          <w:tab w:val="num" w:pos="720"/>
        </w:tabs>
        <w:ind w:left="720" w:hanging="360"/>
      </w:pPr>
      <w:rPr>
        <w:rFonts w:ascii="Times New Roman" w:hAnsi="Times New Roman" w:cs="Times New Roman" w:hint="default"/>
        <w:b/>
        <w:rFonts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bullet"/>
      <w:lvlText w:val=""/>
      <w:lvlJc w:val="left"/>
      <w:pPr>
        <w:tabs>
          <w:tab w:val="num" w:pos="1440"/>
        </w:tabs>
        <w:ind w:left="1440" w:hanging="360"/>
      </w:pPr>
      <w:rPr>
        <w:rFonts w:ascii="Wingdings" w:hAnsi="Wingdings" w:cs="Wingdings" w:hint="default"/>
        <w:color w:val="00000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lvl w:ilvl="0">
      <w:start w:val="1"/>
      <w:numFmt w:val="bullet"/>
      <w:lvlText w:val=""/>
      <w:lvlJc w:val="left"/>
      <w:pPr>
        <w:tabs>
          <w:tab w:val="num" w:pos="1440"/>
        </w:tabs>
        <w:ind w:left="1440" w:hanging="360"/>
      </w:pPr>
      <w:rPr>
        <w:rFonts w:ascii="Wingdings" w:hAnsi="Wingdings" w:cs="Wingdings" w:hint="default"/>
        <w:color w:val="00000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3" w:uiPriority="0"/>
    <w:lsdException w:name="Strong" w:uiPriority="22" w:semiHidden="0" w:unhideWhenUsed="0" w:qFormat="1"/>
    <w:lsdException w:name="Emphasis" w:uiPriority="20" w:semiHidden="0" w:unhideWhenUsed="0" w:qFormat="1"/>
    <w:lsdException w:name="Table Grid"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sk-SK" w:eastAsia="sk-SK" w:bidi="ar-SA"/>
    </w:rPr>
  </w:style>
  <w:style w:type="paragraph" w:styleId="Nadpis2">
    <w:name w:val="Heading 2"/>
    <w:basedOn w:val="Normal"/>
    <w:next w:val="Normal"/>
    <w:qFormat/>
    <w:pPr>
      <w:keepNext w:val="true"/>
      <w:jc w:val="both"/>
      <w:outlineLvl w:val="1"/>
    </w:pPr>
    <w:rPr>
      <w:bCs/>
      <w:i/>
      <w:iCs/>
      <w:lang w:val="sk-SK"/>
    </w:rPr>
  </w:style>
  <w:style w:type="character" w:styleId="DefaultParagraphFont" w:default="1">
    <w:name w:val="Default Paragraph Font"/>
    <w:uiPriority w:val="1"/>
    <w:semiHidden/>
    <w:unhideWhenUsed/>
    <w:qFormat/>
    <w:rPr/>
  </w:style>
  <w:style w:type="character" w:styleId="Zkladntext3Char" w:customStyle="1">
    <w:name w:val="Základný text 3 Char"/>
    <w:basedOn w:val="DefaultParagraphFont"/>
    <w:link w:val="Zkladntext3"/>
    <w:semiHidden/>
    <w:qFormat/>
    <w:rsid w:val="00d82972"/>
    <w:rPr>
      <w:rFonts w:ascii="Arial" w:hAnsi="Arial" w:eastAsia="Times New Roman" w:cs="Arial"/>
      <w:bCs/>
      <w:iCs/>
      <w:sz w:val="24"/>
      <w:szCs w:val="24"/>
      <w:lang w:eastAsia="cs-CZ"/>
    </w:rPr>
  </w:style>
  <w:style w:type="character" w:styleId="ZkladntextChar" w:customStyle="1">
    <w:name w:val="Základný text Char"/>
    <w:basedOn w:val="DefaultParagraphFont"/>
    <w:link w:val="Zkladntext"/>
    <w:uiPriority w:val="99"/>
    <w:semiHidden/>
    <w:qFormat/>
    <w:rsid w:val="00d82972"/>
    <w:rPr/>
  </w:style>
  <w:style w:type="character" w:styleId="ListLabel1">
    <w:name w:val="ListLabel 1"/>
    <w:qFormat/>
    <w:rPr>
      <w:rFonts w:ascii="Times New Roman" w:hAnsi="Times New Roman" w:eastAsia="Times New Roman" w:cs="Times New Roman"/>
      <w:b/>
    </w:rPr>
  </w:style>
  <w:style w:type="character" w:styleId="ListLabel2">
    <w:name w:val="ListLabel 2"/>
    <w:qFormat/>
    <w:rPr>
      <w:color w:val="00000A"/>
    </w:rPr>
  </w:style>
  <w:style w:type="character" w:styleId="ListLabel3">
    <w:name w:val="ListLabel 3"/>
    <w:qFormat/>
    <w:rPr>
      <w:color w:val="00000A"/>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link w:val="ZkladntextChar"/>
    <w:uiPriority w:val="99"/>
    <w:semiHidden/>
    <w:unhideWhenUsed/>
    <w:rsid w:val="00d82972"/>
    <w:pPr>
      <w:spacing w:before="0" w:after="12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BodyText3">
    <w:name w:val="Body Text 3"/>
    <w:basedOn w:val="Normal"/>
    <w:link w:val="Zkladntext3Char"/>
    <w:semiHidden/>
    <w:unhideWhenUsed/>
    <w:qFormat/>
    <w:rsid w:val="00d82972"/>
    <w:pPr>
      <w:spacing w:lineRule="auto" w:line="240" w:before="0" w:after="0"/>
      <w:jc w:val="both"/>
    </w:pPr>
    <w:rPr>
      <w:rFonts w:ascii="Arial" w:hAnsi="Arial" w:eastAsia="Times New Roman" w:cs="Arial"/>
      <w:bCs/>
      <w:iCs/>
      <w:sz w:val="24"/>
      <w:szCs w:val="24"/>
      <w:lang w:eastAsia="cs-CZ"/>
    </w:rPr>
  </w:style>
  <w:style w:type="paragraph" w:styleId="Odstavec" w:customStyle="1">
    <w:name w:val="odstavec"/>
    <w:basedOn w:val="Normal"/>
    <w:autoRedefine/>
    <w:qFormat/>
    <w:rsid w:val="00d82972"/>
    <w:pPr>
      <w:spacing w:lineRule="auto" w:line="240" w:before="0" w:after="0"/>
      <w:ind w:right="-79" w:hanging="0"/>
      <w:jc w:val="both"/>
    </w:pPr>
    <w:rPr>
      <w:rFonts w:ascii="Times New Roman" w:hAnsi="Times New Roman" w:eastAsia="Times New Roman" w:cs="Times New Roman"/>
      <w:sz w:val="24"/>
      <w:szCs w:val="24"/>
    </w:rPr>
  </w:style>
  <w:style w:type="paragraph" w:styleId="Pismenka" w:customStyle="1">
    <w:name w:val="Pismenka"/>
    <w:basedOn w:val="Telotextu"/>
    <w:qFormat/>
    <w:rsid w:val="00d82972"/>
    <w:pPr>
      <w:spacing w:lineRule="auto" w:line="240"/>
    </w:pPr>
    <w:rPr>
      <w:rFonts w:ascii="Times New Roman" w:hAnsi="Times New Roman" w:eastAsia="Times New Roman" w:cs="Times New Roman"/>
      <w:sz w:val="24"/>
      <w:szCs w:val="24"/>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d82972"/>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LibreOffice/6.0.1.1$Windows_x86 LibreOffice_project/60bfb1526849283ce2491346ed2aa51c465abfe6</Application>
  <Pages>15</Pages>
  <Words>3971</Words>
  <Characters>24105</Characters>
  <CharactersWithSpaces>28075</CharactersWithSpaces>
  <Paragraphs>436</Paragraphs>
  <Company>ATC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2021-06-15T08:46:00Z</dcterms:created>
  <dc:creator>Uzivatel</dc:creator>
  <dc:description/>
  <dc:language>sk-SK</dc:language>
  <cp:lastModifiedBy/>
  <dcterms:modified xsi:type="dcterms:W3CDTF">2021-06-16T16:46:50Z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ATC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