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49" w:rsidRPr="00A42542" w:rsidRDefault="00A42542" w:rsidP="009E7B49">
      <w:pPr>
        <w:pStyle w:val="Nadpis1"/>
        <w:tabs>
          <w:tab w:val="center" w:pos="3544"/>
          <w:tab w:val="center" w:pos="5670"/>
          <w:tab w:val="right" w:pos="9356"/>
        </w:tabs>
        <w:spacing w:after="120"/>
        <w:rPr>
          <w:caps/>
          <w:color w:val="000080"/>
          <w:spacing w:val="130"/>
          <w:sz w:val="38"/>
          <w:u w:val="non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283845</wp:posOffset>
                </wp:positionV>
                <wp:extent cx="5899785" cy="0"/>
                <wp:effectExtent l="13970" t="5080" r="10795" b="1397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2BE48E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2.35pt" to="464.4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666FA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"/>
            </w:pict>
          </mc:Fallback>
        </mc:AlternateContent>
      </w:r>
      <w:r w:rsidR="009E7B49" w:rsidRPr="00A42542">
        <w:rPr>
          <w:caps/>
          <w:color w:val="000080"/>
          <w:spacing w:val="130"/>
          <w:sz w:val="38"/>
          <w:u w:val="non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Obec </w:t>
      </w:r>
      <w:r w:rsidR="00630957" w:rsidRPr="00A42542">
        <w:rPr>
          <w:caps/>
          <w:color w:val="000080"/>
          <w:spacing w:val="130"/>
          <w:sz w:val="38"/>
          <w:u w:val="non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BLATNÉ REMETY</w:t>
      </w:r>
    </w:p>
    <w:p w:rsidR="009E7B49" w:rsidRDefault="009E7B49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9E7B49" w:rsidRDefault="009E7B49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9E7B49" w:rsidRDefault="009E7B49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594825">
        <w:rPr>
          <w:rFonts w:ascii="Book Antiqua" w:hAnsi="Book Antiqua" w:cs="Arial"/>
          <w:b/>
          <w:bCs/>
          <w:sz w:val="24"/>
          <w:szCs w:val="24"/>
        </w:rPr>
        <w:t xml:space="preserve"> k 31.12.2020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 </w:t>
      </w:r>
    </w:p>
    <w:p w:rsidR="00FC3946" w:rsidRPr="00402A07" w:rsidRDefault="007D2ED3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630957">
        <w:rPr>
          <w:rFonts w:ascii="Book Antiqua" w:hAnsi="Book Antiqua" w:cs="Arial"/>
          <w:b/>
          <w:bCs/>
          <w:i/>
          <w:sz w:val="28"/>
          <w:szCs w:val="28"/>
        </w:rPr>
        <w:t>Blatné Remety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60828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1, </w:t>
      </w:r>
      <w:r w:rsidR="001F3097"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="001F3097"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2A4580" w:rsidRDefault="007D2ED3" w:rsidP="001608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 xml:space="preserve">OBEC </w:t>
            </w:r>
            <w:r w:rsidR="00160828"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Blatné Remety</w:t>
            </w:r>
          </w:p>
        </w:tc>
      </w:tr>
      <w:tr w:rsidR="00930F58" w:rsidRPr="00402A07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160828" w:rsidRPr="002A4580" w:rsidRDefault="007D2ED3" w:rsidP="001608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 xml:space="preserve">obecný úrad </w:t>
            </w:r>
            <w:r w:rsidR="00160828"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Blatné Remety,</w:t>
            </w:r>
          </w:p>
          <w:p w:rsidR="00930F58" w:rsidRPr="002A4580" w:rsidRDefault="00160828" w:rsidP="001608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 xml:space="preserve"> 072 44  Blatné Remety 26</w:t>
            </w:r>
          </w:p>
        </w:tc>
      </w:tr>
      <w:tr w:rsidR="00930F58" w:rsidRPr="00402A07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2A4580" w:rsidRDefault="00524E49" w:rsidP="004239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Zo zákona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60828" w:rsidRPr="000C1A80" w:rsidRDefault="00160828" w:rsidP="00F265B5">
      <w:pPr>
        <w:spacing w:line="360" w:lineRule="auto"/>
        <w:jc w:val="both"/>
        <w:rPr>
          <w:sz w:val="24"/>
          <w:szCs w:val="24"/>
        </w:rPr>
      </w:pPr>
      <w:r w:rsidRPr="000C1A80">
        <w:rPr>
          <w:sz w:val="24"/>
          <w:szCs w:val="24"/>
        </w:rPr>
        <w:t xml:space="preserve">Konsolidovaná účtovná závierka konsolidovaného celku obce Blatné Remety bola zostavená v súlade so zákonom č. 431/2002 Z. z. o účtovníctve v znení neskorších predpisov (ďalej len ,,zákon o účtovníctve“)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</w:t>
      </w:r>
    </w:p>
    <w:p w:rsidR="00160828" w:rsidRDefault="00160828" w:rsidP="00F265B5">
      <w:pPr>
        <w:spacing w:line="360" w:lineRule="auto"/>
        <w:jc w:val="both"/>
      </w:pPr>
    </w:p>
    <w:p w:rsidR="00160828" w:rsidRDefault="00160828" w:rsidP="00423928">
      <w:pPr>
        <w:spacing w:line="360" w:lineRule="auto"/>
      </w:pPr>
    </w:p>
    <w:p w:rsidR="00160828" w:rsidRPr="000C1A80" w:rsidRDefault="00160828" w:rsidP="00423928">
      <w:pPr>
        <w:spacing w:line="360" w:lineRule="auto"/>
        <w:rPr>
          <w:sz w:val="24"/>
          <w:szCs w:val="24"/>
        </w:rPr>
      </w:pPr>
    </w:p>
    <w:p w:rsidR="00160828" w:rsidRDefault="000C1A80" w:rsidP="00423928">
      <w:pPr>
        <w:spacing w:line="360" w:lineRule="auto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2, </w:t>
      </w:r>
      <w:r w:rsidR="00160828" w:rsidRPr="000C1A80">
        <w:rPr>
          <w:rFonts w:ascii="Book Antiqua" w:hAnsi="Book Antiqua"/>
          <w:b/>
          <w:i/>
          <w:sz w:val="24"/>
          <w:szCs w:val="24"/>
        </w:rPr>
        <w:t xml:space="preserve"> Informácie o hlavných predstaviteľoch konsolidujúcej účtovnej jednotky </w:t>
      </w:r>
    </w:p>
    <w:p w:rsidR="000C1A80" w:rsidRPr="000C1A80" w:rsidRDefault="000C1A80" w:rsidP="00423928">
      <w:pPr>
        <w:spacing w:line="360" w:lineRule="auto"/>
        <w:rPr>
          <w:rFonts w:ascii="Book Antiqua" w:hAnsi="Book Antiqua"/>
          <w:b/>
          <w:i/>
          <w:sz w:val="24"/>
          <w:szCs w:val="24"/>
        </w:rPr>
      </w:pPr>
    </w:p>
    <w:p w:rsidR="00160828" w:rsidRPr="000C1A80" w:rsidRDefault="00160828" w:rsidP="00423928">
      <w:pPr>
        <w:spacing w:line="360" w:lineRule="auto"/>
        <w:rPr>
          <w:sz w:val="24"/>
          <w:szCs w:val="24"/>
        </w:rPr>
      </w:pPr>
      <w:r w:rsidRPr="000C1A80">
        <w:rPr>
          <w:sz w:val="24"/>
          <w:szCs w:val="24"/>
        </w:rPr>
        <w:t xml:space="preserve">Starosta obce (meno a priezvisko):                           </w:t>
      </w:r>
      <w:r w:rsidR="002A4580">
        <w:rPr>
          <w:sz w:val="24"/>
          <w:szCs w:val="24"/>
        </w:rPr>
        <w:t xml:space="preserve"> </w:t>
      </w:r>
      <w:r w:rsidRPr="000C1A80">
        <w:rPr>
          <w:sz w:val="24"/>
          <w:szCs w:val="24"/>
        </w:rPr>
        <w:t xml:space="preserve"> </w:t>
      </w:r>
      <w:r w:rsidRPr="002A4580">
        <w:rPr>
          <w:b/>
          <w:sz w:val="24"/>
          <w:szCs w:val="24"/>
        </w:rPr>
        <w:t>Ľuboš Sliško</w:t>
      </w:r>
    </w:p>
    <w:p w:rsidR="00160828" w:rsidRPr="000C1A80" w:rsidRDefault="00160828" w:rsidP="00423928">
      <w:pPr>
        <w:spacing w:line="360" w:lineRule="auto"/>
        <w:rPr>
          <w:sz w:val="24"/>
          <w:szCs w:val="24"/>
        </w:rPr>
      </w:pPr>
      <w:r w:rsidRPr="000C1A80">
        <w:rPr>
          <w:sz w:val="24"/>
          <w:szCs w:val="24"/>
        </w:rPr>
        <w:t xml:space="preserve"> Zástupca starostu (meno a priezvisko):                     </w:t>
      </w:r>
      <w:r w:rsidR="002A4580" w:rsidRPr="002A4580">
        <w:rPr>
          <w:b/>
          <w:sz w:val="24"/>
          <w:szCs w:val="24"/>
        </w:rPr>
        <w:t>Vladimír Sliško</w:t>
      </w:r>
      <w:r w:rsidRPr="000C1A80">
        <w:rPr>
          <w:sz w:val="24"/>
          <w:szCs w:val="24"/>
        </w:rPr>
        <w:t xml:space="preserve"> </w:t>
      </w:r>
    </w:p>
    <w:p w:rsidR="00160828" w:rsidRPr="000C1A80" w:rsidRDefault="00160828" w:rsidP="00423928">
      <w:pPr>
        <w:spacing w:line="360" w:lineRule="auto"/>
        <w:rPr>
          <w:sz w:val="24"/>
          <w:szCs w:val="24"/>
        </w:rPr>
      </w:pPr>
      <w:r w:rsidRPr="000C1A80">
        <w:rPr>
          <w:sz w:val="24"/>
          <w:szCs w:val="24"/>
        </w:rPr>
        <w:t xml:space="preserve">Hlavný kontrolór obce :                                              </w:t>
      </w:r>
      <w:r w:rsidRPr="002A4580">
        <w:rPr>
          <w:b/>
          <w:sz w:val="24"/>
          <w:szCs w:val="24"/>
        </w:rPr>
        <w:t>Ing. Matúš Karas</w:t>
      </w:r>
    </w:p>
    <w:p w:rsidR="00160828" w:rsidRPr="000C1A80" w:rsidRDefault="00160828" w:rsidP="00423928">
      <w:pPr>
        <w:spacing w:line="360" w:lineRule="auto"/>
        <w:rPr>
          <w:sz w:val="24"/>
          <w:szCs w:val="24"/>
        </w:rPr>
      </w:pPr>
    </w:p>
    <w:p w:rsidR="000C1A80" w:rsidRPr="000C1A80" w:rsidRDefault="000C1A80" w:rsidP="00423928">
      <w:pPr>
        <w:spacing w:line="360" w:lineRule="auto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lastRenderedPageBreak/>
        <w:t>3,</w:t>
      </w:r>
      <w:r w:rsidR="00160828" w:rsidRPr="000C1A80">
        <w:rPr>
          <w:rFonts w:ascii="Book Antiqua" w:hAnsi="Book Antiqua"/>
          <w:b/>
          <w:i/>
          <w:sz w:val="24"/>
          <w:szCs w:val="24"/>
        </w:rPr>
        <w:t xml:space="preserve"> Informácie o konsolidovanom celku </w:t>
      </w:r>
    </w:p>
    <w:p w:rsidR="00160828" w:rsidRPr="000C1A80" w:rsidRDefault="00160828" w:rsidP="00423928">
      <w:pPr>
        <w:spacing w:line="360" w:lineRule="auto"/>
        <w:rPr>
          <w:sz w:val="24"/>
          <w:szCs w:val="24"/>
        </w:rPr>
      </w:pPr>
      <w:r w:rsidRPr="000C1A80">
        <w:rPr>
          <w:sz w:val="24"/>
          <w:szCs w:val="24"/>
        </w:rPr>
        <w:t>Identifikačné údaje všetkých účtovných jednotiek konsolidovaného celku obce Blatné Remety sú uvedené v tabuľkovej časti (tabuľka č. 1) poznámok konsolidovanej účtovnej závierky.</w:t>
      </w:r>
    </w:p>
    <w:p w:rsidR="00160828" w:rsidRPr="000C1A80" w:rsidRDefault="00160828" w:rsidP="00423928">
      <w:pPr>
        <w:spacing w:line="360" w:lineRule="auto"/>
        <w:rPr>
          <w:sz w:val="24"/>
          <w:szCs w:val="24"/>
        </w:rPr>
      </w:pPr>
    </w:p>
    <w:p w:rsidR="00C836D2" w:rsidRPr="000C1A80" w:rsidRDefault="00160828" w:rsidP="00423928">
      <w:pPr>
        <w:spacing w:line="360" w:lineRule="auto"/>
        <w:rPr>
          <w:sz w:val="24"/>
          <w:szCs w:val="24"/>
        </w:rPr>
      </w:pPr>
      <w:r w:rsidRPr="000C1A80">
        <w:rPr>
          <w:sz w:val="24"/>
          <w:szCs w:val="24"/>
        </w:rPr>
        <w:t>3. 1. Identifikačné údaje o konsolidovaných účtovných jednotkách – rozpočtových organizáciách v zriaďovateľskej pôsobnosti konsolidujúcej účtovnej jednotky</w:t>
      </w:r>
    </w:p>
    <w:p w:rsidR="00160828" w:rsidRPr="000C1A80" w:rsidRDefault="00160828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2A4580" w:rsidRDefault="00524E49" w:rsidP="001608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Základná škola</w:t>
            </w:r>
            <w:r w:rsidR="007D2ED3"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836D2" w:rsidRPr="00402A07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2A4580" w:rsidRDefault="00160828" w:rsidP="001608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Blatné Remety 98, 072 44  Blatné Remety</w:t>
            </w:r>
          </w:p>
        </w:tc>
      </w:tr>
      <w:tr w:rsidR="00C836D2" w:rsidRPr="00402A07">
        <w:tc>
          <w:tcPr>
            <w:tcW w:w="4781" w:type="dxa"/>
            <w:vAlign w:val="center"/>
          </w:tcPr>
          <w:p w:rsidR="00C836D2" w:rsidRPr="000C1A80" w:rsidRDefault="00C836D2" w:rsidP="00423928">
            <w:pPr>
              <w:spacing w:line="360" w:lineRule="auto"/>
              <w:rPr>
                <w:rFonts w:ascii="Book Antiqua" w:hAnsi="Book Antiqua" w:cs="Arial"/>
                <w:color w:val="000000" w:themeColor="text1"/>
                <w:sz w:val="24"/>
                <w:szCs w:val="24"/>
              </w:rPr>
            </w:pPr>
            <w:r w:rsidRPr="000C1A80">
              <w:rPr>
                <w:rFonts w:ascii="Book Antiqua" w:hAnsi="Book Antiqua" w:cs="Arial"/>
                <w:color w:val="000000" w:themeColor="text1"/>
                <w:sz w:val="24"/>
                <w:szCs w:val="24"/>
              </w:rPr>
              <w:t>Dátum založenia</w:t>
            </w:r>
            <w:r w:rsidR="00162730" w:rsidRPr="000C1A80">
              <w:rPr>
                <w:rFonts w:ascii="Book Antiqua" w:hAnsi="Book Antiqua" w:cs="Arial"/>
                <w:color w:val="000000" w:themeColor="text1"/>
                <w:sz w:val="24"/>
                <w:szCs w:val="24"/>
              </w:rPr>
              <w:t xml:space="preserve"> </w:t>
            </w:r>
            <w:r w:rsidRPr="000C1A80">
              <w:rPr>
                <w:rFonts w:ascii="Book Antiqua" w:hAnsi="Book Antiqua" w:cs="Arial"/>
                <w:color w:val="000000" w:themeColor="text1"/>
                <w:sz w:val="24"/>
                <w:szCs w:val="24"/>
              </w:rPr>
              <w:t>konsolid</w:t>
            </w:r>
            <w:r w:rsidR="00162730" w:rsidRPr="000C1A80">
              <w:rPr>
                <w:rFonts w:ascii="Book Antiqua" w:hAnsi="Book Antiqua" w:cs="Arial"/>
                <w:color w:val="000000" w:themeColor="text1"/>
                <w:sz w:val="24"/>
                <w:szCs w:val="24"/>
              </w:rPr>
              <w:t>ovanej</w:t>
            </w:r>
            <w:r w:rsidRPr="000C1A80">
              <w:rPr>
                <w:rFonts w:ascii="Book Antiqua" w:hAnsi="Book Antiqua" w:cs="Arial"/>
                <w:color w:val="000000" w:themeColor="text1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2A4580" w:rsidRDefault="00F82B89" w:rsidP="004239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1.9.1950</w:t>
            </w:r>
          </w:p>
        </w:tc>
      </w:tr>
    </w:tbl>
    <w:p w:rsidR="003870BD" w:rsidRPr="00402A07" w:rsidRDefault="003870BD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065AD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4, </w:t>
      </w:r>
      <w:r w:rsidR="001F3097"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="001F3097"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2A4580" w:rsidRDefault="00524E49" w:rsidP="004239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1</w:t>
            </w:r>
            <w:r w:rsidR="002A4580"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9</w:t>
            </w:r>
          </w:p>
          <w:p w:rsidR="00CC219B" w:rsidRPr="002A4580" w:rsidRDefault="00CC219B" w:rsidP="00423928">
            <w:pPr>
              <w:spacing w:line="360" w:lineRule="auto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ZŠ</w:t>
            </w:r>
            <w:r w:rsidR="00F82B89"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 xml:space="preserve"> </w:t>
            </w: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s</w:t>
            </w:r>
            <w:r w:rsidR="00F82B89"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 xml:space="preserve"> </w:t>
            </w:r>
            <w:r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MŠ zamestnáva ešte vedúci kuchyne, 2 kuchárky a 2 upratovačky</w:t>
            </w:r>
          </w:p>
        </w:tc>
      </w:tr>
      <w:tr w:rsidR="003347AA" w:rsidRPr="00402A07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2A4580" w:rsidRDefault="00524E49" w:rsidP="00423928">
            <w:pPr>
              <w:spacing w:line="360" w:lineRule="auto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2A4580">
              <w:rPr>
                <w:rFonts w:ascii="Book Antiqua" w:hAnsi="Book Antiqua" w:cs="Arial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9E7B49" w:rsidRPr="002A4580">
              <w:rPr>
                <w:rFonts w:ascii="Book Antiqua" w:hAnsi="Book Antiqua" w:cs="Arial"/>
                <w:b/>
                <w:i/>
                <w:sz w:val="24"/>
                <w:szCs w:val="24"/>
              </w:rPr>
              <w:t>5</w:t>
            </w:r>
          </w:p>
        </w:tc>
      </w:tr>
    </w:tbl>
    <w:p w:rsidR="00147361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8106E1" w:rsidRPr="000C1A80" w:rsidRDefault="000C1A80" w:rsidP="008106E1">
      <w:pPr>
        <w:spacing w:line="360" w:lineRule="auto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5, </w:t>
      </w:r>
      <w:r w:rsidR="008106E1" w:rsidRPr="000C1A80">
        <w:rPr>
          <w:rFonts w:ascii="Book Antiqua" w:hAnsi="Book Antiqua"/>
          <w:b/>
          <w:i/>
          <w:sz w:val="24"/>
          <w:szCs w:val="24"/>
        </w:rPr>
        <w:t xml:space="preserve"> Informácie o výsledku hospodárenia z dôvodu predaja majetku medzi účtovnými jednotkami konsolidovaného celku</w:t>
      </w:r>
      <w:r w:rsidR="008106E1" w:rsidRPr="000C1A80">
        <w:rPr>
          <w:rFonts w:ascii="Book Antiqua" w:hAnsi="Book Antiqua"/>
          <w:i/>
          <w:sz w:val="24"/>
          <w:szCs w:val="24"/>
        </w:rPr>
        <w:t xml:space="preserve"> :</w:t>
      </w:r>
    </w:p>
    <w:p w:rsidR="00065ADE" w:rsidRPr="000C1A80" w:rsidRDefault="008106E1" w:rsidP="00F265B5">
      <w:pPr>
        <w:spacing w:line="360" w:lineRule="auto"/>
        <w:jc w:val="both"/>
        <w:rPr>
          <w:sz w:val="24"/>
          <w:szCs w:val="24"/>
        </w:rPr>
      </w:pPr>
      <w:r w:rsidRPr="000C1A80">
        <w:rPr>
          <w:sz w:val="24"/>
          <w:szCs w:val="24"/>
        </w:rPr>
        <w:t xml:space="preserve">V priebehu účtovného obdobia roku </w:t>
      </w:r>
      <w:r w:rsidRPr="002A4580">
        <w:rPr>
          <w:b/>
          <w:sz w:val="24"/>
          <w:szCs w:val="24"/>
        </w:rPr>
        <w:t>201</w:t>
      </w:r>
      <w:r w:rsidR="004D1E75">
        <w:rPr>
          <w:b/>
          <w:sz w:val="24"/>
          <w:szCs w:val="24"/>
        </w:rPr>
        <w:t>9</w:t>
      </w:r>
      <w:r w:rsidRPr="000C1A80">
        <w:rPr>
          <w:sz w:val="24"/>
          <w:szCs w:val="24"/>
        </w:rPr>
        <w:t xml:space="preserve"> sa medzi účtovnými jednotkami konsolidovaného celku obce neuskutočnil nákup resp. predaj majetku.</w:t>
      </w:r>
    </w:p>
    <w:p w:rsidR="008106E1" w:rsidRDefault="008106E1" w:rsidP="008106E1">
      <w:pPr>
        <w:spacing w:line="360" w:lineRule="auto"/>
      </w:pPr>
    </w:p>
    <w:p w:rsidR="008106E1" w:rsidRPr="000C1A80" w:rsidRDefault="000C1A80" w:rsidP="008106E1">
      <w:pPr>
        <w:spacing w:line="360" w:lineRule="auto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6, </w:t>
      </w:r>
      <w:r w:rsidR="008106E1" w:rsidRPr="000C1A80">
        <w:rPr>
          <w:rFonts w:ascii="Book Antiqua" w:hAnsi="Book Antiqua"/>
          <w:b/>
          <w:i/>
          <w:sz w:val="24"/>
          <w:szCs w:val="24"/>
        </w:rPr>
        <w:t xml:space="preserve"> Informácie o účtovných zásadách a účtovných metódach a) Dlhodobý nehmotný a dlhodobý hmotný majetok</w:t>
      </w:r>
      <w:r w:rsidR="008106E1" w:rsidRPr="000C1A80">
        <w:rPr>
          <w:rFonts w:ascii="Book Antiqua" w:hAnsi="Book Antiqua"/>
          <w:i/>
          <w:sz w:val="24"/>
          <w:szCs w:val="24"/>
        </w:rPr>
        <w:t>:</w:t>
      </w:r>
    </w:p>
    <w:p w:rsidR="000C1A80" w:rsidRPr="000C1A80" w:rsidRDefault="008106E1" w:rsidP="000C1A80">
      <w:pPr>
        <w:pStyle w:val="Odsekzoznamu"/>
        <w:numPr>
          <w:ilvl w:val="0"/>
          <w:numId w:val="49"/>
        </w:numPr>
        <w:spacing w:line="360" w:lineRule="auto"/>
        <w:rPr>
          <w:sz w:val="24"/>
          <w:szCs w:val="24"/>
        </w:rPr>
      </w:pPr>
      <w:r w:rsidRPr="000C1A80">
        <w:rPr>
          <w:b/>
          <w:sz w:val="24"/>
          <w:szCs w:val="24"/>
        </w:rPr>
        <w:t>Dlhodobý majetok</w:t>
      </w:r>
      <w:r w:rsidR="000C1A80" w:rsidRPr="000C1A80">
        <w:rPr>
          <w:sz w:val="24"/>
          <w:szCs w:val="24"/>
        </w:rPr>
        <w:t>:</w:t>
      </w:r>
    </w:p>
    <w:p w:rsidR="008106E1" w:rsidRPr="000C1A80" w:rsidRDefault="000C1A80" w:rsidP="00F265B5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Dlhodobý majetok </w:t>
      </w:r>
      <w:r w:rsidR="008106E1" w:rsidRPr="000C1A80">
        <w:rPr>
          <w:sz w:val="24"/>
          <w:szCs w:val="24"/>
        </w:rPr>
        <w:t>obstaraný kúpou sa oceňuje obstarávacou cenou, ktorá zahrňuje cenu obstarania a náklady súvisiace s obstaraním (clo, prepravu, montáž, poistné a pod.). Súčasťou obstarávacej ceny dlhodobého hmotného a nehmotného majetku nie sú/sú úroky z úverov (podľa rozhodnutia účtovnej jednotky). Zľava z ceny, ktorú poskytol dodávateľ k majetku sa účtuje ako zníženie nákladov na predaný alebo spotrebovaný majetok.</w:t>
      </w:r>
    </w:p>
    <w:p w:rsidR="008106E1" w:rsidRPr="000C1A80" w:rsidRDefault="008106E1" w:rsidP="00F265B5">
      <w:pPr>
        <w:spacing w:line="360" w:lineRule="auto"/>
        <w:jc w:val="both"/>
        <w:rPr>
          <w:sz w:val="24"/>
          <w:szCs w:val="24"/>
        </w:rPr>
      </w:pPr>
      <w:r w:rsidRPr="000C1A80">
        <w:rPr>
          <w:sz w:val="24"/>
          <w:szCs w:val="24"/>
        </w:rPr>
        <w:t>Hodnota obstarávaného dlhodobého hmotného majetku, ktorý sa používa, sa trvalo zníži o oprávky, ktoré zodpovedajú výške opotrebenia majetku.</w:t>
      </w:r>
    </w:p>
    <w:p w:rsidR="008106E1" w:rsidRPr="000C1A80" w:rsidRDefault="008106E1" w:rsidP="00F265B5">
      <w:pPr>
        <w:spacing w:line="360" w:lineRule="auto"/>
        <w:jc w:val="both"/>
        <w:rPr>
          <w:sz w:val="24"/>
          <w:szCs w:val="24"/>
        </w:rPr>
      </w:pPr>
      <w:r w:rsidRPr="000C1A80">
        <w:rPr>
          <w:sz w:val="24"/>
          <w:szCs w:val="24"/>
        </w:rPr>
        <w:lastRenderedPageBreak/>
        <w:t>O opravných položkách sa účtuje v prípade prechodného zníženia hodnoty majetku ku dňu, ku ktorému sa zostavuje účtovná závierka.</w:t>
      </w:r>
    </w:p>
    <w:p w:rsidR="008106E1" w:rsidRPr="000C1A80" w:rsidRDefault="008106E1" w:rsidP="00F265B5">
      <w:pPr>
        <w:spacing w:line="360" w:lineRule="auto"/>
        <w:jc w:val="both"/>
        <w:rPr>
          <w:sz w:val="24"/>
          <w:szCs w:val="24"/>
        </w:rPr>
      </w:pPr>
      <w:r w:rsidRPr="000C1A80">
        <w:rPr>
          <w:sz w:val="24"/>
          <w:szCs w:val="24"/>
        </w:rPr>
        <w:t>Dlhodobý majetok vytvorený vlastnou činnosťou sa oceňuje vlastnými nákladmi. Za vlastné náklady sa považujú všetky priame náklady vynaložené na výrobu alebo inú činnosť a všetky nepriame náklady vzťahujúce sa na výrobu alebo inú činnosť.</w:t>
      </w:r>
    </w:p>
    <w:p w:rsidR="008106E1" w:rsidRPr="000C1A80" w:rsidRDefault="008106E1" w:rsidP="00F265B5">
      <w:pPr>
        <w:spacing w:line="360" w:lineRule="auto"/>
        <w:jc w:val="both"/>
        <w:rPr>
          <w:sz w:val="24"/>
          <w:szCs w:val="24"/>
        </w:rPr>
      </w:pPr>
      <w:r w:rsidRPr="000C1A80">
        <w:rPr>
          <w:sz w:val="24"/>
          <w:szCs w:val="24"/>
        </w:rPr>
        <w:t>Dlhodobý majetok nadobudnutý bezodplatným prevodom pri splynutí, zlúčení, rozdelení alebo pri prevode správy sa oceňuje cenou, v ktorej sa doteraz viedol v účtovníctve. Ak cenu nie je možné zistiť, oceňuje sa reprodukčnou obstarávacou cenou. Dlhodobý nehmotný a hmotný majetok obstaraný iným spôsobom (napr. bezodplatne nadobudnutý majetok, delimitovaný, novo zistený majetok pri inventarizácii) sa oceňuje reprodukčnou obstarávacou cenou, t.j. cenou, za ktorú by sa majetok obstaral v čase, keď sa o ňom účtuje.</w:t>
      </w:r>
    </w:p>
    <w:p w:rsidR="008106E1" w:rsidRPr="000C1A80" w:rsidRDefault="008106E1" w:rsidP="00F265B5">
      <w:pPr>
        <w:spacing w:line="360" w:lineRule="auto"/>
        <w:jc w:val="both"/>
        <w:rPr>
          <w:sz w:val="24"/>
          <w:szCs w:val="24"/>
        </w:rPr>
      </w:pPr>
      <w:r w:rsidRPr="000C1A80">
        <w:rPr>
          <w:sz w:val="24"/>
          <w:szCs w:val="24"/>
        </w:rPr>
        <w:t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</w:t>
      </w:r>
    </w:p>
    <w:p w:rsidR="008106E1" w:rsidRDefault="008106E1" w:rsidP="008106E1">
      <w:pPr>
        <w:spacing w:line="360" w:lineRule="auto"/>
        <w:rPr>
          <w:b/>
        </w:rPr>
      </w:pPr>
    </w:p>
    <w:p w:rsidR="00191CD7" w:rsidRPr="00191CD7" w:rsidRDefault="00191CD7" w:rsidP="00191CD7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b)</w:t>
      </w:r>
      <w:r w:rsidR="008106E1" w:rsidRPr="00191CD7">
        <w:rPr>
          <w:b/>
          <w:sz w:val="24"/>
          <w:szCs w:val="24"/>
        </w:rPr>
        <w:t>Dlhodobý finančný majetok</w:t>
      </w:r>
      <w:r w:rsidRPr="00191CD7">
        <w:rPr>
          <w:b/>
          <w:sz w:val="24"/>
          <w:szCs w:val="24"/>
        </w:rPr>
        <w:t>:</w:t>
      </w:r>
    </w:p>
    <w:p w:rsidR="008106E1" w:rsidRDefault="00191CD7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 xml:space="preserve"> </w:t>
      </w:r>
      <w:r w:rsidR="008106E1" w:rsidRPr="00191CD7">
        <w:rPr>
          <w:sz w:val="24"/>
          <w:szCs w:val="24"/>
        </w:rPr>
        <w:t>Finančné investície, cenné papiere a majetkové účasti sa oceňujú obstarávacou cenou, vrátane nákladov súvisiacich s obstaraním (provízie maklérom, poplatky burze).</w:t>
      </w:r>
    </w:p>
    <w:p w:rsidR="00191CD7" w:rsidRPr="00191CD7" w:rsidRDefault="00191CD7" w:rsidP="00F265B5">
      <w:pPr>
        <w:spacing w:line="360" w:lineRule="auto"/>
        <w:jc w:val="both"/>
        <w:rPr>
          <w:sz w:val="24"/>
          <w:szCs w:val="24"/>
        </w:rPr>
      </w:pPr>
    </w:p>
    <w:p w:rsidR="008106E1" w:rsidRPr="00191CD7" w:rsidRDefault="008106E1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c) Zásoby:</w:t>
      </w:r>
    </w:p>
    <w:p w:rsidR="008106E1" w:rsidRPr="00191CD7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8106E1" w:rsidRPr="00191CD7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 xml:space="preserve">Zásoby vytvorené vlastnou činnosťou sa oceňujú vlastnými nákladmi. </w:t>
      </w:r>
    </w:p>
    <w:p w:rsidR="008106E1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Toto ocenenie sa upravuje o zníženie hodnoty zásob.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106E1" w:rsidRPr="00191CD7" w:rsidRDefault="008106E1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d) Pohľadávky:</w:t>
      </w:r>
    </w:p>
    <w:p w:rsidR="008106E1" w:rsidRPr="00191CD7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Pohľadávky pri ich vzniku sa oceňujú menovitou hodnotou. Pohľadávky pri odplatnom nadobudnutí alebo pohľadávky nadobudnuté vkladom do základného imania sa oceňujú obstarávacou cenou, t.j. vrátane nákladov súvisiacich s obstaraním.</w:t>
      </w:r>
    </w:p>
    <w:p w:rsidR="008106E1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Opravná položka sa vytvára napr. k pohľadávkam po splatnosti a nedobytným pohľadávkam, kde existuje riziko nevymožiteľnosti pohľadávok.</w:t>
      </w:r>
    </w:p>
    <w:p w:rsidR="004D1E75" w:rsidRDefault="004D1E75" w:rsidP="00F265B5">
      <w:pPr>
        <w:spacing w:line="360" w:lineRule="auto"/>
        <w:jc w:val="both"/>
        <w:rPr>
          <w:sz w:val="24"/>
          <w:szCs w:val="24"/>
        </w:rPr>
      </w:pPr>
    </w:p>
    <w:p w:rsidR="004D1E75" w:rsidRPr="00191CD7" w:rsidRDefault="004D1E75" w:rsidP="00F265B5">
      <w:pPr>
        <w:spacing w:line="360" w:lineRule="auto"/>
        <w:jc w:val="both"/>
        <w:rPr>
          <w:sz w:val="24"/>
          <w:szCs w:val="24"/>
        </w:rPr>
      </w:pPr>
    </w:p>
    <w:p w:rsidR="008106E1" w:rsidRPr="00191CD7" w:rsidRDefault="008106E1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lastRenderedPageBreak/>
        <w:t>e) Finančné účty:</w:t>
      </w:r>
    </w:p>
    <w:p w:rsidR="008106E1" w:rsidRDefault="008106E1" w:rsidP="008106E1">
      <w:pPr>
        <w:spacing w:line="360" w:lineRule="auto"/>
        <w:rPr>
          <w:sz w:val="24"/>
          <w:szCs w:val="24"/>
        </w:rPr>
      </w:pPr>
      <w:r w:rsidRPr="00191CD7">
        <w:rPr>
          <w:sz w:val="24"/>
          <w:szCs w:val="24"/>
        </w:rPr>
        <w:t>Peňažné prostriedky a ceniny sa oceňujú menovitou hodnotou.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106E1" w:rsidRPr="00191CD7" w:rsidRDefault="008106E1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f) Náklady budúcich období a príjmy budúcich období:</w:t>
      </w:r>
    </w:p>
    <w:p w:rsidR="008106E1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Náklady budúcich období a príjmy budúcich období sú vykázané vo výške, ktorá je potrebná na dodržanie zásady vecnej a časovej súvislosti s účtovným obdobím.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106E1" w:rsidRPr="00191CD7" w:rsidRDefault="008106E1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g) Rezervy:</w:t>
      </w:r>
    </w:p>
    <w:p w:rsidR="008106E1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 xml:space="preserve"> Rezervy sú záväzky s neurčitým časovým vymedzením alebo výškou a oceňujú sa v očakávanej výške záväzku. V účtovnej závierke sa tvorili rezervy najmä na nevyfakturované dodávky a služby, mzdy za dovolenku zamestnancov vrátane sociálneho a zdravotného poistenia, súdne spory a</w:t>
      </w:r>
      <w:r w:rsidR="00191CD7">
        <w:rPr>
          <w:sz w:val="24"/>
          <w:szCs w:val="24"/>
        </w:rPr>
        <w:t> </w:t>
      </w:r>
      <w:r w:rsidRPr="00191CD7">
        <w:rPr>
          <w:sz w:val="24"/>
          <w:szCs w:val="24"/>
        </w:rPr>
        <w:t>podobne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106E1" w:rsidRPr="00191CD7" w:rsidRDefault="008106E1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h) Záväzky:</w:t>
      </w:r>
    </w:p>
    <w:p w:rsidR="008106E1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 xml:space="preserve"> 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106E1" w:rsidRPr="00191CD7" w:rsidRDefault="00826D3F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i)</w:t>
      </w:r>
      <w:r w:rsidR="008106E1" w:rsidRPr="00191CD7">
        <w:rPr>
          <w:b/>
          <w:sz w:val="24"/>
          <w:szCs w:val="24"/>
        </w:rPr>
        <w:t>Výdavky budúcich období a výnosy budúcich období:</w:t>
      </w:r>
    </w:p>
    <w:p w:rsidR="008106E1" w:rsidRDefault="008106E1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 xml:space="preserve"> Výdavky budúcich období a výnosy budúcich období sú vykázané vo výške, ktorá je potrebná na dodržanie zásady vecnej a časovej súvislosti s účtovným obdobím.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26D3F" w:rsidRPr="00191CD7" w:rsidRDefault="00826D3F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j) Cudzia mena :</w:t>
      </w:r>
    </w:p>
    <w:p w:rsidR="00826D3F" w:rsidRDefault="00826D3F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 ku ktorému sa zostavuje účtovná závierka.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26D3F" w:rsidRPr="00191CD7" w:rsidRDefault="00826D3F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k) Zásady pre vykazovanie transferov:</w:t>
      </w:r>
    </w:p>
    <w:p w:rsidR="00826D3F" w:rsidRDefault="00826D3F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 xml:space="preserve"> O nároku na dotácie zo štátneho rozpočtu sa účtuje, ak je takmer isté, že sa splnia všetky podmienky súvisiace s dotáciou a súčasne, že sa dotácia poskytne. Bežný transfer od cudzích subjektov - sa zúčtuje do výnosov vo vecnej a časovej súvislosti s nákladmi. Bežný transfer od zriaďovateľa - sa zúčtuje do výnosov vo vecnej a časovej súvislosti s výdavkami. Kapitálový transfer od cudzích subjektov - sa zúčtuje do výnosov vo vecnej a časovej súvislosti s nákladmi (napr. s odpismi, s opravnou položkou, so zostatkovou hodnotou vyradeného dlhodobého majetku). Kapitálový transfer </w:t>
      </w:r>
      <w:r w:rsidRPr="00191CD7">
        <w:rPr>
          <w:sz w:val="24"/>
          <w:szCs w:val="24"/>
        </w:rPr>
        <w:lastRenderedPageBreak/>
        <w:t>od zriaďovateľa - sa zúčtuje do výnosov vo vecnej a časovej súvislosti s nákladmi (napr. s odpismi, s opravnou položkou, so zostatkovou hodnotou vyradeného dlhodobého majetku).</w:t>
      </w:r>
    </w:p>
    <w:p w:rsidR="00191CD7" w:rsidRPr="00191CD7" w:rsidRDefault="00191CD7" w:rsidP="008106E1">
      <w:pPr>
        <w:spacing w:line="360" w:lineRule="auto"/>
        <w:rPr>
          <w:sz w:val="24"/>
          <w:szCs w:val="24"/>
        </w:rPr>
      </w:pPr>
    </w:p>
    <w:p w:rsidR="00826D3F" w:rsidRPr="00191CD7" w:rsidRDefault="00826D3F" w:rsidP="008106E1">
      <w:pPr>
        <w:spacing w:line="360" w:lineRule="auto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l) Výnosy:</w:t>
      </w:r>
    </w:p>
    <w:p w:rsidR="00826D3F" w:rsidRPr="00191CD7" w:rsidRDefault="00826D3F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</w:t>
      </w:r>
    </w:p>
    <w:p w:rsidR="00826D3F" w:rsidRPr="00191CD7" w:rsidRDefault="00826D3F" w:rsidP="00F265B5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191CD7">
        <w:rPr>
          <w:sz w:val="24"/>
          <w:szCs w:val="24"/>
        </w:rPr>
        <w:t>O výnosoch z poplatkov sa účtuje v časovej a vecnej súvislosti s vyrubením poplatkov (ak je účtovná jednotka výbercom poplatkov).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E9707C" w:rsidRPr="00191CD7" w:rsidRDefault="00826D3F" w:rsidP="00826D3F">
      <w:pPr>
        <w:spacing w:line="360" w:lineRule="auto"/>
        <w:jc w:val="center"/>
        <w:rPr>
          <w:b/>
          <w:sz w:val="24"/>
          <w:szCs w:val="24"/>
        </w:rPr>
      </w:pPr>
      <w:r w:rsidRPr="00191CD7">
        <w:rPr>
          <w:b/>
          <w:sz w:val="24"/>
          <w:szCs w:val="24"/>
        </w:rPr>
        <w:t>Čl. II Informácie o metódach a postupoch konsolidácie</w:t>
      </w:r>
    </w:p>
    <w:p w:rsidR="00826D3F" w:rsidRPr="00191CD7" w:rsidRDefault="00826D3F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>Účtovné jednotky konsolidovaného celku obce Blatné Remety boli zahrnuté do konsolidovanej účtovnej závierky metódou konsolidácie uv</w:t>
      </w:r>
      <w:r w:rsidR="00191CD7">
        <w:rPr>
          <w:sz w:val="24"/>
          <w:szCs w:val="24"/>
        </w:rPr>
        <w:t>edenou v nasledujúcom prehľade:</w:t>
      </w:r>
    </w:p>
    <w:p w:rsidR="00191CD7" w:rsidRDefault="00191CD7" w:rsidP="00826D3F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826D3F" w:rsidRPr="00402A07" w:rsidRDefault="00826D3F" w:rsidP="00826D3F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826D3F" w:rsidRDefault="00826D3F" w:rsidP="00826D3F">
      <w:pPr>
        <w:spacing w:line="360" w:lineRule="auto"/>
      </w:pPr>
    </w:p>
    <w:p w:rsidR="00826D3F" w:rsidRPr="00191CD7" w:rsidRDefault="00826D3F" w:rsidP="00F265B5">
      <w:pPr>
        <w:spacing w:line="360" w:lineRule="auto"/>
        <w:jc w:val="both"/>
        <w:rPr>
          <w:sz w:val="24"/>
          <w:szCs w:val="24"/>
        </w:rPr>
      </w:pPr>
      <w:r w:rsidRPr="00191CD7">
        <w:rPr>
          <w:sz w:val="24"/>
          <w:szCs w:val="24"/>
        </w:rPr>
        <w:t xml:space="preserve">Názov resp. obchodné meno konsolidovanej účtovnej jednotky </w:t>
      </w:r>
      <w:r w:rsidR="00170B8C" w:rsidRPr="00191CD7">
        <w:rPr>
          <w:sz w:val="24"/>
          <w:szCs w:val="24"/>
        </w:rPr>
        <w:t>:Základná škola Blatné R</w:t>
      </w:r>
      <w:r w:rsidRPr="00191CD7">
        <w:rPr>
          <w:sz w:val="24"/>
          <w:szCs w:val="24"/>
        </w:rPr>
        <w:t>emety</w:t>
      </w:r>
    </w:p>
    <w:p w:rsidR="00170B8C" w:rsidRPr="00402A07" w:rsidRDefault="00170B8C" w:rsidP="00F265B5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170B8C" w:rsidRPr="00402A07" w:rsidRDefault="00170B8C" w:rsidP="00F265B5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826D3F" w:rsidRDefault="00170B8C" w:rsidP="00F265B5">
      <w:pPr>
        <w:spacing w:line="360" w:lineRule="auto"/>
        <w:jc w:val="both"/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</w:t>
      </w:r>
      <w:r>
        <w:rPr>
          <w:rFonts w:ascii="Book Antiqua" w:hAnsi="Book Antiqua" w:cs="Arial"/>
          <w:sz w:val="24"/>
          <w:szCs w:val="24"/>
        </w:rPr>
        <w:t>ch</w:t>
      </w:r>
    </w:p>
    <w:p w:rsidR="00170B8C" w:rsidRDefault="00170B8C" w:rsidP="00826D3F">
      <w:pPr>
        <w:spacing w:line="360" w:lineRule="auto"/>
        <w:rPr>
          <w:b/>
        </w:rPr>
      </w:pPr>
    </w:p>
    <w:p w:rsidR="00447F0F" w:rsidRPr="00170B8C" w:rsidRDefault="00402A07" w:rsidP="00170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440C1A">
        <w:rPr>
          <w:rFonts w:ascii="Book Antiqua" w:hAnsi="Book Antiqua" w:cs="Arial"/>
          <w:b/>
          <w:i/>
          <w:sz w:val="24"/>
          <w:szCs w:val="24"/>
        </w:rPr>
        <w:t xml:space="preserve">OBEC </w:t>
      </w:r>
      <w:r w:rsidR="00826D3F">
        <w:rPr>
          <w:rFonts w:ascii="Book Antiqua" w:hAnsi="Book Antiqua" w:cs="Arial"/>
          <w:b/>
          <w:i/>
          <w:sz w:val="24"/>
          <w:szCs w:val="24"/>
        </w:rPr>
        <w:t>Blatné Remety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440C1A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 w:rsidR="00440C1A">
        <w:rPr>
          <w:rFonts w:ascii="Book Antiqua" w:hAnsi="Book Antiqua" w:cs="Arial"/>
          <w:b/>
          <w:sz w:val="24"/>
          <w:szCs w:val="24"/>
        </w:rPr>
        <w:t>ú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organizáci</w:t>
      </w:r>
      <w:r w:rsidR="00440C1A">
        <w:rPr>
          <w:rFonts w:ascii="Book Antiqua" w:hAnsi="Book Antiqua" w:cs="Arial"/>
          <w:b/>
          <w:sz w:val="24"/>
          <w:szCs w:val="24"/>
        </w:rPr>
        <w:t>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 w:rsidR="00440C1A"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</w:t>
      </w:r>
      <w:r w:rsidR="00440C1A">
        <w:rPr>
          <w:rFonts w:ascii="Book Antiqua" w:hAnsi="Book Antiqua" w:cs="Arial"/>
          <w:b/>
          <w:sz w:val="24"/>
          <w:szCs w:val="24"/>
        </w:rPr>
        <w:t>ých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spoločnos</w:t>
      </w:r>
      <w:r w:rsidR="00440C1A">
        <w:rPr>
          <w:rFonts w:ascii="Book Antiqua" w:hAnsi="Book Antiqua" w:cs="Arial"/>
          <w:b/>
          <w:sz w:val="24"/>
          <w:szCs w:val="24"/>
        </w:rPr>
        <w:t>tí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440C1A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191CD7" w:rsidRDefault="00191CD7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191CD7" w:rsidRDefault="00191CD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191CD7" w:rsidRDefault="00191CD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F265B5" w:rsidRDefault="00F265B5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F265B5" w:rsidRDefault="00F265B5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A4580" w:rsidRDefault="002A4580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A4580" w:rsidRDefault="002A4580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630957" w:rsidRDefault="00630957" w:rsidP="00170B8C">
      <w:pPr>
        <w:spacing w:line="360" w:lineRule="auto"/>
        <w:jc w:val="both"/>
      </w:pPr>
    </w:p>
    <w:p w:rsidR="00170B8C" w:rsidRPr="00191CD7" w:rsidRDefault="00170B8C" w:rsidP="00170B8C">
      <w:pPr>
        <w:spacing w:line="360" w:lineRule="auto"/>
        <w:jc w:val="both"/>
        <w:rPr>
          <w:b/>
          <w:sz w:val="24"/>
          <w:szCs w:val="24"/>
        </w:rPr>
      </w:pPr>
      <w:r w:rsidRPr="00191CD7">
        <w:rPr>
          <w:sz w:val="24"/>
          <w:szCs w:val="24"/>
        </w:rPr>
        <w:t xml:space="preserve"> </w:t>
      </w:r>
      <w:proofErr w:type="spellStart"/>
      <w:r w:rsidRPr="00191CD7">
        <w:rPr>
          <w:b/>
          <w:sz w:val="24"/>
          <w:szCs w:val="24"/>
        </w:rPr>
        <w:t>Goodwill</w:t>
      </w:r>
      <w:proofErr w:type="spellEnd"/>
      <w:r w:rsidRPr="00191CD7">
        <w:rPr>
          <w:b/>
          <w:sz w:val="24"/>
          <w:szCs w:val="24"/>
        </w:rPr>
        <w:t xml:space="preserve">/záporný </w:t>
      </w:r>
      <w:proofErr w:type="spellStart"/>
      <w:r w:rsidRPr="00191CD7">
        <w:rPr>
          <w:b/>
          <w:sz w:val="24"/>
          <w:szCs w:val="24"/>
        </w:rPr>
        <w:t>goodwil</w:t>
      </w:r>
      <w:proofErr w:type="spellEnd"/>
      <w:r w:rsidRPr="00191CD7">
        <w:rPr>
          <w:b/>
          <w:sz w:val="24"/>
          <w:szCs w:val="24"/>
        </w:rPr>
        <w:t xml:space="preserve"> :</w:t>
      </w:r>
    </w:p>
    <w:p w:rsidR="00170B8C" w:rsidRPr="00191CD7" w:rsidRDefault="00170B8C" w:rsidP="00170B8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191CD7">
        <w:rPr>
          <w:sz w:val="24"/>
          <w:szCs w:val="24"/>
        </w:rPr>
        <w:t>Goodwille</w:t>
      </w:r>
      <w:proofErr w:type="spellEnd"/>
      <w:r w:rsidRPr="00191CD7">
        <w:rPr>
          <w:sz w:val="24"/>
          <w:szCs w:val="24"/>
        </w:rPr>
        <w:t xml:space="preserve"> v konsolidovanej účtovnej jednotke nevznikol.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BD52AB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BD52AB">
        <w:rPr>
          <w:b/>
          <w:sz w:val="24"/>
          <w:szCs w:val="24"/>
        </w:rPr>
        <w:t>Informácie o</w:t>
      </w:r>
      <w:r w:rsidR="00CE5157" w:rsidRPr="00BD52AB">
        <w:rPr>
          <w:b/>
          <w:sz w:val="24"/>
          <w:szCs w:val="24"/>
        </w:rPr>
        <w:t xml:space="preserve"> údajoch </w:t>
      </w:r>
      <w:r w:rsidR="00AA4068" w:rsidRPr="00BD52AB">
        <w:rPr>
          <w:b/>
          <w:sz w:val="24"/>
          <w:szCs w:val="24"/>
        </w:rPr>
        <w:t>aktív a pasív</w:t>
      </w:r>
    </w:p>
    <w:p w:rsidR="00A4312C" w:rsidRPr="00402A07" w:rsidRDefault="00A4312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A4312C" w:rsidRPr="00402A07" w:rsidRDefault="006E3F9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</w:t>
      </w:r>
      <w:r w:rsidR="00AA4068" w:rsidRPr="00402A07">
        <w:rPr>
          <w:rFonts w:ascii="Book Antiqua" w:hAnsi="Book Antiqua" w:cs="Arial"/>
          <w:sz w:val="24"/>
          <w:szCs w:val="24"/>
        </w:rPr>
        <w:t>p</w:t>
      </w:r>
      <w:r w:rsidR="00A4312C" w:rsidRPr="00402A07">
        <w:rPr>
          <w:rFonts w:ascii="Book Antiqua" w:hAnsi="Book Antiqua" w:cs="Arial"/>
          <w:sz w:val="24"/>
          <w:szCs w:val="24"/>
        </w:rPr>
        <w:t>rehľad</w:t>
      </w:r>
      <w:r w:rsidR="00AA4068" w:rsidRPr="00402A07">
        <w:rPr>
          <w:rFonts w:ascii="Book Antiqua" w:hAnsi="Book Antiqua" w:cs="Arial"/>
          <w:sz w:val="24"/>
          <w:szCs w:val="24"/>
        </w:rPr>
        <w:t>e</w:t>
      </w:r>
      <w:r w:rsidR="00A4312C" w:rsidRPr="00402A07">
        <w:rPr>
          <w:rFonts w:ascii="Book Antiqua" w:hAnsi="Book Antiqua" w:cs="Arial"/>
          <w:sz w:val="24"/>
          <w:szCs w:val="24"/>
        </w:rPr>
        <w:t xml:space="preserve"> pohybov dlhodobého nehmotného a dlhodobého hmotného majetku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</w:t>
      </w:r>
      <w:r w:rsidR="00347A64" w:rsidRPr="00402A07">
        <w:rPr>
          <w:rFonts w:ascii="Book Antiqua" w:hAnsi="Book Antiqua" w:cs="Arial"/>
          <w:sz w:val="24"/>
          <w:szCs w:val="24"/>
        </w:rPr>
        <w:t>júce účtovné obdobie sa chápe</w:t>
      </w:r>
      <w:r w:rsidR="00150367">
        <w:rPr>
          <w:rFonts w:ascii="Book Antiqua" w:hAnsi="Book Antiqua" w:cs="Arial"/>
          <w:sz w:val="24"/>
          <w:szCs w:val="24"/>
        </w:rPr>
        <w:t xml:space="preserve"> k 31.12.20</w:t>
      </w:r>
      <w:r w:rsidR="002E0E14">
        <w:rPr>
          <w:rFonts w:ascii="Book Antiqua" w:hAnsi="Book Antiqua" w:cs="Arial"/>
          <w:sz w:val="24"/>
          <w:szCs w:val="24"/>
        </w:rPr>
        <w:t>1</w:t>
      </w:r>
      <w:r w:rsidR="00814888">
        <w:rPr>
          <w:rFonts w:ascii="Book Antiqua" w:hAnsi="Book Antiqua" w:cs="Arial"/>
          <w:sz w:val="24"/>
          <w:szCs w:val="24"/>
        </w:rPr>
        <w:t>9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Bežné účtovné </w:t>
      </w:r>
      <w:r w:rsidR="00814888">
        <w:rPr>
          <w:rFonts w:ascii="Book Antiqua" w:hAnsi="Book Antiqua" w:cs="Arial"/>
          <w:sz w:val="24"/>
          <w:szCs w:val="24"/>
        </w:rPr>
        <w:t>obdobie sa vykazuje k 31.12.2020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Presun </w:t>
      </w:r>
      <w:r w:rsidR="00AA4068" w:rsidRPr="00402A07">
        <w:rPr>
          <w:rFonts w:ascii="Book Antiqua" w:hAnsi="Book Antiqua" w:cs="Arial"/>
          <w:sz w:val="24"/>
          <w:szCs w:val="24"/>
        </w:rPr>
        <w:t xml:space="preserve">je </w:t>
      </w:r>
      <w:r w:rsidRPr="00402A07">
        <w:rPr>
          <w:rFonts w:ascii="Book Antiqua" w:hAnsi="Book Antiqua" w:cs="Arial"/>
          <w:sz w:val="24"/>
          <w:szCs w:val="24"/>
        </w:rPr>
        <w:t>vykázanie zmeny hodnoty niektorej položky bez zmeny celkovej hodnoty aktív</w:t>
      </w:r>
    </w:p>
    <w:p w:rsidR="00402A07" w:rsidRPr="00402A07" w:rsidRDefault="00402A07" w:rsidP="00C2645B">
      <w:pPr>
        <w:spacing w:line="360" w:lineRule="auto"/>
        <w:jc w:val="both"/>
        <w:rPr>
          <w:rFonts w:ascii="Book Antiqua" w:hAnsi="Book Antiqua" w:cs="Arial"/>
          <w:i/>
          <w:sz w:val="24"/>
          <w:szCs w:val="24"/>
          <w:highlight w:val="red"/>
        </w:rPr>
      </w:pPr>
    </w:p>
    <w:p w:rsidR="00170B8C" w:rsidRDefault="00E56B6E" w:rsidP="009257D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0C4270" w:rsidRPr="00402A07">
        <w:rPr>
          <w:rFonts w:ascii="Book Antiqua" w:hAnsi="Book Antiqua" w:cs="Arial"/>
          <w:sz w:val="24"/>
          <w:szCs w:val="24"/>
        </w:rPr>
        <w:t>rehľad o pohybe dlhodobého majetku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170B8C" w:rsidRPr="00191CD7" w:rsidRDefault="00170B8C" w:rsidP="009257D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191CD7">
        <w:rPr>
          <w:sz w:val="24"/>
          <w:szCs w:val="24"/>
        </w:rPr>
        <w:t>a) Prehľad o pohybe dlhodobého nehmotného a dlhodobého hm</w:t>
      </w:r>
      <w:r w:rsidR="00814888">
        <w:rPr>
          <w:sz w:val="24"/>
          <w:szCs w:val="24"/>
        </w:rPr>
        <w:t>otného majetku od 1. januára 2020 do 31. decembra 2020</w:t>
      </w:r>
      <w:r w:rsidRPr="00191CD7">
        <w:rPr>
          <w:sz w:val="24"/>
          <w:szCs w:val="24"/>
        </w:rPr>
        <w:t xml:space="preserve"> je uvedený v tabuľkovej časti konsolidovaných poznámok (tabuľka č. 2).</w:t>
      </w:r>
    </w:p>
    <w:p w:rsidR="00B01E4E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2A4580" w:rsidRDefault="002A4580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2A4580" w:rsidRDefault="002A4580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2A4580" w:rsidRDefault="002A4580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2A4580" w:rsidRPr="00191CD7" w:rsidRDefault="002A4580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B01E4E" w:rsidRPr="003E2540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  <w:sz w:val="24"/>
          <w:szCs w:val="24"/>
        </w:rPr>
      </w:pPr>
      <w:r w:rsidRPr="003E2540">
        <w:rPr>
          <w:rFonts w:ascii="Book Antiqua" w:hAnsi="Book Antiqua" w:cs="Arial"/>
          <w:sz w:val="24"/>
          <w:szCs w:val="24"/>
        </w:rPr>
        <w:t>Spôsob a výška poistenia majetku</w:t>
      </w:r>
    </w:p>
    <w:p w:rsidR="00B01E4E" w:rsidRPr="00170B8C" w:rsidRDefault="00B01E4E" w:rsidP="00B01E4E">
      <w:pPr>
        <w:rPr>
          <w:rFonts w:ascii="Book Antiqua" w:hAnsi="Book Antiqua" w:cs="Arial"/>
          <w:color w:val="FF0000"/>
          <w:sz w:val="24"/>
          <w:szCs w:val="24"/>
        </w:rPr>
      </w:pPr>
      <w:r w:rsidRPr="003E2540">
        <w:rPr>
          <w:rFonts w:ascii="Book Antiqua" w:hAnsi="Book Antiqua" w:cs="Arial"/>
          <w:sz w:val="24"/>
          <w:szCs w:val="24"/>
        </w:rPr>
        <w:t xml:space="preserve">Majetok je poistený </w:t>
      </w:r>
      <w:r w:rsidR="00F82B89">
        <w:rPr>
          <w:rFonts w:ascii="Book Antiqua" w:hAnsi="Book Antiqua" w:cs="Arial"/>
          <w:color w:val="FF0000"/>
          <w:sz w:val="24"/>
          <w:szCs w:val="24"/>
        </w:rPr>
        <w:t xml:space="preserve"> </w:t>
      </w:r>
      <w:r w:rsidR="00F82B89" w:rsidRPr="00F82B89">
        <w:rPr>
          <w:rFonts w:ascii="Book Antiqua" w:hAnsi="Book Antiqua" w:cs="Arial"/>
          <w:sz w:val="24"/>
          <w:szCs w:val="24"/>
        </w:rPr>
        <w:t>v poisťovni UNIQA.</w:t>
      </w:r>
    </w:p>
    <w:p w:rsidR="003E2540" w:rsidRDefault="003E2540" w:rsidP="00B01E4E">
      <w:pPr>
        <w:rPr>
          <w:rFonts w:ascii="Book Antiqua" w:hAnsi="Book Antiqua" w:cs="Arial"/>
          <w:sz w:val="24"/>
          <w:szCs w:val="24"/>
        </w:rPr>
      </w:pPr>
    </w:p>
    <w:p w:rsidR="003E2540" w:rsidRPr="003E2540" w:rsidRDefault="003E2540" w:rsidP="00B01E4E">
      <w:pPr>
        <w:rPr>
          <w:rFonts w:ascii="Book Antiqua" w:hAnsi="Book Antiqua" w:cs="Arial"/>
          <w:sz w:val="24"/>
          <w:szCs w:val="24"/>
        </w:rPr>
      </w:pPr>
    </w:p>
    <w:p w:rsidR="00B01E4E" w:rsidRPr="003E2540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  <w:sz w:val="24"/>
          <w:szCs w:val="24"/>
        </w:rPr>
      </w:pPr>
      <w:r w:rsidRPr="003E2540"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B01E4E" w:rsidRPr="003E2540" w:rsidRDefault="00F01EA5" w:rsidP="00B01E4E">
      <w:pPr>
        <w:rPr>
          <w:rFonts w:ascii="Book Antiqua" w:hAnsi="Book Antiqua" w:cs="Arial"/>
          <w:sz w:val="24"/>
          <w:szCs w:val="24"/>
        </w:rPr>
      </w:pPr>
      <w:r w:rsidRPr="003E2540">
        <w:rPr>
          <w:rFonts w:ascii="Book Antiqua" w:hAnsi="Book Antiqua" w:cs="Arial"/>
          <w:sz w:val="24"/>
          <w:szCs w:val="24"/>
        </w:rPr>
        <w:t xml:space="preserve">OBEC </w:t>
      </w:r>
      <w:r w:rsidR="00630957">
        <w:rPr>
          <w:rFonts w:ascii="Book Antiqua" w:hAnsi="Book Antiqua" w:cs="Arial"/>
          <w:sz w:val="24"/>
          <w:szCs w:val="24"/>
        </w:rPr>
        <w:t>Blatné Remety</w:t>
      </w:r>
      <w:r w:rsidR="00B01E4E" w:rsidRPr="003E2540">
        <w:rPr>
          <w:rFonts w:ascii="Book Antiqua" w:hAnsi="Book Antiqua" w:cs="Arial"/>
          <w:sz w:val="24"/>
          <w:szCs w:val="24"/>
        </w:rPr>
        <w:t xml:space="preserve"> nemá zriadené záložné právo na dlhodobý majetok.</w:t>
      </w:r>
    </w:p>
    <w:p w:rsidR="00B01E4E" w:rsidRPr="003E2540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B01E4E" w:rsidRPr="003E2540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B01E4E" w:rsidRPr="003E2540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Book Antiqua" w:hAnsi="Book Antiqua" w:cs="Arial"/>
          <w:sz w:val="24"/>
          <w:szCs w:val="24"/>
        </w:rPr>
      </w:pPr>
      <w:r w:rsidRPr="003E2540">
        <w:rPr>
          <w:rFonts w:ascii="Book Antiqua" w:hAnsi="Book Antiqua" w:cs="Arial"/>
          <w:sz w:val="24"/>
          <w:szCs w:val="24"/>
        </w:rPr>
        <w:t>Dôvody zvýšenia, zníženia a zrušenia opravných položiek k dlhodobému nehmotnému majetku a dlhodobému hmotnému majetku</w:t>
      </w:r>
    </w:p>
    <w:p w:rsidR="00B01E4E" w:rsidRPr="003E2540" w:rsidRDefault="00B01E4E" w:rsidP="00B01E4E">
      <w:pPr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178"/>
        <w:gridCol w:w="2079"/>
        <w:gridCol w:w="4307"/>
      </w:tblGrid>
      <w:tr w:rsidR="00B01E4E" w:rsidRPr="003E2540" w:rsidTr="001E07A7">
        <w:tc>
          <w:tcPr>
            <w:tcW w:w="670" w:type="dxa"/>
            <w:shd w:val="clear" w:color="auto" w:fill="auto"/>
            <w:vAlign w:val="center"/>
          </w:tcPr>
          <w:p w:rsidR="00B01E4E" w:rsidRPr="003E2540" w:rsidRDefault="00B01E4E" w:rsidP="001E07A7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proofErr w:type="spellStart"/>
            <w:r w:rsidRPr="003E2540">
              <w:rPr>
                <w:rFonts w:ascii="Book Antiqua" w:hAnsi="Book Antiqua" w:cs="Arial"/>
                <w:sz w:val="24"/>
                <w:szCs w:val="24"/>
              </w:rPr>
              <w:t>Inv</w:t>
            </w:r>
            <w:proofErr w:type="spellEnd"/>
            <w:r w:rsidRPr="003E2540">
              <w:rPr>
                <w:rFonts w:ascii="Book Antiqua" w:hAnsi="Book Antiqua" w:cs="Arial"/>
                <w:sz w:val="24"/>
                <w:szCs w:val="24"/>
              </w:rPr>
              <w:t>.</w:t>
            </w:r>
          </w:p>
          <w:p w:rsidR="00B01E4E" w:rsidRPr="003E2540" w:rsidRDefault="00B01E4E" w:rsidP="001E07A7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E2540">
              <w:rPr>
                <w:rFonts w:ascii="Book Antiqua" w:hAnsi="Book Antiqua" w:cs="Arial"/>
                <w:sz w:val="24"/>
                <w:szCs w:val="24"/>
              </w:rPr>
              <w:t>číslo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01E4E" w:rsidRPr="003E2540" w:rsidRDefault="00B01E4E" w:rsidP="001E07A7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E2540">
              <w:rPr>
                <w:rFonts w:ascii="Book Antiqua" w:hAnsi="Book Antiqua" w:cs="Arial"/>
                <w:sz w:val="24"/>
                <w:szCs w:val="24"/>
              </w:rPr>
              <w:t>Konkrétny druh DM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01E4E" w:rsidRPr="003E2540" w:rsidRDefault="00B01E4E" w:rsidP="001E07A7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E2540">
              <w:rPr>
                <w:rFonts w:ascii="Book Antiqua" w:hAnsi="Book Antiqua" w:cs="Arial"/>
                <w:sz w:val="24"/>
                <w:szCs w:val="24"/>
              </w:rPr>
              <w:t>Suma OP v </w:t>
            </w:r>
            <w:r w:rsidR="00D20211" w:rsidRPr="003E2540">
              <w:rPr>
                <w:rFonts w:ascii="Book Antiqua" w:hAnsi="Book Antiqua" w:cs="Arial"/>
                <w:sz w:val="24"/>
                <w:szCs w:val="24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01E4E" w:rsidRPr="003E2540" w:rsidRDefault="00B01E4E" w:rsidP="001E07A7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3E2540">
              <w:rPr>
                <w:rFonts w:ascii="Book Antiqua" w:hAnsi="Book Antiqua" w:cs="Arial"/>
                <w:sz w:val="24"/>
                <w:szCs w:val="24"/>
              </w:rPr>
              <w:t>Dôvod zvýšenia, zníženia a zrušenia OP</w:t>
            </w:r>
          </w:p>
        </w:tc>
      </w:tr>
      <w:tr w:rsidR="00B01E4E" w:rsidRPr="003E2540" w:rsidTr="001E07A7">
        <w:tc>
          <w:tcPr>
            <w:tcW w:w="670" w:type="dxa"/>
            <w:shd w:val="clear" w:color="auto" w:fill="auto"/>
          </w:tcPr>
          <w:p w:rsidR="00B01E4E" w:rsidRPr="003E2540" w:rsidRDefault="00B01E4E" w:rsidP="001E07A7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B01E4E" w:rsidRPr="003E2540" w:rsidRDefault="00B01E4E" w:rsidP="001E07A7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3E2540">
              <w:rPr>
                <w:rFonts w:ascii="Book Antiqua" w:hAnsi="Book Antiqua" w:cs="Arial"/>
                <w:sz w:val="24"/>
                <w:szCs w:val="24"/>
              </w:rPr>
              <w:t>Nie sú</w:t>
            </w:r>
          </w:p>
        </w:tc>
        <w:tc>
          <w:tcPr>
            <w:tcW w:w="2084" w:type="dxa"/>
            <w:shd w:val="clear" w:color="auto" w:fill="auto"/>
          </w:tcPr>
          <w:p w:rsidR="00B01E4E" w:rsidRPr="003E2540" w:rsidRDefault="00B01E4E" w:rsidP="001E07A7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B01E4E" w:rsidRPr="003E2540" w:rsidRDefault="00B01E4E" w:rsidP="001E07A7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170B8C" w:rsidRPr="00191CD7" w:rsidRDefault="00170B8C" w:rsidP="00170B8C">
      <w:pPr>
        <w:pStyle w:val="Pismenka"/>
        <w:tabs>
          <w:tab w:val="clear" w:pos="426"/>
        </w:tabs>
        <w:spacing w:line="360" w:lineRule="auto"/>
        <w:rPr>
          <w:sz w:val="24"/>
          <w:szCs w:val="24"/>
        </w:rPr>
      </w:pPr>
      <w:r w:rsidRPr="00191CD7">
        <w:rPr>
          <w:sz w:val="24"/>
          <w:szCs w:val="24"/>
        </w:rPr>
        <w:t>4.Prehľad o pohybe dlhodobého finančného majetku:</w:t>
      </w:r>
    </w:p>
    <w:p w:rsidR="00DD233B" w:rsidRPr="00191CD7" w:rsidRDefault="00170B8C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191CD7">
        <w:rPr>
          <w:b w:val="0"/>
          <w:sz w:val="24"/>
          <w:szCs w:val="24"/>
        </w:rPr>
        <w:t xml:space="preserve">Detailnejšie informácie o dlhodobom finančnom </w:t>
      </w:r>
      <w:r w:rsidR="00594825">
        <w:rPr>
          <w:b w:val="0"/>
          <w:sz w:val="24"/>
          <w:szCs w:val="24"/>
        </w:rPr>
        <w:t>majetku k 31. decembru 2020</w:t>
      </w:r>
      <w:r w:rsidR="00191CD7">
        <w:rPr>
          <w:b w:val="0"/>
          <w:sz w:val="24"/>
          <w:szCs w:val="24"/>
        </w:rPr>
        <w:t xml:space="preserve"> sú uvedené v</w:t>
      </w:r>
      <w:r w:rsidR="00DD233B">
        <w:rPr>
          <w:b w:val="0"/>
          <w:sz w:val="24"/>
          <w:szCs w:val="24"/>
        </w:rPr>
        <w:t xml:space="preserve">  </w:t>
      </w:r>
      <w:r w:rsidR="00DD233B" w:rsidRPr="00191CD7">
        <w:rPr>
          <w:b w:val="0"/>
          <w:sz w:val="24"/>
          <w:szCs w:val="24"/>
        </w:rPr>
        <w:t>tabuľkovej časti (tabuľky č. 2 až č. 6)</w:t>
      </w:r>
    </w:p>
    <w:p w:rsidR="00B01E4E" w:rsidRPr="00191CD7" w:rsidRDefault="00B01E4E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p w:rsidR="00170B8C" w:rsidRPr="00191CD7" w:rsidRDefault="00170B8C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191CD7">
        <w:rPr>
          <w:b w:val="0"/>
          <w:sz w:val="24"/>
          <w:szCs w:val="24"/>
        </w:rPr>
        <w:t>Majetkové podiely v iných spoločnostiach (podielové cenné papiere a podiely v dcérskych spoločnostiach a spoločnostiach s podstatným vplyvom) v € - tabuľka č. 3</w:t>
      </w:r>
    </w:p>
    <w:p w:rsidR="00170B8C" w:rsidRPr="00DD233B" w:rsidRDefault="00170B8C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Realizovateľné cenné papiere v € - tabuľka č. 4</w:t>
      </w:r>
    </w:p>
    <w:p w:rsidR="00170B8C" w:rsidRPr="00DD233B" w:rsidRDefault="00170B8C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Dlhové cenné papiere – tabuľka č. 5</w:t>
      </w:r>
    </w:p>
    <w:p w:rsidR="00DD233B" w:rsidRDefault="00170B8C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Dlhodobé pôžičky (pôžičky účtovnej jednotke v konsolidovanom celku, ostatné pôžičky)</w:t>
      </w:r>
    </w:p>
    <w:p w:rsidR="00170B8C" w:rsidRPr="00DD233B" w:rsidRDefault="00170B8C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 xml:space="preserve"> – tabuľka č. 6</w:t>
      </w:r>
    </w:p>
    <w:p w:rsidR="00170B8C" w:rsidRDefault="00170B8C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b w:val="0"/>
          <w:sz w:val="24"/>
          <w:szCs w:val="24"/>
        </w:rPr>
      </w:pPr>
    </w:p>
    <w:p w:rsidR="004D1E75" w:rsidRPr="00191CD7" w:rsidRDefault="004D1E75" w:rsidP="00DD233B">
      <w:pPr>
        <w:pStyle w:val="Pismenka"/>
        <w:tabs>
          <w:tab w:val="clear" w:pos="426"/>
        </w:tabs>
        <w:spacing w:line="360" w:lineRule="auto"/>
        <w:ind w:left="720" w:firstLine="0"/>
        <w:jc w:val="left"/>
        <w:rPr>
          <w:sz w:val="24"/>
          <w:szCs w:val="24"/>
        </w:rPr>
      </w:pPr>
    </w:p>
    <w:p w:rsidR="00170B8C" w:rsidRPr="00191CD7" w:rsidRDefault="00170B8C" w:rsidP="00170B8C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</w:p>
    <w:p w:rsidR="00CC72DD" w:rsidRDefault="00CC72DD" w:rsidP="00170B8C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  <w:r w:rsidRPr="00191CD7">
        <w:rPr>
          <w:sz w:val="24"/>
          <w:szCs w:val="24"/>
        </w:rPr>
        <w:lastRenderedPageBreak/>
        <w:t>5.</w:t>
      </w:r>
      <w:r w:rsidR="00170B8C" w:rsidRPr="00191CD7">
        <w:rPr>
          <w:sz w:val="24"/>
          <w:szCs w:val="24"/>
        </w:rPr>
        <w:t>Pohľadávky konsolidovaného celku v €</w:t>
      </w:r>
    </w:p>
    <w:p w:rsidR="004D1E75" w:rsidRPr="00191CD7" w:rsidRDefault="004D1E75" w:rsidP="00170B8C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170B8C" w:rsidRDefault="00170B8C" w:rsidP="004D1E75">
      <w:pPr>
        <w:pStyle w:val="Pismenka"/>
        <w:numPr>
          <w:ilvl w:val="0"/>
          <w:numId w:val="50"/>
        </w:numPr>
        <w:spacing w:line="360" w:lineRule="auto"/>
        <w:jc w:val="left"/>
        <w:rPr>
          <w:sz w:val="24"/>
          <w:szCs w:val="24"/>
        </w:rPr>
      </w:pPr>
      <w:r w:rsidRPr="00191CD7">
        <w:rPr>
          <w:sz w:val="24"/>
          <w:szCs w:val="24"/>
        </w:rPr>
        <w:t>významné pohľadávky podľa jednotlivých položiek súvahy v €:</w:t>
      </w:r>
    </w:p>
    <w:p w:rsidR="004D1E75" w:rsidRPr="00191CD7" w:rsidRDefault="004D1E75" w:rsidP="004D1E75">
      <w:pPr>
        <w:pStyle w:val="Pismenka"/>
        <w:tabs>
          <w:tab w:val="clear" w:pos="426"/>
        </w:tabs>
        <w:spacing w:line="360" w:lineRule="auto"/>
        <w:ind w:left="420" w:firstLine="0"/>
        <w:jc w:val="left"/>
        <w:rPr>
          <w:b w:val="0"/>
          <w:sz w:val="24"/>
          <w:szCs w:val="24"/>
        </w:rPr>
      </w:pPr>
    </w:p>
    <w:p w:rsidR="00170B8C" w:rsidRPr="00191CD7" w:rsidRDefault="00CC72DD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4D1E75">
        <w:rPr>
          <w:b w:val="0"/>
          <w:sz w:val="24"/>
          <w:szCs w:val="24"/>
        </w:rPr>
        <w:t xml:space="preserve">Konsolidovaný celok vykazuje krátkodobé pohľadávky vo výške </w:t>
      </w:r>
      <w:r w:rsidR="000B4875">
        <w:rPr>
          <w:sz w:val="24"/>
          <w:szCs w:val="24"/>
        </w:rPr>
        <w:t>32 955,21</w:t>
      </w:r>
      <w:r w:rsidR="00CE6D37" w:rsidRPr="004D1E75">
        <w:rPr>
          <w:b w:val="0"/>
          <w:sz w:val="24"/>
          <w:szCs w:val="24"/>
        </w:rPr>
        <w:t xml:space="preserve"> </w:t>
      </w:r>
      <w:r w:rsidRPr="004D1E75">
        <w:rPr>
          <w:b w:val="0"/>
          <w:sz w:val="24"/>
          <w:szCs w:val="24"/>
        </w:rPr>
        <w:t xml:space="preserve"> €. Najväčší podiel na vykázaných krátkodobých pohľadávkach má materská účtovná jednotka – obec Blatné Remety a to hlavne: – pohľadávky z nedaňových príjmov obcí </w:t>
      </w:r>
      <w:r w:rsidR="002A01DA">
        <w:rPr>
          <w:sz w:val="24"/>
          <w:szCs w:val="24"/>
        </w:rPr>
        <w:t>15 645,13</w:t>
      </w:r>
      <w:r w:rsidR="004D1E75" w:rsidRPr="004D1E75">
        <w:rPr>
          <w:sz w:val="24"/>
          <w:szCs w:val="24"/>
        </w:rPr>
        <w:t xml:space="preserve"> </w:t>
      </w:r>
      <w:r w:rsidR="002A4580" w:rsidRPr="004D1E75">
        <w:rPr>
          <w:sz w:val="24"/>
          <w:szCs w:val="24"/>
        </w:rPr>
        <w:t xml:space="preserve"> </w:t>
      </w:r>
      <w:r w:rsidRPr="004D1E75">
        <w:rPr>
          <w:b w:val="0"/>
          <w:sz w:val="24"/>
          <w:szCs w:val="24"/>
        </w:rPr>
        <w:t xml:space="preserve"> € (prenájmy pozemkov, poplatok za vývoz komunálneho odpadu) – pohľadávky z daňových príjmov obcí </w:t>
      </w:r>
      <w:r w:rsidR="002A01DA">
        <w:rPr>
          <w:sz w:val="24"/>
          <w:szCs w:val="24"/>
        </w:rPr>
        <w:t>17 310,08</w:t>
      </w:r>
      <w:r w:rsidR="004D1E75" w:rsidRPr="004D1E75">
        <w:rPr>
          <w:sz w:val="24"/>
          <w:szCs w:val="24"/>
        </w:rPr>
        <w:t xml:space="preserve"> </w:t>
      </w:r>
      <w:r w:rsidRPr="004D1E75">
        <w:rPr>
          <w:b w:val="0"/>
          <w:sz w:val="24"/>
          <w:szCs w:val="24"/>
        </w:rPr>
        <w:t xml:space="preserve"> € (najvyšší podiel na daňových pohľadávkach majú pohľadávky za daň z nehnuteľností)</w:t>
      </w:r>
      <w:r w:rsidR="002A01DA">
        <w:rPr>
          <w:b w:val="0"/>
          <w:sz w:val="24"/>
          <w:szCs w:val="24"/>
        </w:rPr>
        <w:t>.</w:t>
      </w:r>
    </w:p>
    <w:p w:rsidR="00CC72DD" w:rsidRDefault="00CC72DD" w:rsidP="00170B8C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</w:p>
    <w:p w:rsidR="00F265B5" w:rsidRDefault="00F265B5" w:rsidP="004D1E75">
      <w:pPr>
        <w:pStyle w:val="Pismenka"/>
        <w:tabs>
          <w:tab w:val="clear" w:pos="426"/>
        </w:tabs>
        <w:spacing w:line="360" w:lineRule="auto"/>
        <w:ind w:left="0" w:firstLine="0"/>
        <w:jc w:val="left"/>
        <w:rPr>
          <w:b w:val="0"/>
          <w:sz w:val="24"/>
          <w:szCs w:val="24"/>
        </w:rPr>
      </w:pPr>
    </w:p>
    <w:p w:rsidR="00DD233B" w:rsidRPr="00191CD7" w:rsidRDefault="00DD233B" w:rsidP="00170B8C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</w:p>
    <w:p w:rsidR="00CC72DD" w:rsidRPr="00DD233B" w:rsidRDefault="00CC72DD" w:rsidP="00170B8C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  <w:r w:rsidRPr="00DD233B">
        <w:rPr>
          <w:sz w:val="24"/>
          <w:szCs w:val="24"/>
        </w:rPr>
        <w:t>b) vývoj opravnej položky k pohľadávkam (tabuľka č. 8)</w:t>
      </w:r>
    </w:p>
    <w:p w:rsidR="00CC72DD" w:rsidRPr="00DD233B" w:rsidRDefault="00CC72DD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 xml:space="preserve"> K pochybným a nedobytným pohľadávkam, kde existuje riziko nevymožiteľnosti, bola vytvorená opravná položka. Opis dôvodov tvorby, zníženia a zrušenia opravných položiek k</w:t>
      </w:r>
      <w:r w:rsidR="004D1E75">
        <w:rPr>
          <w:b w:val="0"/>
          <w:sz w:val="24"/>
          <w:szCs w:val="24"/>
        </w:rPr>
        <w:t> </w:t>
      </w:r>
      <w:r w:rsidRPr="00DD233B">
        <w:rPr>
          <w:b w:val="0"/>
          <w:sz w:val="24"/>
          <w:szCs w:val="24"/>
        </w:rPr>
        <w:t>pohľadávkam</w:t>
      </w:r>
      <w:r w:rsidR="004D1E75">
        <w:rPr>
          <w:b w:val="0"/>
          <w:sz w:val="24"/>
          <w:szCs w:val="24"/>
        </w:rPr>
        <w:t>.</w:t>
      </w:r>
    </w:p>
    <w:p w:rsidR="00CC72DD" w:rsidRPr="00CC72DD" w:rsidRDefault="00CC72DD" w:rsidP="00170B8C">
      <w:pPr>
        <w:pStyle w:val="Pismenka"/>
        <w:tabs>
          <w:tab w:val="clear" w:pos="426"/>
        </w:tabs>
        <w:spacing w:line="360" w:lineRule="auto"/>
        <w:jc w:val="left"/>
        <w:rPr>
          <w:b w:val="0"/>
        </w:rPr>
      </w:pPr>
    </w:p>
    <w:p w:rsidR="00CC72DD" w:rsidRPr="00DD233B" w:rsidRDefault="00CC72DD" w:rsidP="00170B8C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  <w:r w:rsidRPr="00DD233B">
        <w:rPr>
          <w:sz w:val="24"/>
          <w:szCs w:val="24"/>
        </w:rPr>
        <w:t xml:space="preserve">c) pohľadávky podľa doby splatnosti a podľa zostatkovej doby splatnosti </w:t>
      </w:r>
    </w:p>
    <w:p w:rsidR="00170B8C" w:rsidRPr="00DD233B" w:rsidRDefault="00CC72DD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Prehľad pohľadávok z hľadiska ich vekovej štruktúry a z hľadiska splatnosti je uvedený v tabuľkovej prílohe konsolidovaných poznámok (tabuľka č. 9</w:t>
      </w:r>
      <w:r w:rsidR="002A4580">
        <w:rPr>
          <w:b w:val="0"/>
          <w:sz w:val="24"/>
          <w:szCs w:val="24"/>
        </w:rPr>
        <w:t>)</w:t>
      </w:r>
    </w:p>
    <w:p w:rsidR="00170B8C" w:rsidRPr="00DD233B" w:rsidRDefault="00170B8C" w:rsidP="00170B8C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</w:p>
    <w:p w:rsidR="00CC72DD" w:rsidRPr="00DD233B" w:rsidRDefault="00DD233B" w:rsidP="00DD233B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6, </w:t>
      </w:r>
      <w:r w:rsidR="00CC72DD" w:rsidRPr="00DD233B">
        <w:rPr>
          <w:sz w:val="24"/>
          <w:szCs w:val="24"/>
        </w:rPr>
        <w:t>Časové rozlíšenie aktív</w:t>
      </w:r>
    </w:p>
    <w:p w:rsidR="00170B8C" w:rsidRPr="00DD233B" w:rsidRDefault="00CC72DD" w:rsidP="00DD233B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 xml:space="preserve"> a) Náklady budúcich období (tabuľka č. 10)</w:t>
      </w:r>
    </w:p>
    <w:p w:rsidR="00CC72DD" w:rsidRPr="00DD233B" w:rsidRDefault="00CC72DD" w:rsidP="00DD233B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b) Príjmy budúcich období (tabuľka č. 11)</w:t>
      </w:r>
    </w:p>
    <w:p w:rsidR="00CC72DD" w:rsidRPr="00DD233B" w:rsidRDefault="00CC72DD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CC72DD" w:rsidRPr="00DD233B" w:rsidRDefault="00DD233B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7, </w:t>
      </w:r>
      <w:r w:rsidR="00CC72DD" w:rsidRPr="00DD233B">
        <w:rPr>
          <w:sz w:val="24"/>
          <w:szCs w:val="24"/>
        </w:rPr>
        <w:t xml:space="preserve"> Vlastné imanie </w:t>
      </w:r>
    </w:p>
    <w:p w:rsidR="00CC72DD" w:rsidRPr="00BD52AB" w:rsidRDefault="00CC72DD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Prehľad o pohybe vlastného imania konsolidovaného celku obce B</w:t>
      </w:r>
      <w:r w:rsidR="00814888">
        <w:rPr>
          <w:b w:val="0"/>
          <w:sz w:val="24"/>
          <w:szCs w:val="24"/>
        </w:rPr>
        <w:t>latné Remety od 1. januára 2020</w:t>
      </w:r>
      <w:r w:rsidR="00DD233B">
        <w:rPr>
          <w:b w:val="0"/>
          <w:sz w:val="24"/>
          <w:szCs w:val="24"/>
        </w:rPr>
        <w:t xml:space="preserve"> </w:t>
      </w:r>
      <w:r w:rsidR="00814888">
        <w:rPr>
          <w:b w:val="0"/>
          <w:sz w:val="24"/>
          <w:szCs w:val="24"/>
        </w:rPr>
        <w:t>do 31. decembra 2020</w:t>
      </w:r>
      <w:r w:rsidRPr="00DD233B">
        <w:rPr>
          <w:b w:val="0"/>
          <w:sz w:val="24"/>
          <w:szCs w:val="24"/>
        </w:rPr>
        <w:t xml:space="preserve"> je uvedený v tabuľkovej prílohe konsolidovaných</w:t>
      </w:r>
      <w:r w:rsidR="00814888">
        <w:rPr>
          <w:b w:val="0"/>
          <w:sz w:val="24"/>
          <w:szCs w:val="24"/>
        </w:rPr>
        <w:t xml:space="preserve">                                          </w:t>
      </w:r>
      <w:r w:rsidRPr="00DD233B">
        <w:rPr>
          <w:b w:val="0"/>
          <w:sz w:val="24"/>
          <w:szCs w:val="24"/>
        </w:rPr>
        <w:t xml:space="preserve"> poznámok – tabuľka č.12</w:t>
      </w:r>
    </w:p>
    <w:p w:rsidR="00CC72DD" w:rsidRPr="00DD233B" w:rsidRDefault="00CC72DD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Opravy minulých období:</w:t>
      </w:r>
    </w:p>
    <w:p w:rsidR="00CC72DD" w:rsidRPr="00DD233B" w:rsidRDefault="00CC72DD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DD233B">
        <w:rPr>
          <w:b w:val="0"/>
          <w:sz w:val="24"/>
          <w:szCs w:val="24"/>
        </w:rPr>
        <w:t>Obec neúčtovala o významných opravách minulých období.</w:t>
      </w:r>
    </w:p>
    <w:p w:rsidR="00CC72DD" w:rsidRDefault="00CC72DD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4D1E75" w:rsidRDefault="004D1E75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2A01DA" w:rsidRDefault="002A01DA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4D1E75" w:rsidRDefault="004D1E75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4D1E75" w:rsidRDefault="004D1E75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4D1E75" w:rsidRPr="00DD233B" w:rsidRDefault="004D1E75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</w:p>
    <w:p w:rsidR="00CC72DD" w:rsidRPr="00DD233B" w:rsidRDefault="00DD233B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8, </w:t>
      </w:r>
      <w:r w:rsidR="00CC72DD" w:rsidRPr="00DD233B">
        <w:rPr>
          <w:sz w:val="24"/>
          <w:szCs w:val="24"/>
        </w:rPr>
        <w:t xml:space="preserve"> Rezervy:</w:t>
      </w:r>
    </w:p>
    <w:p w:rsidR="00CC72DD" w:rsidRDefault="00CC72DD" w:rsidP="00F265B5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  <w:r w:rsidRPr="00BD52AB">
        <w:rPr>
          <w:b w:val="0"/>
          <w:sz w:val="24"/>
          <w:szCs w:val="24"/>
        </w:rPr>
        <w:t xml:space="preserve"> Prehľad rezerv konsolidovaného celku v</w:t>
      </w:r>
      <w:r w:rsidR="00BD52AB">
        <w:rPr>
          <w:b w:val="0"/>
          <w:sz w:val="24"/>
          <w:szCs w:val="24"/>
        </w:rPr>
        <w:t> </w:t>
      </w:r>
      <w:r w:rsidRPr="00BD52AB">
        <w:rPr>
          <w:b w:val="0"/>
          <w:sz w:val="24"/>
          <w:szCs w:val="24"/>
        </w:rPr>
        <w:t>členení na zákonné a</w:t>
      </w:r>
      <w:r w:rsidR="00BD52AB">
        <w:rPr>
          <w:b w:val="0"/>
          <w:sz w:val="24"/>
          <w:szCs w:val="24"/>
        </w:rPr>
        <w:t> </w:t>
      </w:r>
      <w:r w:rsidRPr="00BD52AB">
        <w:rPr>
          <w:b w:val="0"/>
          <w:sz w:val="24"/>
          <w:szCs w:val="24"/>
        </w:rPr>
        <w:t>ostatné, dlhodobé a</w:t>
      </w:r>
      <w:r w:rsidR="00BD52AB">
        <w:rPr>
          <w:b w:val="0"/>
          <w:sz w:val="24"/>
          <w:szCs w:val="24"/>
        </w:rPr>
        <w:t> </w:t>
      </w:r>
      <w:r w:rsidRPr="00BD52AB">
        <w:rPr>
          <w:b w:val="0"/>
          <w:sz w:val="24"/>
          <w:szCs w:val="24"/>
        </w:rPr>
        <w:t xml:space="preserve">krátkodobé od </w:t>
      </w:r>
      <w:r w:rsidR="004D1E75">
        <w:rPr>
          <w:b w:val="0"/>
          <w:sz w:val="24"/>
          <w:szCs w:val="24"/>
        </w:rPr>
        <w:t xml:space="preserve">            </w:t>
      </w:r>
      <w:r w:rsidRPr="00BD52AB">
        <w:rPr>
          <w:b w:val="0"/>
          <w:sz w:val="24"/>
          <w:szCs w:val="24"/>
        </w:rPr>
        <w:t xml:space="preserve">1. </w:t>
      </w:r>
      <w:r w:rsidR="002A4580">
        <w:rPr>
          <w:b w:val="0"/>
          <w:sz w:val="24"/>
          <w:szCs w:val="24"/>
        </w:rPr>
        <w:t>j</w:t>
      </w:r>
      <w:r w:rsidR="00594825">
        <w:rPr>
          <w:b w:val="0"/>
          <w:sz w:val="24"/>
          <w:szCs w:val="24"/>
        </w:rPr>
        <w:t>anuára 2020</w:t>
      </w:r>
      <w:r w:rsidRPr="00BD52AB">
        <w:rPr>
          <w:b w:val="0"/>
          <w:sz w:val="24"/>
          <w:szCs w:val="24"/>
        </w:rPr>
        <w:t xml:space="preserve"> do 31. </w:t>
      </w:r>
      <w:r w:rsidR="002A4580">
        <w:rPr>
          <w:b w:val="0"/>
          <w:sz w:val="24"/>
          <w:szCs w:val="24"/>
        </w:rPr>
        <w:t>d</w:t>
      </w:r>
      <w:r w:rsidR="00594825">
        <w:rPr>
          <w:b w:val="0"/>
          <w:sz w:val="24"/>
          <w:szCs w:val="24"/>
        </w:rPr>
        <w:t>ecembra 2020</w:t>
      </w:r>
      <w:r w:rsidRPr="00BD52AB">
        <w:rPr>
          <w:b w:val="0"/>
          <w:sz w:val="24"/>
          <w:szCs w:val="24"/>
        </w:rPr>
        <w:t xml:space="preserve"> je uvedený v</w:t>
      </w:r>
      <w:r w:rsidR="00BD52AB">
        <w:rPr>
          <w:b w:val="0"/>
          <w:sz w:val="24"/>
          <w:szCs w:val="24"/>
        </w:rPr>
        <w:t> </w:t>
      </w:r>
      <w:r w:rsidRPr="00BD52AB">
        <w:rPr>
          <w:b w:val="0"/>
          <w:sz w:val="24"/>
          <w:szCs w:val="24"/>
        </w:rPr>
        <w:t>tabuľkovej prílohe konsolidovaných poznámok – tabuľky č.13 a</w:t>
      </w:r>
      <w:r w:rsidR="00BD52AB">
        <w:rPr>
          <w:b w:val="0"/>
          <w:sz w:val="24"/>
          <w:szCs w:val="24"/>
        </w:rPr>
        <w:t> </w:t>
      </w:r>
      <w:r w:rsidRPr="00BD52AB">
        <w:rPr>
          <w:b w:val="0"/>
          <w:sz w:val="24"/>
          <w:szCs w:val="24"/>
        </w:rPr>
        <w:t>14</w:t>
      </w:r>
    </w:p>
    <w:p w:rsidR="00BD52AB" w:rsidRPr="00BD52AB" w:rsidRDefault="00BD52AB" w:rsidP="00CC72DD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</w:p>
    <w:p w:rsidR="00CC72DD" w:rsidRPr="00DD233B" w:rsidRDefault="00BD52AB" w:rsidP="00CC72DD">
      <w:pPr>
        <w:pStyle w:val="Pismenka"/>
        <w:tabs>
          <w:tab w:val="clear" w:pos="426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9,</w:t>
      </w:r>
      <w:r w:rsidR="00CC72DD" w:rsidRPr="00DD233B">
        <w:rPr>
          <w:sz w:val="24"/>
          <w:szCs w:val="24"/>
        </w:rPr>
        <w:t xml:space="preserve"> Záväzky :</w:t>
      </w:r>
    </w:p>
    <w:p w:rsidR="00CC72DD" w:rsidRDefault="00CC72DD" w:rsidP="00CC72DD">
      <w:pPr>
        <w:pStyle w:val="Pismenka"/>
        <w:tabs>
          <w:tab w:val="clear" w:pos="426"/>
        </w:tabs>
        <w:spacing w:line="360" w:lineRule="auto"/>
        <w:jc w:val="left"/>
        <w:rPr>
          <w:b w:val="0"/>
          <w:sz w:val="24"/>
          <w:szCs w:val="24"/>
        </w:rPr>
      </w:pPr>
      <w:r w:rsidRPr="00BD52AB">
        <w:rPr>
          <w:b w:val="0"/>
          <w:sz w:val="24"/>
          <w:szCs w:val="24"/>
        </w:rPr>
        <w:t>Prehľad záväzkov z hľadiska ich vekovej štruktúry a podľa doby splatnosti je uvedený v tabuľkovej časti (tabuľka č. 15).</w:t>
      </w:r>
    </w:p>
    <w:p w:rsidR="00BD52AB" w:rsidRPr="00BD52AB" w:rsidRDefault="00BD52AB" w:rsidP="00CC72DD">
      <w:pPr>
        <w:pStyle w:val="Pismenka"/>
        <w:tabs>
          <w:tab w:val="clear" w:pos="426"/>
        </w:tabs>
        <w:spacing w:line="360" w:lineRule="auto"/>
        <w:jc w:val="left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CC72DD" w:rsidRDefault="00CC72DD" w:rsidP="00D4669D">
      <w:pPr>
        <w:spacing w:line="360" w:lineRule="auto"/>
        <w:jc w:val="both"/>
        <w:rPr>
          <w:b/>
          <w:sz w:val="24"/>
          <w:szCs w:val="24"/>
        </w:rPr>
      </w:pPr>
      <w:r w:rsidRPr="00BD52AB">
        <w:rPr>
          <w:b/>
          <w:sz w:val="24"/>
          <w:szCs w:val="24"/>
        </w:rPr>
        <w:t>1</w:t>
      </w:r>
      <w:r w:rsidR="00BD52AB">
        <w:rPr>
          <w:b/>
          <w:sz w:val="24"/>
          <w:szCs w:val="24"/>
        </w:rPr>
        <w:t>0</w:t>
      </w:r>
      <w:r w:rsidRPr="00BD52AB">
        <w:rPr>
          <w:b/>
          <w:sz w:val="24"/>
          <w:szCs w:val="24"/>
        </w:rPr>
        <w:t>. Bankové úvery</w:t>
      </w:r>
    </w:p>
    <w:p w:rsidR="004D1E75" w:rsidRPr="00BD52AB" w:rsidRDefault="004D1E75" w:rsidP="00D4669D">
      <w:pPr>
        <w:spacing w:line="360" w:lineRule="auto"/>
        <w:jc w:val="both"/>
        <w:rPr>
          <w:b/>
          <w:sz w:val="24"/>
          <w:szCs w:val="24"/>
        </w:rPr>
      </w:pPr>
    </w:p>
    <w:p w:rsidR="00CC72DD" w:rsidRPr="00DD233B" w:rsidRDefault="00CC72DD" w:rsidP="00D4669D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 xml:space="preserve"> a) dlhodobé bankové úvery a krátkodobé bankové úvery</w:t>
      </w:r>
    </w:p>
    <w:p w:rsidR="00CC72DD" w:rsidRPr="00DD233B" w:rsidRDefault="00CC72DD" w:rsidP="00D4669D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>Prehľad o ba</w:t>
      </w:r>
      <w:r w:rsidR="00594825">
        <w:rPr>
          <w:sz w:val="24"/>
          <w:szCs w:val="24"/>
        </w:rPr>
        <w:t>nkových úveroch Obce k 31.12.2020</w:t>
      </w:r>
      <w:r w:rsidRPr="00DD233B">
        <w:rPr>
          <w:sz w:val="24"/>
          <w:szCs w:val="24"/>
        </w:rPr>
        <w:t xml:space="preserve"> s uvedením podrobných informácií je uvedený v tabuľkovej časti (tabuľka č. 16).</w:t>
      </w:r>
    </w:p>
    <w:p w:rsidR="00CC72DD" w:rsidRPr="004D1E75" w:rsidRDefault="00CC72DD" w:rsidP="00D4669D">
      <w:pPr>
        <w:spacing w:line="360" w:lineRule="auto"/>
        <w:jc w:val="both"/>
        <w:rPr>
          <w:sz w:val="24"/>
          <w:szCs w:val="24"/>
        </w:rPr>
      </w:pPr>
      <w:r w:rsidRPr="004D1E75">
        <w:rPr>
          <w:sz w:val="24"/>
          <w:szCs w:val="24"/>
        </w:rPr>
        <w:t>Obec má prijat</w:t>
      </w:r>
      <w:r w:rsidR="002A4580" w:rsidRPr="004D1E75">
        <w:rPr>
          <w:sz w:val="24"/>
          <w:szCs w:val="24"/>
        </w:rPr>
        <w:t>ý</w:t>
      </w:r>
      <w:r w:rsidRPr="004D1E75">
        <w:rPr>
          <w:sz w:val="24"/>
          <w:szCs w:val="24"/>
        </w:rPr>
        <w:t xml:space="preserve"> jeden dlhodobý úver so zostatkom </w:t>
      </w:r>
      <w:r w:rsidR="002A01DA">
        <w:rPr>
          <w:b/>
          <w:sz w:val="24"/>
          <w:szCs w:val="24"/>
        </w:rPr>
        <w:t>183 714,53</w:t>
      </w:r>
      <w:r w:rsidRPr="004D1E75">
        <w:rPr>
          <w:sz w:val="24"/>
          <w:szCs w:val="24"/>
        </w:rPr>
        <w:t xml:space="preserve"> </w:t>
      </w:r>
      <w:r w:rsidR="002A4580" w:rsidRPr="004D1E75">
        <w:rPr>
          <w:sz w:val="24"/>
          <w:szCs w:val="24"/>
        </w:rPr>
        <w:t>e</w:t>
      </w:r>
      <w:r w:rsidRPr="004D1E75">
        <w:rPr>
          <w:sz w:val="24"/>
          <w:szCs w:val="24"/>
        </w:rPr>
        <w:t xml:space="preserve">ur a jeden krátkodobý úver so zostatkom </w:t>
      </w:r>
      <w:r w:rsidR="004D1E75" w:rsidRPr="004D1E75">
        <w:rPr>
          <w:b/>
          <w:sz w:val="24"/>
          <w:szCs w:val="24"/>
        </w:rPr>
        <w:t xml:space="preserve">0,00 </w:t>
      </w:r>
      <w:r w:rsidRPr="004D1E75">
        <w:rPr>
          <w:sz w:val="24"/>
          <w:szCs w:val="24"/>
        </w:rPr>
        <w:t xml:space="preserve"> </w:t>
      </w:r>
      <w:r w:rsidR="002A4580" w:rsidRPr="004D1E75">
        <w:rPr>
          <w:sz w:val="24"/>
          <w:szCs w:val="24"/>
        </w:rPr>
        <w:t>eur a ostatné krátkodobé finančné výpomoci vo výške</w:t>
      </w:r>
      <w:r w:rsidR="004D1E75" w:rsidRPr="004D1E75">
        <w:rPr>
          <w:b/>
          <w:sz w:val="24"/>
          <w:szCs w:val="24"/>
        </w:rPr>
        <w:t xml:space="preserve"> 0</w:t>
      </w:r>
      <w:r w:rsidR="002A4580" w:rsidRPr="004D1E75">
        <w:rPr>
          <w:b/>
          <w:sz w:val="24"/>
          <w:szCs w:val="24"/>
        </w:rPr>
        <w:t>,00</w:t>
      </w:r>
      <w:r w:rsidR="002A4580" w:rsidRPr="004D1E75">
        <w:rPr>
          <w:sz w:val="24"/>
          <w:szCs w:val="24"/>
        </w:rPr>
        <w:t xml:space="preserve"> eur.</w:t>
      </w:r>
    </w:p>
    <w:p w:rsidR="00BD52AB" w:rsidRPr="00DD233B" w:rsidRDefault="00BD52AB" w:rsidP="00D4669D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C72DD" w:rsidRPr="00BD52AB" w:rsidRDefault="00CC72DD" w:rsidP="00D4669D">
      <w:pPr>
        <w:spacing w:line="360" w:lineRule="auto"/>
        <w:jc w:val="both"/>
        <w:rPr>
          <w:b/>
          <w:sz w:val="24"/>
          <w:szCs w:val="24"/>
        </w:rPr>
      </w:pPr>
      <w:r w:rsidRPr="00BD52AB">
        <w:rPr>
          <w:b/>
          <w:sz w:val="24"/>
          <w:szCs w:val="24"/>
        </w:rPr>
        <w:t>1</w:t>
      </w:r>
      <w:r w:rsidR="00BD52AB">
        <w:rPr>
          <w:b/>
          <w:sz w:val="24"/>
          <w:szCs w:val="24"/>
        </w:rPr>
        <w:t>1</w:t>
      </w:r>
      <w:r w:rsidRPr="00BD52AB">
        <w:rPr>
          <w:b/>
          <w:sz w:val="24"/>
          <w:szCs w:val="24"/>
        </w:rPr>
        <w:t>. Časové rozlíšenie pasív</w:t>
      </w:r>
    </w:p>
    <w:p w:rsidR="00CC72DD" w:rsidRPr="00DD233B" w:rsidRDefault="00CC72DD" w:rsidP="00D4669D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D233B">
        <w:rPr>
          <w:sz w:val="24"/>
          <w:szCs w:val="24"/>
        </w:rPr>
        <w:t xml:space="preserve"> a) Prehľad výdavkov budúcich období je uvedený v tabuľkovej časti – tabuľka č.</w:t>
      </w:r>
    </w:p>
    <w:p w:rsidR="00CC72DD" w:rsidRDefault="00CC72DD" w:rsidP="00D4669D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>b) Prehľad výnosov budúcich období je uvedený v tabuľkovej časti – tabuľka č. 18</w:t>
      </w:r>
    </w:p>
    <w:p w:rsidR="004D1E75" w:rsidRPr="00DD233B" w:rsidRDefault="004D1E75" w:rsidP="00D4669D">
      <w:pPr>
        <w:spacing w:line="360" w:lineRule="auto"/>
        <w:jc w:val="both"/>
        <w:rPr>
          <w:sz w:val="24"/>
          <w:szCs w:val="24"/>
        </w:rPr>
      </w:pPr>
    </w:p>
    <w:p w:rsidR="00CE6D37" w:rsidRPr="00BD52AB" w:rsidRDefault="00CC72DD" w:rsidP="00D4669D">
      <w:pPr>
        <w:spacing w:line="360" w:lineRule="auto"/>
        <w:jc w:val="both"/>
        <w:rPr>
          <w:b/>
          <w:sz w:val="24"/>
          <w:szCs w:val="24"/>
        </w:rPr>
      </w:pPr>
      <w:r w:rsidRPr="00BD52AB">
        <w:rPr>
          <w:b/>
          <w:sz w:val="24"/>
          <w:szCs w:val="24"/>
        </w:rPr>
        <w:t>1</w:t>
      </w:r>
      <w:r w:rsidR="00BD52AB">
        <w:rPr>
          <w:b/>
          <w:sz w:val="24"/>
          <w:szCs w:val="24"/>
        </w:rPr>
        <w:t>2</w:t>
      </w:r>
      <w:r w:rsidRPr="00BD52AB">
        <w:rPr>
          <w:b/>
          <w:sz w:val="24"/>
          <w:szCs w:val="24"/>
        </w:rPr>
        <w:t>. Náklady konsolidovaného celku</w:t>
      </w:r>
    </w:p>
    <w:p w:rsidR="00CE6D37" w:rsidRPr="00DD233B" w:rsidRDefault="00CC72DD" w:rsidP="00D4669D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 xml:space="preserve"> a) Náklady na služby</w:t>
      </w:r>
      <w:r w:rsidR="00CE6D37" w:rsidRPr="00DD233B">
        <w:rPr>
          <w:sz w:val="24"/>
          <w:szCs w:val="24"/>
        </w:rPr>
        <w:t>:</w:t>
      </w:r>
    </w:p>
    <w:p w:rsidR="00CC72DD" w:rsidRPr="00DD233B" w:rsidRDefault="00CC72DD" w:rsidP="00F265B5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 xml:space="preserve"> Detailný rozpis významných nákladov na služby je uvedený v tabuľkovej časti – tabuľka č. 19</w:t>
      </w:r>
    </w:p>
    <w:p w:rsidR="00CE6D37" w:rsidRPr="00DD233B" w:rsidRDefault="00CE6D37" w:rsidP="00F265B5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>b) Ostatné náklady na prevádzkovú činnosť v € Detailný rozpis významných nákladov na služby je uvedený v tabuľkovej časti – tabuľka č. 20</w:t>
      </w:r>
    </w:p>
    <w:p w:rsidR="00CC72DD" w:rsidRDefault="00CE6D37" w:rsidP="00F265B5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>c) Ostatné finančné náklady Detailný rozpis významných nákladov na služby je uvedený v tabuľkovej časti – tabuľka č. 21</w:t>
      </w:r>
    </w:p>
    <w:p w:rsidR="004D1E75" w:rsidRPr="00DD233B" w:rsidRDefault="004D1E75" w:rsidP="00F265B5">
      <w:pPr>
        <w:spacing w:line="360" w:lineRule="auto"/>
        <w:jc w:val="both"/>
        <w:rPr>
          <w:sz w:val="24"/>
          <w:szCs w:val="24"/>
        </w:rPr>
      </w:pPr>
    </w:p>
    <w:p w:rsidR="00CC72DD" w:rsidRPr="00BD52AB" w:rsidRDefault="00CE6D37" w:rsidP="00D4669D">
      <w:pPr>
        <w:spacing w:line="360" w:lineRule="auto"/>
        <w:jc w:val="both"/>
        <w:rPr>
          <w:b/>
          <w:sz w:val="24"/>
          <w:szCs w:val="24"/>
        </w:rPr>
      </w:pPr>
      <w:r w:rsidRPr="00BD52AB">
        <w:rPr>
          <w:b/>
          <w:sz w:val="24"/>
          <w:szCs w:val="24"/>
        </w:rPr>
        <w:t>1</w:t>
      </w:r>
      <w:r w:rsidR="00BD52AB">
        <w:rPr>
          <w:b/>
          <w:sz w:val="24"/>
          <w:szCs w:val="24"/>
        </w:rPr>
        <w:t>3</w:t>
      </w:r>
      <w:r w:rsidRPr="00BD52AB">
        <w:rPr>
          <w:b/>
          <w:sz w:val="24"/>
          <w:szCs w:val="24"/>
        </w:rPr>
        <w:t>. Výnosy konsolidovaného celku</w:t>
      </w:r>
    </w:p>
    <w:p w:rsidR="00CE6D37" w:rsidRPr="00DD233B" w:rsidRDefault="00CE6D37" w:rsidP="00CE6D37">
      <w:pPr>
        <w:spacing w:line="360" w:lineRule="auto"/>
        <w:jc w:val="both"/>
        <w:rPr>
          <w:sz w:val="24"/>
          <w:szCs w:val="24"/>
        </w:rPr>
      </w:pPr>
      <w:r w:rsidRPr="00DD233B">
        <w:rPr>
          <w:sz w:val="24"/>
          <w:szCs w:val="24"/>
        </w:rPr>
        <w:t>Detailný rozpis významných výnosov je uvedený v tabuľkovej časti – tabuľka č. 22</w:t>
      </w:r>
    </w:p>
    <w:p w:rsidR="00CE6D37" w:rsidRPr="00DD233B" w:rsidRDefault="00CE6D37" w:rsidP="00CE6D37">
      <w:pPr>
        <w:spacing w:line="360" w:lineRule="auto"/>
        <w:jc w:val="center"/>
        <w:rPr>
          <w:sz w:val="24"/>
          <w:szCs w:val="24"/>
        </w:rPr>
      </w:pPr>
    </w:p>
    <w:p w:rsidR="00CE6D37" w:rsidRDefault="00CE6D37" w:rsidP="00CE6D37">
      <w:pPr>
        <w:spacing w:line="360" w:lineRule="auto"/>
        <w:jc w:val="both"/>
        <w:rPr>
          <w:sz w:val="24"/>
          <w:szCs w:val="24"/>
        </w:rPr>
      </w:pPr>
    </w:p>
    <w:p w:rsidR="004D1E75" w:rsidRDefault="004D1E75" w:rsidP="00CE6D37">
      <w:pPr>
        <w:spacing w:line="360" w:lineRule="auto"/>
        <w:jc w:val="both"/>
        <w:rPr>
          <w:sz w:val="24"/>
          <w:szCs w:val="24"/>
        </w:rPr>
      </w:pPr>
    </w:p>
    <w:p w:rsidR="004D1E75" w:rsidRDefault="004D1E75" w:rsidP="00CE6D37">
      <w:pPr>
        <w:spacing w:line="360" w:lineRule="auto"/>
        <w:jc w:val="both"/>
        <w:rPr>
          <w:sz w:val="24"/>
          <w:szCs w:val="24"/>
        </w:rPr>
      </w:pPr>
    </w:p>
    <w:p w:rsidR="004D1E75" w:rsidRDefault="004D1E75" w:rsidP="00CE6D37">
      <w:pPr>
        <w:spacing w:line="360" w:lineRule="auto"/>
        <w:jc w:val="both"/>
        <w:rPr>
          <w:sz w:val="24"/>
          <w:szCs w:val="24"/>
        </w:rPr>
      </w:pPr>
    </w:p>
    <w:p w:rsidR="004D1E75" w:rsidRPr="00DD233B" w:rsidRDefault="004D1E75" w:rsidP="00CE6D37">
      <w:pPr>
        <w:spacing w:line="360" w:lineRule="auto"/>
        <w:jc w:val="both"/>
        <w:rPr>
          <w:sz w:val="24"/>
          <w:szCs w:val="24"/>
        </w:rPr>
      </w:pPr>
    </w:p>
    <w:p w:rsidR="00CE6D37" w:rsidRPr="00DD233B" w:rsidRDefault="00CE6D37" w:rsidP="00CE6D37">
      <w:pPr>
        <w:spacing w:line="360" w:lineRule="auto"/>
        <w:jc w:val="center"/>
        <w:rPr>
          <w:b/>
          <w:sz w:val="24"/>
          <w:szCs w:val="24"/>
        </w:rPr>
      </w:pPr>
      <w:r w:rsidRPr="00DD233B">
        <w:rPr>
          <w:b/>
          <w:sz w:val="24"/>
          <w:szCs w:val="24"/>
        </w:rPr>
        <w:t>Čl. IV. Informácie o iných aktívach a iných pasívach</w:t>
      </w:r>
    </w:p>
    <w:p w:rsidR="00CE6D37" w:rsidRPr="00BD52AB" w:rsidRDefault="00BD52AB" w:rsidP="00CE6D37">
      <w:pPr>
        <w:spacing w:line="360" w:lineRule="auto"/>
        <w:rPr>
          <w:b/>
          <w:sz w:val="24"/>
          <w:szCs w:val="24"/>
        </w:rPr>
      </w:pPr>
      <w:r w:rsidRPr="00BD52AB">
        <w:rPr>
          <w:b/>
          <w:sz w:val="24"/>
          <w:szCs w:val="24"/>
        </w:rPr>
        <w:t>a)</w:t>
      </w:r>
      <w:r w:rsidR="00CE6D37" w:rsidRPr="00BD52AB">
        <w:rPr>
          <w:b/>
          <w:sz w:val="24"/>
          <w:szCs w:val="24"/>
        </w:rPr>
        <w:t>Iné aktíva a iné pasíva</w:t>
      </w:r>
    </w:p>
    <w:p w:rsidR="00CE6D37" w:rsidRPr="00BD52AB" w:rsidRDefault="00CE6D37" w:rsidP="00CE6D37">
      <w:pPr>
        <w:spacing w:line="360" w:lineRule="auto"/>
        <w:rPr>
          <w:sz w:val="24"/>
          <w:szCs w:val="24"/>
        </w:rPr>
      </w:pPr>
      <w:r w:rsidRPr="00BD52AB">
        <w:rPr>
          <w:sz w:val="24"/>
          <w:szCs w:val="24"/>
        </w:rPr>
        <w:t xml:space="preserve"> Informácie o iných aktívach a iných pasívach sú uvedené v tabuľkovej časti – tabuľka č.23</w:t>
      </w:r>
    </w:p>
    <w:p w:rsidR="00BD52AB" w:rsidRPr="00BD52AB" w:rsidRDefault="00BD52AB" w:rsidP="00BD52AB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b)</w:t>
      </w:r>
      <w:r w:rsidR="00CE6D37" w:rsidRPr="00BD52AB">
        <w:rPr>
          <w:b/>
          <w:sz w:val="24"/>
          <w:szCs w:val="24"/>
        </w:rPr>
        <w:t>Prípadné ďalšie záväzky</w:t>
      </w:r>
      <w:r w:rsidRPr="00BD52AB">
        <w:rPr>
          <w:b/>
          <w:sz w:val="24"/>
          <w:szCs w:val="24"/>
        </w:rPr>
        <w:t>:</w:t>
      </w:r>
      <w:r w:rsidRPr="00BD52AB">
        <w:rPr>
          <w:sz w:val="24"/>
          <w:szCs w:val="24"/>
        </w:rPr>
        <w:t xml:space="preserve"> </w:t>
      </w:r>
    </w:p>
    <w:p w:rsidR="00CE6D37" w:rsidRPr="00BD52AB" w:rsidRDefault="00CE6D37" w:rsidP="00BD52AB">
      <w:pPr>
        <w:spacing w:line="360" w:lineRule="auto"/>
        <w:rPr>
          <w:sz w:val="24"/>
          <w:szCs w:val="24"/>
        </w:rPr>
      </w:pPr>
      <w:r w:rsidRPr="00BD52AB">
        <w:rPr>
          <w:sz w:val="24"/>
          <w:szCs w:val="24"/>
        </w:rPr>
        <w:t xml:space="preserve"> Konsolidovaný celok obce Blatné Remety nemá prípadné ďalšie záväzky, ktoré sa nesledujú v bežnom účtovníctve a neuvádzajú sa v súvahe. </w:t>
      </w:r>
    </w:p>
    <w:p w:rsidR="00CE6D37" w:rsidRPr="00BD52AB" w:rsidRDefault="00BD52AB" w:rsidP="00CE6D37">
      <w:pPr>
        <w:spacing w:line="360" w:lineRule="auto"/>
        <w:rPr>
          <w:sz w:val="24"/>
          <w:szCs w:val="24"/>
        </w:rPr>
      </w:pPr>
      <w:r w:rsidRPr="00BD52AB">
        <w:rPr>
          <w:b/>
          <w:sz w:val="24"/>
          <w:szCs w:val="24"/>
        </w:rPr>
        <w:t>c)</w:t>
      </w:r>
      <w:r w:rsidR="00CE6D37" w:rsidRPr="00BD52AB">
        <w:rPr>
          <w:b/>
          <w:sz w:val="24"/>
          <w:szCs w:val="24"/>
        </w:rPr>
        <w:t xml:space="preserve"> Zoznam nehnuteľných kultúrnych pamiatok</w:t>
      </w:r>
      <w:r w:rsidR="00CE6D37" w:rsidRPr="00BD52AB">
        <w:rPr>
          <w:sz w:val="24"/>
          <w:szCs w:val="24"/>
        </w:rPr>
        <w:t xml:space="preserve"> spravovaných účtovnou jednotkou – tabuľka </w:t>
      </w:r>
      <w:r w:rsidR="004D1E75">
        <w:rPr>
          <w:sz w:val="24"/>
          <w:szCs w:val="24"/>
        </w:rPr>
        <w:t xml:space="preserve">                  </w:t>
      </w:r>
      <w:r w:rsidR="00CE6D37" w:rsidRPr="00BD52AB">
        <w:rPr>
          <w:sz w:val="24"/>
          <w:szCs w:val="24"/>
        </w:rPr>
        <w:t>č. 24</w:t>
      </w:r>
      <w:r w:rsidR="004D1E75">
        <w:rPr>
          <w:sz w:val="24"/>
          <w:szCs w:val="24"/>
        </w:rPr>
        <w:t>.</w:t>
      </w:r>
    </w:p>
    <w:p w:rsidR="00CE6D37" w:rsidRDefault="00CE6D37" w:rsidP="00CE6D37">
      <w:pPr>
        <w:spacing w:line="360" w:lineRule="auto"/>
      </w:pPr>
    </w:p>
    <w:p w:rsidR="00BD52AB" w:rsidRDefault="00CE6D37" w:rsidP="00BD52AB">
      <w:pPr>
        <w:spacing w:line="360" w:lineRule="auto"/>
        <w:jc w:val="center"/>
        <w:rPr>
          <w:b/>
          <w:sz w:val="24"/>
          <w:szCs w:val="24"/>
        </w:rPr>
      </w:pPr>
      <w:r w:rsidRPr="00BD52AB">
        <w:rPr>
          <w:b/>
          <w:sz w:val="24"/>
          <w:szCs w:val="24"/>
        </w:rPr>
        <w:t xml:space="preserve">Čl. V. </w:t>
      </w:r>
      <w:r w:rsidR="00BD52AB">
        <w:rPr>
          <w:b/>
          <w:sz w:val="24"/>
          <w:szCs w:val="24"/>
        </w:rPr>
        <w:t xml:space="preserve">Skutočnosti, ktoré nastali po dni, ku ktorému sa zostavuje účtovná závierka, </w:t>
      </w:r>
    </w:p>
    <w:p w:rsidR="00CE6D37" w:rsidRPr="00BD52AB" w:rsidRDefault="00BD52AB" w:rsidP="00BD52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jej zostavenia</w:t>
      </w:r>
    </w:p>
    <w:p w:rsidR="002A01DA" w:rsidRDefault="002A01DA" w:rsidP="002A01DA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r w:rsidRPr="00264D12">
        <w:rPr>
          <w:sz w:val="24"/>
          <w:szCs w:val="24"/>
        </w:rPr>
        <w:t>Koronavírus</w:t>
      </w:r>
      <w:proofErr w:type="spellEnd"/>
      <w:r w:rsidRPr="00264D12">
        <w:rPr>
          <w:sz w:val="24"/>
          <w:szCs w:val="24"/>
        </w:rPr>
        <w:t xml:space="preserve"> SARS-CoV-2 spôsobujúci ochorenie COVID-19 bol identifikovaný v Číne na konci roka 2019. V prvých mesiacoch roka 2020 sa rozšíril do celého sveta. Prvý potvrdený prípad na Slovensku bol zaznamenaný dňa 06.03.2020. Z dôvodu vzniku ohrozenia verejného zdravia bola na území Slovenskej republiky vyhlásená dňa 11.03.2020 mimoriadna situácia. </w:t>
      </w:r>
    </w:p>
    <w:p w:rsidR="002A01DA" w:rsidRDefault="002A01DA" w:rsidP="002A01D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roku 2020 sa vyskytlo množstvo pozitívnych prípadov v našej obci ale aj blízkom okolí. V súvislosti s týmito skutočnosťami obec zabezpečovala ochranné pomôcky nie len pre zamestnancov  Materskej školy, ktorej je obec zriaďovateľom, ale tak isto sa starala aj o dezinfekciu  na miestnej pošte, maloobchodnej predajni a v externých priestoroch kde pomáhala aj Občianska hliadka Blatné Remety. Zamestnanci sa zamerali na usmerňovanie ľudí aby dodržiavali odstup, používali dezinfekciu rúk a nosili rúška a respirátory. </w:t>
      </w:r>
    </w:p>
    <w:p w:rsidR="002A01DA" w:rsidRDefault="002A01DA" w:rsidP="002A01D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Obec Blatné Remety mala v roku 2020 zvýšené náklady na dezinfekciu, zakúpila občanom a zamestnancom rúška, respirátory.</w:t>
      </w:r>
    </w:p>
    <w:p w:rsidR="00CE6D37" w:rsidRPr="00CE6D37" w:rsidRDefault="00CE6D37" w:rsidP="00CE6D37">
      <w:pPr>
        <w:spacing w:line="360" w:lineRule="auto"/>
        <w:rPr>
          <w:b/>
          <w:sz w:val="24"/>
          <w:szCs w:val="24"/>
        </w:rPr>
      </w:pPr>
    </w:p>
    <w:p w:rsidR="00D4669D" w:rsidRDefault="00C91556" w:rsidP="00D4669D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</w:t>
      </w:r>
      <w:r w:rsidR="00CE6D37">
        <w:rPr>
          <w:rFonts w:ascii="Book Antiqua" w:hAnsi="Book Antiqua" w:cs="Arial"/>
          <w:sz w:val="24"/>
          <w:szCs w:val="24"/>
        </w:rPr>
        <w:t xml:space="preserve">  Blatných Remetách, </w:t>
      </w:r>
      <w:r>
        <w:rPr>
          <w:rFonts w:ascii="Book Antiqua" w:hAnsi="Book Antiqua" w:cs="Arial"/>
          <w:sz w:val="24"/>
          <w:szCs w:val="24"/>
        </w:rPr>
        <w:t xml:space="preserve"> dňa </w:t>
      </w:r>
      <w:r w:rsidR="00594825">
        <w:rPr>
          <w:rFonts w:ascii="Book Antiqua" w:hAnsi="Book Antiqua" w:cs="Arial"/>
          <w:b/>
          <w:sz w:val="24"/>
          <w:szCs w:val="24"/>
        </w:rPr>
        <w:t>18.06.2021</w:t>
      </w:r>
    </w:p>
    <w:p w:rsidR="004D1E75" w:rsidRPr="00402A07" w:rsidRDefault="004D1E75" w:rsidP="00D4669D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4669D" w:rsidRPr="002A4580" w:rsidRDefault="00D4669D" w:rsidP="00D4669D">
      <w:pPr>
        <w:spacing w:line="360" w:lineRule="auto"/>
        <w:jc w:val="both"/>
        <w:rPr>
          <w:b/>
          <w:sz w:val="24"/>
          <w:szCs w:val="24"/>
        </w:rPr>
      </w:pPr>
      <w:r w:rsidRPr="00F265B5">
        <w:rPr>
          <w:sz w:val="24"/>
          <w:szCs w:val="24"/>
        </w:rPr>
        <w:t xml:space="preserve">Vypracovala: </w:t>
      </w:r>
      <w:r w:rsidR="00CE6D37" w:rsidRPr="002A4580">
        <w:rPr>
          <w:b/>
          <w:sz w:val="24"/>
          <w:szCs w:val="24"/>
        </w:rPr>
        <w:t>Žaneta Želinská</w:t>
      </w:r>
      <w:r w:rsidR="00C91556" w:rsidRPr="002A4580">
        <w:rPr>
          <w:b/>
          <w:sz w:val="24"/>
          <w:szCs w:val="24"/>
        </w:rPr>
        <w:t xml:space="preserve"> – administratívna pracovníčka </w:t>
      </w:r>
      <w:proofErr w:type="spellStart"/>
      <w:r w:rsidR="00C91556" w:rsidRPr="002A4580">
        <w:rPr>
          <w:b/>
          <w:sz w:val="24"/>
          <w:szCs w:val="24"/>
        </w:rPr>
        <w:t>OcÚ</w:t>
      </w:r>
      <w:proofErr w:type="spellEnd"/>
    </w:p>
    <w:p w:rsidR="00D4669D" w:rsidRPr="00F265B5" w:rsidRDefault="00D4669D" w:rsidP="00D4669D">
      <w:pPr>
        <w:spacing w:line="360" w:lineRule="auto"/>
        <w:jc w:val="both"/>
        <w:rPr>
          <w:sz w:val="24"/>
          <w:szCs w:val="24"/>
        </w:rPr>
      </w:pPr>
    </w:p>
    <w:p w:rsidR="00D4669D" w:rsidRPr="002A4580" w:rsidRDefault="00C91556" w:rsidP="00D4669D">
      <w:pPr>
        <w:spacing w:line="360" w:lineRule="auto"/>
        <w:jc w:val="both"/>
        <w:rPr>
          <w:b/>
          <w:sz w:val="24"/>
          <w:szCs w:val="24"/>
        </w:rPr>
      </w:pPr>
      <w:r w:rsidRPr="00F265B5">
        <w:rPr>
          <w:sz w:val="24"/>
          <w:szCs w:val="24"/>
        </w:rPr>
        <w:t xml:space="preserve">Schválil: </w:t>
      </w:r>
      <w:r w:rsidR="00CE6D37" w:rsidRPr="002A4580">
        <w:rPr>
          <w:b/>
          <w:sz w:val="24"/>
          <w:szCs w:val="24"/>
        </w:rPr>
        <w:t>Ľuboš Sliško</w:t>
      </w:r>
      <w:r w:rsidR="00D4669D" w:rsidRPr="002A4580">
        <w:rPr>
          <w:b/>
          <w:sz w:val="24"/>
          <w:szCs w:val="24"/>
        </w:rPr>
        <w:t xml:space="preserve">, </w:t>
      </w:r>
      <w:r w:rsidRPr="002A4580">
        <w:rPr>
          <w:b/>
          <w:sz w:val="24"/>
          <w:szCs w:val="24"/>
        </w:rPr>
        <w:t xml:space="preserve">starosta obce </w:t>
      </w:r>
      <w:r w:rsidR="00CE6D37" w:rsidRPr="002A4580">
        <w:rPr>
          <w:b/>
          <w:sz w:val="24"/>
          <w:szCs w:val="24"/>
        </w:rPr>
        <w:t>Blatné Remety</w:t>
      </w:r>
      <w:r w:rsidR="002A4580">
        <w:rPr>
          <w:b/>
          <w:sz w:val="24"/>
          <w:szCs w:val="24"/>
        </w:rPr>
        <w:tab/>
      </w:r>
      <w:r w:rsidR="002A4580">
        <w:rPr>
          <w:b/>
          <w:sz w:val="24"/>
          <w:szCs w:val="24"/>
        </w:rPr>
        <w:tab/>
        <w:t>..................................................</w:t>
      </w:r>
    </w:p>
    <w:p w:rsidR="00423928" w:rsidRPr="000B082D" w:rsidRDefault="00423928" w:rsidP="004239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23928" w:rsidRPr="000B082D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408" w:rsidRDefault="00734408">
      <w:r>
        <w:separator/>
      </w:r>
    </w:p>
  </w:endnote>
  <w:endnote w:type="continuationSeparator" w:id="0">
    <w:p w:rsidR="00734408" w:rsidRDefault="0073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023" w:rsidRDefault="00B65D9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5002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01DA">
      <w:rPr>
        <w:rStyle w:val="slostrany"/>
        <w:noProof/>
      </w:rPr>
      <w:t>10</w:t>
    </w:r>
    <w:r>
      <w:rPr>
        <w:rStyle w:val="slostrany"/>
      </w:rPr>
      <w:fldChar w:fldCharType="end"/>
    </w:r>
  </w:p>
  <w:p w:rsidR="00F50023" w:rsidRDefault="00F5002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408" w:rsidRDefault="00734408">
      <w:r>
        <w:separator/>
      </w:r>
    </w:p>
  </w:footnote>
  <w:footnote w:type="continuationSeparator" w:id="0">
    <w:p w:rsidR="00734408" w:rsidRDefault="00734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2ADC"/>
    <w:multiLevelType w:val="hybridMultilevel"/>
    <w:tmpl w:val="A06A80DA"/>
    <w:lvl w:ilvl="0" w:tplc="752A3F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29681E"/>
    <w:multiLevelType w:val="hybridMultilevel"/>
    <w:tmpl w:val="7458E060"/>
    <w:lvl w:ilvl="0" w:tplc="B798B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D22EA3"/>
    <w:multiLevelType w:val="hybridMultilevel"/>
    <w:tmpl w:val="BE3466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3B7FC1"/>
    <w:multiLevelType w:val="hybridMultilevel"/>
    <w:tmpl w:val="D458DA4C"/>
    <w:lvl w:ilvl="0" w:tplc="B7E8ECD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137CA0"/>
    <w:multiLevelType w:val="hybridMultilevel"/>
    <w:tmpl w:val="8E42ED04"/>
    <w:lvl w:ilvl="0" w:tplc="1A2A26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6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39"/>
  </w:num>
  <w:num w:numId="3">
    <w:abstractNumId w:val="41"/>
  </w:num>
  <w:num w:numId="4">
    <w:abstractNumId w:val="13"/>
  </w:num>
  <w:num w:numId="5">
    <w:abstractNumId w:val="42"/>
  </w:num>
  <w:num w:numId="6">
    <w:abstractNumId w:val="44"/>
  </w:num>
  <w:num w:numId="7">
    <w:abstractNumId w:val="31"/>
  </w:num>
  <w:num w:numId="8">
    <w:abstractNumId w:val="38"/>
  </w:num>
  <w:num w:numId="9">
    <w:abstractNumId w:val="19"/>
  </w:num>
  <w:num w:numId="10">
    <w:abstractNumId w:val="33"/>
  </w:num>
  <w:num w:numId="11">
    <w:abstractNumId w:val="9"/>
  </w:num>
  <w:num w:numId="12">
    <w:abstractNumId w:val="30"/>
  </w:num>
  <w:num w:numId="13">
    <w:abstractNumId w:val="46"/>
  </w:num>
  <w:num w:numId="14">
    <w:abstractNumId w:val="25"/>
  </w:num>
  <w:num w:numId="15">
    <w:abstractNumId w:val="26"/>
  </w:num>
  <w:num w:numId="16">
    <w:abstractNumId w:val="17"/>
  </w:num>
  <w:num w:numId="17">
    <w:abstractNumId w:val="40"/>
  </w:num>
  <w:num w:numId="18">
    <w:abstractNumId w:val="10"/>
  </w:num>
  <w:num w:numId="19">
    <w:abstractNumId w:val="6"/>
  </w:num>
  <w:num w:numId="20">
    <w:abstractNumId w:val="18"/>
  </w:num>
  <w:num w:numId="21">
    <w:abstractNumId w:val="5"/>
  </w:num>
  <w:num w:numId="22">
    <w:abstractNumId w:val="8"/>
  </w:num>
  <w:num w:numId="23">
    <w:abstractNumId w:val="34"/>
  </w:num>
  <w:num w:numId="24">
    <w:abstractNumId w:val="36"/>
  </w:num>
  <w:num w:numId="25">
    <w:abstractNumId w:val="27"/>
  </w:num>
  <w:num w:numId="26">
    <w:abstractNumId w:val="16"/>
  </w:num>
  <w:num w:numId="27">
    <w:abstractNumId w:val="23"/>
  </w:num>
  <w:num w:numId="28">
    <w:abstractNumId w:val="21"/>
  </w:num>
  <w:num w:numId="29">
    <w:abstractNumId w:val="37"/>
  </w:num>
  <w:num w:numId="30">
    <w:abstractNumId w:val="22"/>
  </w:num>
  <w:num w:numId="31">
    <w:abstractNumId w:val="0"/>
  </w:num>
  <w:num w:numId="32">
    <w:abstractNumId w:val="48"/>
  </w:num>
  <w:num w:numId="33">
    <w:abstractNumId w:val="20"/>
  </w:num>
  <w:num w:numId="34">
    <w:abstractNumId w:val="28"/>
  </w:num>
  <w:num w:numId="35">
    <w:abstractNumId w:val="29"/>
  </w:num>
  <w:num w:numId="36">
    <w:abstractNumId w:val="45"/>
  </w:num>
  <w:num w:numId="37">
    <w:abstractNumId w:val="2"/>
  </w:num>
  <w:num w:numId="38">
    <w:abstractNumId w:val="15"/>
  </w:num>
  <w:num w:numId="39">
    <w:abstractNumId w:val="4"/>
  </w:num>
  <w:num w:numId="40">
    <w:abstractNumId w:val="49"/>
  </w:num>
  <w:num w:numId="41">
    <w:abstractNumId w:val="14"/>
  </w:num>
  <w:num w:numId="42">
    <w:abstractNumId w:val="47"/>
  </w:num>
  <w:num w:numId="43">
    <w:abstractNumId w:val="12"/>
  </w:num>
  <w:num w:numId="44">
    <w:abstractNumId w:val="1"/>
  </w:num>
  <w:num w:numId="45">
    <w:abstractNumId w:val="35"/>
  </w:num>
  <w:num w:numId="46">
    <w:abstractNumId w:val="3"/>
  </w:num>
  <w:num w:numId="47">
    <w:abstractNumId w:val="7"/>
  </w:num>
  <w:num w:numId="48">
    <w:abstractNumId w:val="11"/>
  </w:num>
  <w:num w:numId="49">
    <w:abstractNumId w:val="32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48EE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ADE"/>
    <w:rsid w:val="00065BF4"/>
    <w:rsid w:val="00066F45"/>
    <w:rsid w:val="00073181"/>
    <w:rsid w:val="00084E0C"/>
    <w:rsid w:val="0008765A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7097"/>
    <w:rsid w:val="000B082D"/>
    <w:rsid w:val="000B3EC4"/>
    <w:rsid w:val="000B41C9"/>
    <w:rsid w:val="000B4875"/>
    <w:rsid w:val="000B74EE"/>
    <w:rsid w:val="000B7E0C"/>
    <w:rsid w:val="000C1111"/>
    <w:rsid w:val="000C1A80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6F6"/>
    <w:rsid w:val="00100DB4"/>
    <w:rsid w:val="001018A4"/>
    <w:rsid w:val="001056E1"/>
    <w:rsid w:val="00112648"/>
    <w:rsid w:val="0011496E"/>
    <w:rsid w:val="00115AC6"/>
    <w:rsid w:val="00117F00"/>
    <w:rsid w:val="00120BA4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93E"/>
    <w:rsid w:val="00142D96"/>
    <w:rsid w:val="00143E09"/>
    <w:rsid w:val="00146E01"/>
    <w:rsid w:val="00147361"/>
    <w:rsid w:val="00150367"/>
    <w:rsid w:val="00150D5B"/>
    <w:rsid w:val="00153A7B"/>
    <w:rsid w:val="00155237"/>
    <w:rsid w:val="00160828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0B8C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0DAF"/>
    <w:rsid w:val="00191CD7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5A9B"/>
    <w:rsid w:val="001C6631"/>
    <w:rsid w:val="001C6998"/>
    <w:rsid w:val="001D07BF"/>
    <w:rsid w:val="001D1872"/>
    <w:rsid w:val="001D3E99"/>
    <w:rsid w:val="001D727A"/>
    <w:rsid w:val="001E00AA"/>
    <w:rsid w:val="001E07A7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2F48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A2F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4B86"/>
    <w:rsid w:val="00295133"/>
    <w:rsid w:val="00295C4F"/>
    <w:rsid w:val="002966C9"/>
    <w:rsid w:val="00296711"/>
    <w:rsid w:val="0029796E"/>
    <w:rsid w:val="002A01DA"/>
    <w:rsid w:val="002A1975"/>
    <w:rsid w:val="002A4580"/>
    <w:rsid w:val="002A499D"/>
    <w:rsid w:val="002A6743"/>
    <w:rsid w:val="002B21DE"/>
    <w:rsid w:val="002B4847"/>
    <w:rsid w:val="002B4D1C"/>
    <w:rsid w:val="002B5C77"/>
    <w:rsid w:val="002B615A"/>
    <w:rsid w:val="002C0D17"/>
    <w:rsid w:val="002C14AD"/>
    <w:rsid w:val="002C331F"/>
    <w:rsid w:val="002C5EAA"/>
    <w:rsid w:val="002C7F37"/>
    <w:rsid w:val="002D00C9"/>
    <w:rsid w:val="002D5868"/>
    <w:rsid w:val="002D6454"/>
    <w:rsid w:val="002E0AE8"/>
    <w:rsid w:val="002E0E14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6EB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00E7"/>
    <w:rsid w:val="00381316"/>
    <w:rsid w:val="00385410"/>
    <w:rsid w:val="003870BD"/>
    <w:rsid w:val="003917EC"/>
    <w:rsid w:val="00397800"/>
    <w:rsid w:val="003A0D9C"/>
    <w:rsid w:val="003A1ACB"/>
    <w:rsid w:val="003A28B1"/>
    <w:rsid w:val="003A4603"/>
    <w:rsid w:val="003A470A"/>
    <w:rsid w:val="003A6355"/>
    <w:rsid w:val="003A6BC6"/>
    <w:rsid w:val="003A6EF4"/>
    <w:rsid w:val="003B17EB"/>
    <w:rsid w:val="003B2D85"/>
    <w:rsid w:val="003B405E"/>
    <w:rsid w:val="003B508C"/>
    <w:rsid w:val="003B58AD"/>
    <w:rsid w:val="003B7E6B"/>
    <w:rsid w:val="003B7EE6"/>
    <w:rsid w:val="003C087E"/>
    <w:rsid w:val="003C2F06"/>
    <w:rsid w:val="003C3326"/>
    <w:rsid w:val="003C4762"/>
    <w:rsid w:val="003C5D6D"/>
    <w:rsid w:val="003C6C1A"/>
    <w:rsid w:val="003C7865"/>
    <w:rsid w:val="003D1F06"/>
    <w:rsid w:val="003D20EF"/>
    <w:rsid w:val="003D7A95"/>
    <w:rsid w:val="003E0343"/>
    <w:rsid w:val="003E2540"/>
    <w:rsid w:val="003E2E8B"/>
    <w:rsid w:val="003E3641"/>
    <w:rsid w:val="003E3951"/>
    <w:rsid w:val="003E6DDE"/>
    <w:rsid w:val="003F1D27"/>
    <w:rsid w:val="003F37E9"/>
    <w:rsid w:val="003F7A85"/>
    <w:rsid w:val="00400F4F"/>
    <w:rsid w:val="00402A07"/>
    <w:rsid w:val="00403209"/>
    <w:rsid w:val="0040431A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0C1A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4ACE"/>
    <w:rsid w:val="00464D36"/>
    <w:rsid w:val="00471206"/>
    <w:rsid w:val="00471365"/>
    <w:rsid w:val="00474010"/>
    <w:rsid w:val="00474CF1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1831"/>
    <w:rsid w:val="004C278A"/>
    <w:rsid w:val="004C279A"/>
    <w:rsid w:val="004C2A89"/>
    <w:rsid w:val="004C4C7A"/>
    <w:rsid w:val="004C57F4"/>
    <w:rsid w:val="004C5F43"/>
    <w:rsid w:val="004C7847"/>
    <w:rsid w:val="004D1E75"/>
    <w:rsid w:val="004D535C"/>
    <w:rsid w:val="004E123D"/>
    <w:rsid w:val="004E2184"/>
    <w:rsid w:val="004E2194"/>
    <w:rsid w:val="004E3B83"/>
    <w:rsid w:val="004E77E5"/>
    <w:rsid w:val="004F007B"/>
    <w:rsid w:val="004F1C04"/>
    <w:rsid w:val="004F71E5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3764C"/>
    <w:rsid w:val="00540047"/>
    <w:rsid w:val="0054037D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524D"/>
    <w:rsid w:val="00590174"/>
    <w:rsid w:val="00593A92"/>
    <w:rsid w:val="00594825"/>
    <w:rsid w:val="00595034"/>
    <w:rsid w:val="00596449"/>
    <w:rsid w:val="005A03BA"/>
    <w:rsid w:val="005A1345"/>
    <w:rsid w:val="005A2A35"/>
    <w:rsid w:val="005A4B99"/>
    <w:rsid w:val="005A4C8D"/>
    <w:rsid w:val="005A610F"/>
    <w:rsid w:val="005B01E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77A2"/>
    <w:rsid w:val="005E2225"/>
    <w:rsid w:val="005E267B"/>
    <w:rsid w:val="005E604C"/>
    <w:rsid w:val="005E6FE5"/>
    <w:rsid w:val="005F08B2"/>
    <w:rsid w:val="005F2257"/>
    <w:rsid w:val="005F3319"/>
    <w:rsid w:val="005F4B06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0957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15E8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4942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0A2C"/>
    <w:rsid w:val="007150F2"/>
    <w:rsid w:val="007151BF"/>
    <w:rsid w:val="00717B65"/>
    <w:rsid w:val="00720222"/>
    <w:rsid w:val="00723E2E"/>
    <w:rsid w:val="00724046"/>
    <w:rsid w:val="0072440F"/>
    <w:rsid w:val="007259D1"/>
    <w:rsid w:val="007329A6"/>
    <w:rsid w:val="00734408"/>
    <w:rsid w:val="00735C0E"/>
    <w:rsid w:val="00736743"/>
    <w:rsid w:val="00737A65"/>
    <w:rsid w:val="00740C6B"/>
    <w:rsid w:val="007437F7"/>
    <w:rsid w:val="00743AB5"/>
    <w:rsid w:val="00754364"/>
    <w:rsid w:val="0075460E"/>
    <w:rsid w:val="00754903"/>
    <w:rsid w:val="007600DC"/>
    <w:rsid w:val="0076024E"/>
    <w:rsid w:val="00760897"/>
    <w:rsid w:val="00761610"/>
    <w:rsid w:val="0076235B"/>
    <w:rsid w:val="0076458C"/>
    <w:rsid w:val="00765E81"/>
    <w:rsid w:val="0076654E"/>
    <w:rsid w:val="00766641"/>
    <w:rsid w:val="0077227C"/>
    <w:rsid w:val="00783647"/>
    <w:rsid w:val="00783B4F"/>
    <w:rsid w:val="007849FD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C5BC9"/>
    <w:rsid w:val="007C6223"/>
    <w:rsid w:val="007D21C8"/>
    <w:rsid w:val="007D21D5"/>
    <w:rsid w:val="007D2ED3"/>
    <w:rsid w:val="007D39F1"/>
    <w:rsid w:val="007D433B"/>
    <w:rsid w:val="007D798C"/>
    <w:rsid w:val="007E2317"/>
    <w:rsid w:val="007E6A67"/>
    <w:rsid w:val="007E6CA7"/>
    <w:rsid w:val="007F2DB6"/>
    <w:rsid w:val="007F2FEA"/>
    <w:rsid w:val="007F3427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106E1"/>
    <w:rsid w:val="008115A5"/>
    <w:rsid w:val="00814888"/>
    <w:rsid w:val="008152E0"/>
    <w:rsid w:val="00816472"/>
    <w:rsid w:val="008174B1"/>
    <w:rsid w:val="008207DB"/>
    <w:rsid w:val="00820A65"/>
    <w:rsid w:val="00823407"/>
    <w:rsid w:val="00824036"/>
    <w:rsid w:val="00825BD8"/>
    <w:rsid w:val="00826D3F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76F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091D"/>
    <w:rsid w:val="008A1118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D4D"/>
    <w:rsid w:val="009048E9"/>
    <w:rsid w:val="009050EC"/>
    <w:rsid w:val="0090674E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273E5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46F3A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6AD"/>
    <w:rsid w:val="009877DD"/>
    <w:rsid w:val="00991256"/>
    <w:rsid w:val="00993529"/>
    <w:rsid w:val="00993C3A"/>
    <w:rsid w:val="00996B6C"/>
    <w:rsid w:val="00997D62"/>
    <w:rsid w:val="009A1E41"/>
    <w:rsid w:val="009A27BE"/>
    <w:rsid w:val="009A2F30"/>
    <w:rsid w:val="009A39A4"/>
    <w:rsid w:val="009A3E91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A84"/>
    <w:rsid w:val="009E3B89"/>
    <w:rsid w:val="009E5A8D"/>
    <w:rsid w:val="009E75A2"/>
    <w:rsid w:val="009E7B49"/>
    <w:rsid w:val="009F0666"/>
    <w:rsid w:val="009F0B62"/>
    <w:rsid w:val="009F0C1A"/>
    <w:rsid w:val="009F105B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2542"/>
    <w:rsid w:val="00A4312C"/>
    <w:rsid w:val="00A44D6E"/>
    <w:rsid w:val="00A45FC3"/>
    <w:rsid w:val="00A460B0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7B4D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C3881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BEA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2226"/>
    <w:rsid w:val="00B17B7E"/>
    <w:rsid w:val="00B20C9B"/>
    <w:rsid w:val="00B21289"/>
    <w:rsid w:val="00B2557D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5D93"/>
    <w:rsid w:val="00B72215"/>
    <w:rsid w:val="00B72B80"/>
    <w:rsid w:val="00B73C08"/>
    <w:rsid w:val="00B73D7E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90721"/>
    <w:rsid w:val="00B95133"/>
    <w:rsid w:val="00BA0250"/>
    <w:rsid w:val="00BA05E0"/>
    <w:rsid w:val="00BA14C2"/>
    <w:rsid w:val="00BA158A"/>
    <w:rsid w:val="00BA1694"/>
    <w:rsid w:val="00BA18BB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C753E"/>
    <w:rsid w:val="00BC7E1F"/>
    <w:rsid w:val="00BD2364"/>
    <w:rsid w:val="00BD23CD"/>
    <w:rsid w:val="00BD4A13"/>
    <w:rsid w:val="00BD52AB"/>
    <w:rsid w:val="00BD71C6"/>
    <w:rsid w:val="00BE1B53"/>
    <w:rsid w:val="00BE64EF"/>
    <w:rsid w:val="00BF2DFA"/>
    <w:rsid w:val="00BF5715"/>
    <w:rsid w:val="00BF71F6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415A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271"/>
    <w:rsid w:val="00C654F4"/>
    <w:rsid w:val="00C66EF2"/>
    <w:rsid w:val="00C67A03"/>
    <w:rsid w:val="00C67A40"/>
    <w:rsid w:val="00C71CEF"/>
    <w:rsid w:val="00C723D8"/>
    <w:rsid w:val="00C742BB"/>
    <w:rsid w:val="00C74C10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556"/>
    <w:rsid w:val="00C91E48"/>
    <w:rsid w:val="00C93A48"/>
    <w:rsid w:val="00C943BC"/>
    <w:rsid w:val="00C955FA"/>
    <w:rsid w:val="00C97448"/>
    <w:rsid w:val="00CB038D"/>
    <w:rsid w:val="00CB0AFA"/>
    <w:rsid w:val="00CB15AD"/>
    <w:rsid w:val="00CB1B0B"/>
    <w:rsid w:val="00CB2991"/>
    <w:rsid w:val="00CB3486"/>
    <w:rsid w:val="00CB5678"/>
    <w:rsid w:val="00CB5757"/>
    <w:rsid w:val="00CB588C"/>
    <w:rsid w:val="00CB6793"/>
    <w:rsid w:val="00CC1709"/>
    <w:rsid w:val="00CC1C46"/>
    <w:rsid w:val="00CC219B"/>
    <w:rsid w:val="00CC3184"/>
    <w:rsid w:val="00CC4101"/>
    <w:rsid w:val="00CC5302"/>
    <w:rsid w:val="00CC5795"/>
    <w:rsid w:val="00CC6298"/>
    <w:rsid w:val="00CC728B"/>
    <w:rsid w:val="00CC72DD"/>
    <w:rsid w:val="00CC7E3B"/>
    <w:rsid w:val="00CD1542"/>
    <w:rsid w:val="00CD34C7"/>
    <w:rsid w:val="00CD4BDE"/>
    <w:rsid w:val="00CE15F9"/>
    <w:rsid w:val="00CE2467"/>
    <w:rsid w:val="00CE5157"/>
    <w:rsid w:val="00CE5477"/>
    <w:rsid w:val="00CE67A8"/>
    <w:rsid w:val="00CE6D37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2CDB"/>
    <w:rsid w:val="00D74974"/>
    <w:rsid w:val="00D74C01"/>
    <w:rsid w:val="00D77293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7A8A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33B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BC1"/>
    <w:rsid w:val="00E22DD2"/>
    <w:rsid w:val="00E263C4"/>
    <w:rsid w:val="00E27EC2"/>
    <w:rsid w:val="00E31B3E"/>
    <w:rsid w:val="00E32710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7765E"/>
    <w:rsid w:val="00E82787"/>
    <w:rsid w:val="00E84016"/>
    <w:rsid w:val="00E84D0C"/>
    <w:rsid w:val="00E85C5F"/>
    <w:rsid w:val="00E86A55"/>
    <w:rsid w:val="00E919FC"/>
    <w:rsid w:val="00E91F16"/>
    <w:rsid w:val="00E94F6D"/>
    <w:rsid w:val="00E9644A"/>
    <w:rsid w:val="00E9707C"/>
    <w:rsid w:val="00E979C8"/>
    <w:rsid w:val="00E97EC3"/>
    <w:rsid w:val="00EA190B"/>
    <w:rsid w:val="00EA1BDF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477C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1EA5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BED"/>
    <w:rsid w:val="00F265B5"/>
    <w:rsid w:val="00F275BA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569AA"/>
    <w:rsid w:val="00F61098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2B89"/>
    <w:rsid w:val="00F8726E"/>
    <w:rsid w:val="00F90935"/>
    <w:rsid w:val="00F92A6F"/>
    <w:rsid w:val="00F93CFC"/>
    <w:rsid w:val="00F95813"/>
    <w:rsid w:val="00F96974"/>
    <w:rsid w:val="00FA029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DE1"/>
    <w:rsid w:val="00FE3FFB"/>
    <w:rsid w:val="00FE6D96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220FC"/>
  <w15:docId w15:val="{666165AF-D9C6-4356-B1B9-E600A231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qFormat/>
    <w:rsid w:val="009E7B49"/>
    <w:pPr>
      <w:keepNext/>
      <w:jc w:val="center"/>
      <w:outlineLvl w:val="0"/>
    </w:pPr>
    <w:rPr>
      <w:b/>
      <w:sz w:val="36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B65D9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5D9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B65D93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B65D93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10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</cp:lastModifiedBy>
  <cp:revision>3</cp:revision>
  <cp:lastPrinted>2016-06-10T08:15:00Z</cp:lastPrinted>
  <dcterms:created xsi:type="dcterms:W3CDTF">2021-06-18T13:15:00Z</dcterms:created>
  <dcterms:modified xsi:type="dcterms:W3CDTF">2021-06-18T15:45:00Z</dcterms:modified>
</cp:coreProperties>
</file>