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ind w:left="426" w:hanging="426"/>
        <w:jc w:val="center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 - Všeobecné údaje</w:t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>I.1</w:t>
        <w:tab/>
        <w:t xml:space="preserve">Názov právnickej osoby </w:t>
      </w:r>
      <w:r>
        <w:rPr>
          <w:rFonts w:cs="Arial" w:ascii="Cambria" w:hAnsi="Cambria"/>
          <w:i/>
        </w:rPr>
        <w:t xml:space="preserve">alebo </w:t>
      </w:r>
      <w:r>
        <w:rPr>
          <w:rFonts w:cs="Arial" w:ascii="Cambria" w:hAnsi="Cambria"/>
          <w:b/>
          <w:i/>
        </w:rPr>
        <w:t>Meno a priezvisko fyzickej osoby</w:t>
      </w:r>
      <w:r>
        <w:rPr>
          <w:rFonts w:cs="Arial" w:ascii="Cambria" w:hAnsi="Cambria"/>
          <w:b/>
        </w:rPr>
        <w:t xml:space="preserve">: </w:t>
      </w:r>
      <w:r>
        <w:fldChar w:fldCharType="begin">
          <w:ffData>
            <w:name w:val="Text19"/>
            <w:enabled/>
            <w:calcOnExit w:val="0"/>
            <w:textInput/>
          </w:ffData>
        </w:fldChar>
      </w:r>
      <w:r>
        <w:rPr>
          <w:b/>
          <w:rFonts w:cs="Arial" w:ascii="Cambria" w:hAnsi="Cambria"/>
        </w:rPr>
        <w:instrText> FORMTEXT </w:instrText>
      </w:r>
      <w:r>
        <w:rPr>
          <w:rFonts w:cs="Arial" w:ascii="Cambria" w:hAnsi="Cambria"/>
          <w:b/>
        </w:rPr>
      </w:r>
      <w:r>
        <w:rPr>
          <w:b/>
          <w:rFonts w:cs="Arial" w:ascii="Cambria" w:hAnsi="Cambria"/>
        </w:rPr>
        <w:fldChar w:fldCharType="separate"/>
      </w:r>
      <w:r>
        <w:rPr>
          <w:rFonts w:cs="Arial" w:ascii="Cambria" w:hAnsi="Cambria"/>
          <w:b/>
        </w:rPr>
      </w:r>
      <w:bookmarkStart w:id="0" w:name="Text191"/>
      <w:r>
        <w:rPr>
          <w:rFonts w:ascii="Cambria" w:hAnsi="Cambria"/>
        </w:rPr>
        <w:t> HEST s.r.o.    </w:t>
      </w:r>
      <w:r>
        <w:rPr>
          <w:rFonts w:cs="Arial" w:ascii="Cambria" w:hAnsi="Cambria"/>
          <w:b/>
        </w:rPr>
      </w:r>
      <w:r>
        <w:rPr>
          <w:b/>
          <w:rFonts w:cs="Arial" w:ascii="Cambria" w:hAnsi="Cambria"/>
        </w:rPr>
        <w:fldChar w:fldCharType="end"/>
      </w:r>
      <w:bookmarkEnd w:id="0"/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b/>
        </w:rPr>
        <w:t xml:space="preserve">         </w:t>
      </w:r>
      <w:r>
        <w:rPr>
          <w:rFonts w:cs="Arial" w:ascii="Cambria" w:hAnsi="Cambria"/>
          <w:i/>
        </w:rPr>
        <w:t>(vyberte prosím, nepotrebný variant odstráňte)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ab/>
        <w:t>Sídlo účtovnej jednotky</w:t>
      </w:r>
      <w:r>
        <w:rPr>
          <w:rFonts w:cs="Arial" w:ascii="Cambria" w:hAnsi="Cambria"/>
        </w:rPr>
        <w:t xml:space="preserve">: </w:t>
      </w:r>
      <w: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cs="Arial" w:ascii="Cambria" w:hAnsi="Cambria"/>
        </w:rPr>
        <w:instrText> FORMTEXT </w:instrText>
      </w:r>
      <w:r>
        <w:rPr>
          <w:rFonts w:cs="Arial" w:ascii="Cambria" w:hAnsi="Cambria"/>
        </w:rPr>
      </w:r>
      <w:r>
        <w:rPr>
          <w:rFonts w:cs="Arial" w:ascii="Cambria" w:hAnsi="Cambria"/>
        </w:rPr>
        <w:fldChar w:fldCharType="separate"/>
      </w:r>
      <w:r>
        <w:rPr>
          <w:rFonts w:cs="Arial" w:ascii="Cambria" w:hAnsi="Cambria"/>
        </w:rPr>
      </w:r>
      <w:bookmarkStart w:id="1" w:name="Text201"/>
      <w:r>
        <w:rPr>
          <w:rFonts w:cs="Arial" w:ascii="Cambria" w:hAnsi="Cambria"/>
        </w:rPr>
        <w:t xml:space="preserve"> Slovenského národného povst. 73, Nová Dubnica</w:t>
      </w:r>
      <w:r>
        <w:rPr>
          <w:rFonts w:ascii="Cambria" w:hAnsi="Cambria"/>
        </w:rPr>
        <w:t>     </w:t>
      </w:r>
      <w:r>
        <w:rPr>
          <w:rFonts w:cs="Arial" w:ascii="Cambria" w:hAnsi="Cambria"/>
        </w:rPr>
      </w:r>
      <w:r>
        <w:rPr>
          <w:rFonts w:cs="Arial" w:ascii="Cambria" w:hAnsi="Cambria"/>
        </w:rPr>
        <w:fldChar w:fldCharType="end"/>
      </w:r>
      <w:bookmarkEnd w:id="1"/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  <w:t xml:space="preserve">         </w:t>
      </w:r>
      <w:r>
        <w:rPr>
          <w:rFonts w:cs="Arial" w:ascii="Cambria" w:hAnsi="Cambria"/>
          <w:i/>
        </w:rPr>
        <w:t>(sídlo právnickej osoby alebo miesto podnikania FO)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</w:rPr>
        <w:tab/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I.2</w:t>
        <w:tab/>
        <w:t>Údaje o konsolidovanom celku, ak je účtovná jednotka jeho súčasťou: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contextualSpacing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 w:val="false"/>
          <w:bCs w:val="false"/>
          <w:sz w:val="20"/>
          <w:szCs w:val="20"/>
        </w:rPr>
        <w:t>ÚJ nemá náplň pre túto položku. </w:t>
      </w:r>
      <w:r>
        <w:rPr>
          <w:rFonts w:cs="Arial" w:ascii="Cambria" w:hAnsi="Cambria"/>
          <w:b/>
          <w:sz w:val="20"/>
          <w:szCs w:val="20"/>
        </w:rPr>
        <w:t xml:space="preserve">   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> FORMTEXT </w:instrTex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separate"/>
      </w:r>
      <w:r>
        <w:rPr>
          <w:rFonts w:cs="Arial" w:ascii="Cambria" w:hAnsi="Cambria"/>
          <w:b/>
          <w:sz w:val="20"/>
          <w:szCs w:val="20"/>
        </w:rPr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end"/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> FORMTEXT </w:instrTex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separate"/>
      </w:r>
      <w:r>
        <w:rPr>
          <w:rFonts w:cs="Arial" w:ascii="Cambria" w:hAnsi="Cambria"/>
          <w:b/>
          <w:sz w:val="20"/>
          <w:szCs w:val="20"/>
        </w:rPr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end"/>
      </w:r>
    </w:p>
    <w:p>
      <w:pPr>
        <w:pStyle w:val="Normal"/>
        <w:spacing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b)    </w:t>
      </w:r>
      <w:r>
        <w:rPr>
          <w:rFonts w:cs="Arial" w:ascii="Cambria" w:hAnsi="Cambria"/>
          <w:sz w:val="20"/>
          <w:szCs w:val="20"/>
        </w:rPr>
        <w:t>A.</w:t>
      </w:r>
      <w:r>
        <w:rPr>
          <w:rFonts w:cs="Arial" w:ascii="Cambria" w:hAnsi="Cambria"/>
          <w:b/>
          <w:sz w:val="20"/>
          <w:szCs w:val="20"/>
        </w:rPr>
        <w:t xml:space="preserve">    </w:t>
      </w:r>
      <w:r>
        <w:rPr>
          <w:rFonts w:cs="Arial" w:ascii="Cambria" w:hAnsi="Cambria"/>
          <w:sz w:val="20"/>
          <w:szCs w:val="20"/>
        </w:rPr>
        <w:t xml:space="preserve">je </w:t>
      </w:r>
      <w:r>
        <w:rPr>
          <w:rFonts w:cs="Arial" w:ascii="Cambria" w:hAnsi="Cambria"/>
          <w:b/>
          <w:sz w:val="20"/>
          <w:szCs w:val="20"/>
        </w:rPr>
        <w:t xml:space="preserve"> </w:t>
      </w:r>
      <w:r>
        <w:rPr>
          <w:rFonts w:cs="Arial" w:ascii="Cambria" w:hAnsi="Cambria"/>
          <w:sz w:val="20"/>
          <w:szCs w:val="20"/>
        </w:rPr>
        <w:t>účtovná jednotka  materskou účtovnou jednotkou</w:t>
      </w:r>
      <w:r>
        <w:rPr>
          <w:rFonts w:cs="Arial" w:ascii="Cambria" w:hAnsi="Cambria"/>
          <w:b/>
          <w:sz w:val="20"/>
          <w:szCs w:val="20"/>
        </w:rPr>
        <w:t xml:space="preserve">: </w:t>
      </w:r>
      <w:sdt>
        <w:sdtPr>
          <w:alias w:val=""/>
          <w:dropDownList w:lastValue="2">
            <w:listItem w:value="vyberte" w:displayText="vyberte"/>
            <w:listItem w:value="áno" w:displayText="áno"/>
            <w:listItem w:value="nie" w:displayText="nie"/>
          </w:dropDownList>
        </w:sdtPr>
        <w:sdtContent>
          <w:r>
            <w:rPr/>
          </w:r>
          <w:r>
            <w:t>nie</w:t>
          </w:r>
        </w:sdtContent>
      </w:sdt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cs="Arial" w:ascii="Cambria" w:hAnsi="Cambria" w:asciiTheme="majorHAnsi" w:hAnsiTheme="majorHAnsi"/>
          <w:sz w:val="20"/>
          <w:szCs w:val="20"/>
        </w:rPr>
        <w:t>konsolidovanú výročnú správu podľa § 22 zákona o účtovníctve a to:</w:t>
      </w:r>
    </w:p>
    <w:p>
      <w:pPr>
        <w:pStyle w:val="ListParagraph"/>
        <w:spacing w:lineRule="auto" w:line="240" w:before="0" w:after="0"/>
        <w:ind w:left="851" w:hanging="0"/>
        <w:contextualSpacing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bookmarkStart w:id="2" w:name="__DdeLink__1325_1810541364"/>
      <w:bookmarkEnd w:id="2"/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asciiTheme="majorHAnsi" w:hAnsiTheme="majorHAnsi"/>
          <w:b w:val="false"/>
          <w:b w:val="false"/>
          <w:bCs w:val="false"/>
          <w:sz w:val="20"/>
          <w:szCs w:val="20"/>
        </w:rPr>
      </w:pPr>
      <w:r>
        <w:rPr>
          <w:rFonts w:asciiTheme="majorHAnsi" w:hAnsiTheme="majorHAnsi" w:ascii="Cambria" w:hAnsi="Cambria"/>
          <w:b w:val="false"/>
          <w:bCs w:val="false"/>
          <w:sz w:val="20"/>
          <w:szCs w:val="20"/>
        </w:rPr>
      </w:r>
      <w:bookmarkStart w:id="3" w:name="__DdeLink__1325_18105413641"/>
      <w:bookmarkStart w:id="4" w:name="__DdeLink__1325_18105413641"/>
      <w:bookmarkEnd w:id="4"/>
    </w:p>
    <w:p>
      <w:pPr>
        <w:pStyle w:val="Normal"/>
        <w:spacing w:lineRule="auto" w:line="240" w:before="0" w:after="0"/>
        <w:ind w:left="426" w:hanging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170_1810541364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> FORMTEXT </w:instrTex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separate"/>
      </w:r>
      <w:r>
        <w:rPr>
          <w:rFonts w:cs="Arial" w:ascii="Cambria" w:hAnsi="Cambria"/>
          <w:b/>
          <w:sz w:val="20"/>
          <w:szCs w:val="20"/>
        </w:rPr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end"/>
      </w:r>
    </w:p>
    <w:p>
      <w:pPr>
        <w:pStyle w:val="Normal"/>
        <w:spacing w:before="0" w:after="0"/>
        <w:ind w:hanging="0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179_1810541364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> FORMTEXT </w:instrTex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separate"/>
      </w:r>
      <w:r>
        <w:rPr>
          <w:rFonts w:cs="Arial" w:ascii="Cambria" w:hAnsi="Cambria"/>
          <w:b/>
          <w:sz w:val="20"/>
          <w:szCs w:val="20"/>
        </w:rPr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end"/>
      </w:r>
    </w:p>
    <w:p>
      <w:pPr>
        <w:pStyle w:val="Normal"/>
        <w:spacing w:before="0" w:after="0"/>
        <w:ind w:hanging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>I.3</w:t>
        <w:tab/>
        <w:t>Informácie o počte zamestnancov:</w:t>
      </w:r>
    </w:p>
    <w:p>
      <w:pPr>
        <w:pStyle w:val="ListParagraph"/>
        <w:spacing w:lineRule="auto" w:line="240" w:before="0" w:after="0"/>
        <w:ind w:left="426" w:hanging="426"/>
        <w:contextualSpacing/>
        <w:jc w:val="both"/>
        <w:rPr>
          <w:rFonts w:ascii="Cambria" w:hAnsi="Cambria" w:cs="Arial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tbl>
      <w:tblPr>
        <w:tblStyle w:val="TableGrid"/>
        <w:tblW w:w="901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3"/>
        <w:gridCol w:w="2381"/>
        <w:gridCol w:w="2381"/>
      </w:tblGrid>
      <w:tr>
        <w:trPr/>
        <w:tc>
          <w:tcPr>
            <w:tcW w:w="4253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0"/>
              </w:rPr>
              <w:t>Bežné</w:t>
            </w:r>
          </w:p>
          <w:p>
            <w:pPr>
              <w:pStyle w:val="Normal"/>
              <w:widowControl w:val="false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0"/>
              </w:rPr>
              <w:t>Bezprostredne</w:t>
            </w:r>
          </w:p>
          <w:p>
            <w:pPr>
              <w:pStyle w:val="Normal"/>
              <w:widowControl w:val="false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0"/>
              </w:rPr>
              <w:t>predchádzajúce</w:t>
            </w:r>
          </w:p>
          <w:p>
            <w:pPr>
              <w:pStyle w:val="Normal"/>
              <w:widowControl w:val="false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0"/>
              </w:rPr>
              <w:t>účtovné obdobie</w:t>
            </w:r>
          </w:p>
        </w:tc>
      </w:tr>
      <w:tr>
        <w:trPr>
          <w:trHeight w:val="378" w:hRule="atLeast"/>
        </w:trPr>
        <w:tc>
          <w:tcPr>
            <w:tcW w:w="4253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eastAsia="Calibri" w:cs="Arial" w:ascii="Cambria" w:hAnsi="Cambria" w:eastAsiaTheme="minorHAnsi"/>
                <w:b/>
                <w:color w:val="auto"/>
                <w:kern w:val="0"/>
                <w:sz w:val="24"/>
                <w:szCs w:val="24"/>
                <w:lang w:val="sk-SK" w:eastAsia="en-US" w:bidi="ar-SA"/>
              </w:rPr>
              <w:t>4</w:t>
            </w:r>
          </w:p>
        </w:tc>
        <w:tc>
          <w:tcPr>
            <w:tcW w:w="238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kern w:val="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 – Informácie o prijatých postupoch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1 Informácia o splnení predpokladu nepretržitého pokračovania činnosti účtovnej jednotky: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 w:asciiTheme="majorHAnsi" w:hAnsiTheme="majorHAnsi"/>
        </w:rPr>
        <w:t xml:space="preserve">Účtovná jednotka bude nepretržite pokračovať vo svojej činnosti: </w:t>
      </w:r>
      <w:sdt>
        <w:sdtPr>
          <w:alias w:val=""/>
          <w:dropDownList w:lastValue="1">
            <w:listItem w:value="vyberte" w:displayText="vyberte"/>
            <w:listItem w:value="áno" w:displayText="áno"/>
            <w:listItem w:value="nie" w:displayText="nie"/>
          </w:dropDownList>
        </w:sdtPr>
        <w:sdtContent>
          <w:r>
            <w:rPr/>
          </w:r>
          <w:r>
            <w:t>áno</w:t>
          </w:r>
        </w:sdtContent>
      </w:sdt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b/>
          <w:b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2 </w:t>
      </w: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Spôsob oceňovania jednotlivých zložiek majetku a záväzkov: </w:t>
      </w:r>
    </w:p>
    <w:tbl>
      <w:tblPr>
        <w:tblStyle w:val="TableGrid"/>
        <w:tblW w:w="895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21"/>
        <w:gridCol w:w="2064"/>
        <w:gridCol w:w="2269"/>
      </w:tblGrid>
      <w:tr>
        <w:trPr/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</w:rPr>
              <w:t>Náklady spojené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</w:rPr>
              <w:t>s obstaraním</w:t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 xml:space="preserve">ÚJ </w:t>
            </w: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ne</w:t>
            </w: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obstarávala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 xml:space="preserve">ÚJ </w:t>
            </w: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ne</w:t>
            </w: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obstarávala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cs="Arial" w:asciiTheme="majorHAnsi" w:hAnsiTheme="majorHAnsi"/>
        </w:rPr>
      </w:pP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3 Spôsob zostavenia odpisového plánu dlhodobého majetku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TableGrid"/>
        <w:tblW w:w="895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57"/>
        <w:gridCol w:w="2272"/>
        <w:gridCol w:w="2260"/>
        <w:gridCol w:w="2264"/>
      </w:tblGrid>
      <w:tr>
        <w:trPr>
          <w:trHeight w:val="397" w:hRule="atLeast"/>
        </w:trPr>
        <w:tc>
          <w:tcPr>
            <w:tcW w:w="215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</w:rPr>
              <w:t>Odpisová metóda</w:t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  <w:t>-</w:t>
            </w:r>
          </w:p>
        </w:tc>
        <w:tc>
          <w:tcPr>
            <w:tcW w:w="227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-</w:t>
            </w:r>
          </w:p>
        </w:tc>
        <w:tc>
          <w:tcPr>
            <w:tcW w:w="226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Mincho" w:cs="MS Mincho" w:ascii="MS Mincho" w:hAnsi="MS Mincho"/>
              <w:b/>
            </w:rPr>
            <w:t>☐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zostavený účtovnou jednotkou vychádza z predpokladanej doby použiteľnosti dlhodobého nehmotného majetku a/alebo iných objektívnych predpokladov (uviesť)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</w:t>
      </w:r>
      <w:r>
        <w:rPr>
          <w:rFonts w:eastAsia="MS Gothic"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Mincho" w:cs="MS Mincho" w:ascii="MS Mincho" w:hAnsi="MS Mincho"/>
              <w:b/>
            </w:rPr>
            <w:t>x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Ročný účtovný odpis sa môže odlišovať od daňového podľa počtu mesiacov od zaradenia majetku do konca roka.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4  Zmeny účtovných zásad a metód: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Účtovné zásady a metódy boli účtovnou jednotkou konzistentne aplikované v rámci platného zákona o účtovníctve.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TableGrid"/>
        <w:tblW w:w="901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5"/>
        <w:gridCol w:w="2976"/>
        <w:gridCol w:w="3204"/>
      </w:tblGrid>
      <w:tr>
        <w:trPr/>
        <w:tc>
          <w:tcPr>
            <w:tcW w:w="2835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</w:rPr>
              <w:t>Druh zmeny zásady</w:t>
            </w:r>
          </w:p>
          <w:p>
            <w:pPr>
              <w:pStyle w:val="Normal"/>
              <w:widowControl w:val="false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Arial" w:ascii="Cambria" w:hAnsi="Cambria"/>
                <w:b w:val="false"/>
                <w:bCs w:val="false"/>
                <w:kern w:val="0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kern w:val="0"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kern w:val="0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kern w:val="0"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kern w:val="0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kern w:val="0"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kern w:val="0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kern w:val="0"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kern w:val="0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kern w:val="0"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kern w:val="0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kern w:val="0"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kern w:val="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5 Dotácie poskytnuté na obstaranie majetku: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Style w:val="TableGrid"/>
        <w:tblW w:w="895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15"/>
        <w:gridCol w:w="3023"/>
        <w:gridCol w:w="3017"/>
      </w:tblGrid>
      <w:tr>
        <w:trPr>
          <w:trHeight w:val="394" w:hRule="atLeast"/>
        </w:trPr>
        <w:tc>
          <w:tcPr>
            <w:tcW w:w="2915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Majetok obstaraný z dotácie</w:t>
            </w:r>
          </w:p>
        </w:tc>
        <w:tc>
          <w:tcPr>
            <w:tcW w:w="3023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Výška dotácie</w:t>
            </w:r>
          </w:p>
        </w:tc>
      </w:tr>
      <w:tr>
        <w:trPr>
          <w:trHeight w:val="397" w:hRule="atLeast"/>
        </w:trPr>
        <w:tc>
          <w:tcPr>
            <w:tcW w:w="2915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  <w:tc>
          <w:tcPr>
            <w:tcW w:w="3023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15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  <w:tc>
          <w:tcPr>
            <w:tcW w:w="3023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15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  <w:tc>
          <w:tcPr>
            <w:tcW w:w="3023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asciiTheme="majorHAnsi" w:hAnsiTheme="majorHAnsi"/>
          <w:b w:val="false"/>
          <w:b w:val="false"/>
          <w:bCs w:val="false"/>
          <w:sz w:val="20"/>
          <w:szCs w:val="20"/>
        </w:rPr>
      </w:pPr>
      <w:r>
        <w:rPr>
          <w:rFonts w:asciiTheme="majorHAnsi" w:hAnsiTheme="majorHAnsi" w:ascii="Cambria" w:hAnsi="Cambria"/>
          <w:b w:val="false"/>
          <w:bCs w:val="false"/>
          <w:sz w:val="20"/>
          <w:szCs w:val="20"/>
        </w:rPr>
      </w:r>
    </w:p>
    <w:p>
      <w:pPr>
        <w:pStyle w:val="Normal"/>
        <w:spacing w:lineRule="auto" w:line="240" w:before="240" w:after="20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6 Oprava významných a nevýznamných chýb minulých účtovných období vykonaných v bežnom účtovnom období: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Style w:val="TableGrid"/>
        <w:tblW w:w="895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25"/>
        <w:gridCol w:w="3007"/>
        <w:gridCol w:w="3022"/>
      </w:tblGrid>
      <w:tr>
        <w:trPr>
          <w:trHeight w:val="397" w:hRule="atLeast"/>
        </w:trPr>
        <w:tc>
          <w:tcPr>
            <w:tcW w:w="2925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Suma</w:t>
            </w:r>
          </w:p>
        </w:tc>
        <w:tc>
          <w:tcPr>
            <w:tcW w:w="3022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Popis chyby a vplyvu opravy na nerozdelený VH, resp. VH bežného ú. o.</w:t>
            </w:r>
          </w:p>
        </w:tc>
      </w:tr>
      <w:tr>
        <w:trPr>
          <w:trHeight w:val="397" w:hRule="atLeast"/>
        </w:trPr>
        <w:tc>
          <w:tcPr>
            <w:tcW w:w="2925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 xml:space="preserve">Oprava </w:t>
            </w: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</w:rPr>
              <w:t>významných</w:t>
            </w: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25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 xml:space="preserve">Oprava </w:t>
            </w: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</w:rPr>
              <w:t>nevýznamných</w:t>
            </w: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eastAsia="MS Gothic" w:cs="Arial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TableGrid"/>
        <w:tblW w:w="9042" w:type="dxa"/>
        <w:jc w:val="left"/>
        <w:tblInd w:w="0" w:type="dxa"/>
        <w:tblLayout w:type="fixed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2834"/>
        <w:gridCol w:w="2821"/>
      </w:tblGrid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kern w:val="0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kern w:val="0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1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kern w:val="0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kern w:val="0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1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kern w:val="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kern w:val="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kern w:val="0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kern w:val="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kern w:val="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kern w:val="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 Hodnota záväzkov zabezpečená záložným právom:</w:t>
      </w:r>
    </w:p>
    <w:tbl>
      <w:tblPr>
        <w:tblStyle w:val="TableGrid"/>
        <w:tblW w:w="9042" w:type="dxa"/>
        <w:jc w:val="left"/>
        <w:tblInd w:w="0" w:type="dxa"/>
        <w:tblLayout w:type="fixed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3118"/>
        <w:gridCol w:w="2537"/>
      </w:tblGrid>
      <w:tr>
        <w:trPr/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kern w:val="0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right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kern w:val="0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lef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8" w:type="dxa"/>
            <w:tcBorders>
              <w:bottom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kern w:val="0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7" w:type="dxa"/>
            <w:tcBorders>
              <w:bottom w:val="single" w:sz="12" w:space="0" w:color="00000A"/>
              <w:right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kern w:val="0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8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7" w:type="dxa"/>
            <w:tcBorders>
              <w:top w:val="single" w:sz="12" w:space="0" w:color="00000A"/>
              <w:right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7" w:type="dxa"/>
            <w:tcBorders>
              <w:right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7" w:type="dxa"/>
            <w:tcBorders>
              <w:right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7" w:type="dxa"/>
            <w:tcBorders>
              <w:right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left w:val="single" w:sz="12" w:space="0" w:color="00000A"/>
              <w:bottom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8" w:type="dxa"/>
            <w:tcBorders>
              <w:bottom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7" w:type="dxa"/>
            <w:tcBorders>
              <w:bottom w:val="single" w:sz="12" w:space="0" w:color="00000A"/>
              <w:right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Pomôcka: § 123 Obchodného zákonníka ustanovuje Práva a povinnosti spoločníkov, odsek 2 dopĺňa možnosť vyplácania zisku o právo rozdeliť  iné vlastné zdroje len pri splnení podmienok § 179 ods. 3 a 4 (hrozba úpadku). 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c) 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 w:before="240" w:after="200"/>
        <w:ind w:right="-141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  <w:r>
        <w:rPr>
          <w:rFonts w:eastAsia="MS Gothic"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240" w:after="200"/>
        <w:ind w:right="-141" w:hanging="0"/>
        <w:jc w:val="both"/>
        <w:rPr>
          <w:rFonts w:ascii="Cambria" w:hAnsi="Cambria" w:eastAsia="MS Gothic" w:cs="Arial" w:asciiTheme="majorHAnsi" w:hAnsiTheme="majorHAnsi"/>
          <w:b w:val="false"/>
          <w:b w:val="false"/>
          <w:bCs w:val="false"/>
          <w:sz w:val="20"/>
          <w:szCs w:val="20"/>
        </w:rPr>
      </w:pPr>
      <w:r>
        <w:rPr>
          <w:rFonts w:eastAsia="MS Gothic" w:cs="Arial" w:ascii="Cambria" w:hAnsi="Cambria"/>
          <w:b w:val="false"/>
          <w:bCs w:val="false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6 b) Informácie o významných podmienených záväzkoch</w:t>
      </w:r>
    </w:p>
    <w:tbl>
      <w:tblPr>
        <w:tblStyle w:val="TableGrid"/>
        <w:tblW w:w="9042" w:type="dxa"/>
        <w:jc w:val="left"/>
        <w:tblInd w:w="0" w:type="dxa"/>
        <w:tblLayout w:type="fixed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kern w:val="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fill="auto" w:val="clear"/>
            <w:tcMar>
              <w:left w:w="10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kern w:val="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3014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kern w:val="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fill="auto" w:val="clear"/>
            <w:tcMar>
              <w:left w:w="10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kern w:val="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tcMar>
              <w:left w:w="10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kern w:val="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kern w:val="0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kern w:val="0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kern w:val="0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 predpisov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kern w:val="0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kern w:val="0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kern w:val="0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120" w:after="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e) 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240" w:after="200"/>
        <w:ind w:right="-141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asciiTheme="majorHAnsi" w:hAnsiTheme="majorHAnsi"/>
          <w:b w:val="false"/>
          <w:b w:val="false"/>
          <w:bCs w:val="false"/>
          <w:sz w:val="20"/>
          <w:szCs w:val="20"/>
        </w:rPr>
      </w:pPr>
      <w:r>
        <w:rPr>
          <w:rFonts w:asciiTheme="majorHAnsi" w:hAnsiTheme="majorHAnsi" w:ascii="Cambria" w:hAnsi="Cambria"/>
          <w:b w:val="false"/>
          <w:bCs w:val="false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right"/>
        <w:rPr>
          <w:rFonts w:ascii="Cambria" w:hAnsi="Cambria" w:eastAsia="MS Gothic" w:cs="Arial" w:asciiTheme="majorHAnsi" w:hAnsiTheme="majorHAnsi"/>
          <w:b/>
          <w:b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S Mincho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718220421"/>
      <w:alias w:val="Title"/>
    </w:sdtPr>
    <w:sdtContent>
      <w:p>
        <w:pPr>
          <w:pStyle w:val="Pta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Zhlavie"/>
      <w:jc w:val="right"/>
      <w:rPr>
        <w:color w:val="365F91" w:themeColor="accent1" w:themeShade="bf"/>
        <w:sz w:val="36"/>
        <w:szCs w:val="36"/>
      </w:rPr>
    </w:pPr>
    <w:r>
      <mc:AlternateContent>
        <mc:Choice Requires="wpg">
          <w:drawing>
            <wp:anchor behindDoc="1" distT="0" distB="0" distL="0" distR="0" simplePos="0" locked="0" layoutInCell="0" allowOverlap="1" relativeHeight="7" wp14:anchorId="6CCD746A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3966210" cy="1555115"/>
              <wp:effectExtent l="0" t="57150" r="35170" b="25136"/>
              <wp:wrapNone/>
              <wp:docPr id="1" name="Group 6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65400" cy="1554480"/>
                      </a:xfrm>
                    </wpg:grpSpPr>
                    <wps:wsp>
                      <wps:cNvSpPr/>
                      <wps:spPr>
                        <a:xfrm flipV="1">
                          <a:off x="520560" y="0"/>
                          <a:ext cx="3444840" cy="932760"/>
                        </a:xfrm>
                        <a:prstGeom prst="line">
                          <a:avLst/>
                        </a:prstGeom>
                        <a:ln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 rot="21122400">
                          <a:off x="0" y="577080"/>
                          <a:ext cx="1767240" cy="7398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0"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dir="t" rig="twoPt"/>
                        </a:scene3d>
                        <a:sp3d>
                          <a:bevelT prst="riblet" w="1016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id="shape_0" alt="Group 63" style="position:absolute;margin-left:3.35pt;margin-top:0pt;width:308.8pt;height:113pt" coordorigin="67,0" coordsize="6176,2260">
              <v:line id="shape_0" from="820,0" to="6244,1468" stroked="t" style="position:absolute;flip:y;mso-position-horizontal:left;mso-position-horizontal-relative:page;mso-position-vertical:top;mso-position-vertical-relative:page">
                <v:stroke color="#95b3d7" weight="9360" joinstyle="round" endcap="flat"/>
                <v:fill o:detectmouseclick="t" on="false"/>
                <w10:wrap type="none"/>
              </v:line>
              <v:oval id="shape_0" path="l-2147483648,-2147483643l-2147483628,-2147483627l-2147483648,-2147483643l-2147483626,-2147483625xe" fillcolor="#b6cef0" stroked="f" style="position:absolute;left:67;top:1096;width:2782;height:1164;mso-wrap-style:none;v-text-anchor:middle;rotation:352;mso-position-horizontal:left;mso-position-horizontal-relative:page;mso-position-vertical:top;mso-position-vertical-relative:page">
                <v:fill o:detectmouseclick="t" color2="#d1e0f5"/>
                <v:stroke color="#3465a4" weight="25560" joinstyle="round" endcap="flat"/>
              </v:oval>
            </v:group>
          </w:pict>
        </mc:Fallback>
      </mc:AlternateContent>
    </w:r>
    <w:r>
      <w:rPr>
        <w:rFonts w:ascii="Cambria" w:hAnsi="Cambria" w:asciiTheme="majorHAnsi" w:hAnsiTheme="majorHAnsi"/>
        <w:sz w:val="36"/>
        <w:szCs w:val="36"/>
      </w:rPr>
      <w:t>Poznámky Úč MÚJ 3 - 01</w:t>
    </w:r>
  </w:p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tbl>
    <w:tblPr>
      <w:tblStyle w:val="TableGrid"/>
      <w:tblW w:w="7212" w:type="dxa"/>
      <w:jc w:val="righ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623"/>
      <w:gridCol w:w="284"/>
      <w:gridCol w:w="285"/>
      <w:gridCol w:w="284"/>
      <w:gridCol w:w="284"/>
      <w:gridCol w:w="284"/>
      <w:gridCol w:w="284"/>
      <w:gridCol w:w="284"/>
      <w:gridCol w:w="285"/>
      <w:gridCol w:w="851"/>
      <w:gridCol w:w="623"/>
      <w:gridCol w:w="286"/>
      <w:gridCol w:w="284"/>
      <w:gridCol w:w="284"/>
      <w:gridCol w:w="284"/>
      <w:gridCol w:w="284"/>
      <w:gridCol w:w="284"/>
      <w:gridCol w:w="284"/>
      <w:gridCol w:w="285"/>
      <w:gridCol w:w="284"/>
      <w:gridCol w:w="280"/>
    </w:tblGrid>
    <w:tr>
      <w:trPr>
        <w:trHeight w:val="340" w:hRule="atLeast"/>
      </w:trPr>
      <w:tc>
        <w:tcPr>
          <w:tcW w:w="623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IČO: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4</w:t>
          </w:r>
        </w:p>
      </w:tc>
      <w:tc>
        <w:tcPr>
          <w:tcW w:w="285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7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8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7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8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0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8</w:t>
          </w:r>
        </w:p>
      </w:tc>
      <w:tc>
        <w:tcPr>
          <w:tcW w:w="285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kern w:val="0"/>
              <w:sz w:val="20"/>
              <w:szCs w:val="20"/>
            </w:rPr>
          </w:r>
        </w:p>
      </w:tc>
      <w:tc>
        <w:tcPr>
          <w:tcW w:w="623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DIČ:</w:t>
          </w:r>
        </w:p>
      </w:tc>
      <w:tc>
        <w:tcPr>
          <w:tcW w:w="286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4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1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3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4</w:t>
          </w:r>
        </w:p>
      </w:tc>
      <w:tc>
        <w:tcPr>
          <w:tcW w:w="285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5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3</w:t>
          </w:r>
        </w:p>
      </w:tc>
      <w:tc>
        <w:tcPr>
          <w:tcW w:w="280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0</w:t>
          </w:r>
        </w:p>
      </w:tc>
    </w:tr>
  </w:tbl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3276" w:hanging="360"/>
      </w:pPr>
      <w:rPr>
        <w:sz w:val="20"/>
        <w:b/>
        <w:rFonts w:ascii="Cambria" w:hAnsi="Cambria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39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7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4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1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3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036" w:hanging="180"/>
      </w:pPr>
    </w:lvl>
  </w:abstractNum>
  <w:abstractNum w:abstractNumId="2">
    <w:lvl w:ilvl="0">
      <w:start w:val="2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4205b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next w:val="Normal"/>
    <w:link w:val="Heading1Char"/>
    <w:uiPriority w:val="9"/>
    <w:qFormat/>
    <w:rsid w:val="00cc0c09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al"/>
    <w:next w:val="Normal"/>
    <w:link w:val="Heading2Char"/>
    <w:uiPriority w:val="9"/>
    <w:unhideWhenUsed/>
    <w:qFormat/>
    <w:rsid w:val="00567bed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f0301d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f0301d"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6a748c"/>
    <w:rPr>
      <w:color w:val="808080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cc0c0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ZTopofFormChar" w:customStyle="1">
    <w:name w:val="z-Top of Form Char"/>
    <w:basedOn w:val="DefaultParagraphFont"/>
    <w:link w:val="z-Top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ZBottomofFormChar" w:customStyle="1">
    <w:name w:val="z-Bottom of Form Char"/>
    <w:basedOn w:val="DefaultParagraphFont"/>
    <w:link w:val="z-Bottom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93dc7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sid w:val="00c93dc7"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sid w:val="00c93dc7"/>
    <w:rPr>
      <w:b/>
      <w:bCs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567bed"/>
    <w:rPr>
      <w:i/>
      <w:iCs/>
      <w:color w:val="000000" w:themeColor="text1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567bed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val="C0504D" w:themeColor="accent2"/>
      <w:u w:val="single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eaderChar"/>
    <w:uiPriority w:val="99"/>
    <w:unhideWhenUsed/>
    <w:rsid w:val="00f0301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FooterChar"/>
    <w:uiPriority w:val="99"/>
    <w:unhideWhenUsed/>
    <w:rsid w:val="00f0301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030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5300"/>
    <w:pPr>
      <w:spacing w:before="0" w:after="200"/>
      <w:ind w:left="720" w:hanging="0"/>
      <w:contextualSpacing/>
    </w:pPr>
    <w:rPr/>
  </w:style>
  <w:style w:type="paragraph" w:styleId="HTMLTopofForm">
    <w:name w:val="HTML Top of Form"/>
    <w:basedOn w:val="Normal"/>
    <w:next w:val="Normal"/>
    <w:link w:val="z-TopofFormChar"/>
    <w:uiPriority w:val="99"/>
    <w:semiHidden/>
    <w:unhideWhenUsed/>
    <w:qFormat/>
    <w:rsid w:val="00361862"/>
    <w:pPr>
      <w:pBdr>
        <w:bottom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link w:val="z-BottomofFormChar"/>
    <w:uiPriority w:val="99"/>
    <w:semiHidden/>
    <w:unhideWhenUsed/>
    <w:qFormat/>
    <w:rsid w:val="00361862"/>
    <w:pPr>
      <w:pBdr>
        <w:top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c93dc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CommentSubjectChar"/>
    <w:uiPriority w:val="99"/>
    <w:semiHidden/>
    <w:unhideWhenUsed/>
    <w:qFormat/>
    <w:rsid w:val="00c93dc7"/>
    <w:pPr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567bed"/>
    <w:pPr/>
    <w:rPr>
      <w:i/>
      <w:iCs/>
      <w:color w:val="000000" w:themeColor="text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751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glossaryDocument" Target="glossary/document.xml"/><Relationship Id="rId9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PlaceholderText">
    <w:name w:val="Placeholder Text"/>
    <w:basedOn w:val="DefaultParagraphFont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LibreOffice/7.1.0.3$Windows_X86_64 LibreOffice_project/f6099ecf3d29644b5008cc8f48f42f4a40986e4c</Application>
  <AppVersion>15.0000</AppVersion>
  <DocSecurity>0</DocSecurity>
  <Pages>6</Pages>
  <Words>808</Words>
  <Characters>4780</Characters>
  <CharactersWithSpaces>5534</CharactersWithSpaces>
  <Paragraphs>147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2019-01-31T08:15:00Z</dcterms:created>
  <dc:creator>R</dc:creator>
  <dc:description/>
  <dc:language>sk-SK</dc:language>
  <cp:lastModifiedBy/>
  <cp:lastPrinted>2021-06-21T12:02:23Z</cp:lastPrinted>
  <dcterms:modified xsi:type="dcterms:W3CDTF">2021-06-21T12:02:30Z</dcterms:modified>
  <cp:revision>6</cp:revision>
  <dc:subject/>
  <dc:title>Poznámky Úč MÚJ 3 - 01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