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BF8E4F" w14:textId="77777777" w:rsidR="00704A7D" w:rsidRDefault="00A72A3A">
      <w:pPr>
        <w:pStyle w:val="Nadpis1"/>
        <w:keepNext/>
        <w:tabs>
          <w:tab w:val="left" w:pos="432"/>
          <w:tab w:val="left" w:pos="720"/>
        </w:tabs>
        <w:spacing w:before="240" w:after="60"/>
        <w:ind w:left="432" w:hanging="432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  <w:bCs/>
          <w:kern w:val="32"/>
        </w:rPr>
        <w:t>V</w:t>
      </w:r>
      <w:r w:rsidR="00F23FD9">
        <w:rPr>
          <w:rFonts w:ascii="Cambria" w:hAnsi="Cambria" w:cs="Cambria"/>
          <w:b/>
          <w:bCs/>
          <w:kern w:val="32"/>
        </w:rPr>
        <w:t>šeobecné i</w:t>
      </w:r>
      <w:r w:rsidR="00704A7D">
        <w:rPr>
          <w:rFonts w:ascii="Cambria" w:hAnsi="Cambria" w:cs="Cambria"/>
          <w:b/>
          <w:bCs/>
          <w:kern w:val="32"/>
        </w:rPr>
        <w:t>nformácie.</w:t>
      </w:r>
    </w:p>
    <w:p w14:paraId="52C35D64" w14:textId="77777777" w:rsidR="00704A7D" w:rsidRDefault="00704A7D">
      <w:pPr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Opis hospodárskej činnosti účtovnej jednotky.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704A7D" w14:paraId="21D0801C" w14:textId="77777777">
        <w:tc>
          <w:tcPr>
            <w:tcW w:w="28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2A65D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Dátum zápisu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4F9E1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FA25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302E8" w14:textId="77777777" w:rsidR="00704A7D" w:rsidRDefault="00704A7D">
            <w:pPr>
              <w:tabs>
                <w:tab w:val="left" w:pos="2310"/>
              </w:tabs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3513B" w14:textId="77777777" w:rsidR="00704A7D" w:rsidRDefault="00704A7D">
            <w:pPr>
              <w:tabs>
                <w:tab w:val="left" w:pos="231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FFAD5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3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69246" w14:textId="77777777" w:rsidR="00704A7D" w:rsidRDefault="00704A7D">
            <w:pPr>
              <w:tabs>
                <w:tab w:val="left" w:pos="2310"/>
              </w:tabs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6598E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530E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D424F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75D099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8</w:t>
            </w:r>
          </w:p>
        </w:tc>
      </w:tr>
      <w:tr w:rsidR="00704A7D" w14:paraId="3E60F8AC" w14:textId="77777777">
        <w:tc>
          <w:tcPr>
            <w:tcW w:w="28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F75D5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Oddiel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8470A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A4298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993B6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4ACCC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5D55E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74706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C7CC8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BE90F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8CD94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823542C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</w:t>
            </w:r>
          </w:p>
        </w:tc>
      </w:tr>
      <w:tr w:rsidR="00704A7D" w14:paraId="79D2E231" w14:textId="77777777">
        <w:tc>
          <w:tcPr>
            <w:tcW w:w="28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0C36A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Vložka číslo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586AF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CC4DD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90B3A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0B213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C3C12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96F15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74BE1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6A2A6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A7EB6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/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8C061A" w14:textId="77777777" w:rsidR="00704A7D" w:rsidRDefault="00704A7D">
            <w:pPr>
              <w:tabs>
                <w:tab w:val="left" w:pos="2310"/>
              </w:tabs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</w:t>
            </w:r>
          </w:p>
        </w:tc>
      </w:tr>
    </w:tbl>
    <w:p w14:paraId="2A3C6E55" w14:textId="77777777" w:rsidR="00704A7D" w:rsidRDefault="00704A7D">
      <w:pPr>
        <w:tabs>
          <w:tab w:val="left" w:pos="2310"/>
        </w:tabs>
        <w:ind w:firstLine="576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Podľa výpisu z obchodného registra Okresného súdu Prešov.</w:t>
      </w:r>
    </w:p>
    <w:p w14:paraId="6B618885" w14:textId="77777777" w:rsidR="00704A7D" w:rsidRDefault="00704A7D">
      <w:pPr>
        <w:spacing w:before="120"/>
        <w:rPr>
          <w:rFonts w:cs="Arial Narrow"/>
          <w:b/>
          <w:bCs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cs="Arial Narrow"/>
          <w:b/>
          <w:bCs/>
          <w:sz w:val="20"/>
          <w:szCs w:val="20"/>
        </w:rPr>
        <w:t>Predmet činnosti :</w:t>
      </w:r>
    </w:p>
    <w:p w14:paraId="17BF47C3" w14:textId="77777777" w:rsidR="00704A7D" w:rsidRDefault="00704A7D">
      <w:pPr>
        <w:tabs>
          <w:tab w:val="left" w:pos="720"/>
          <w:tab w:val="left" w:pos="2310"/>
        </w:tabs>
        <w:ind w:left="720" w:hanging="360"/>
        <w:rPr>
          <w:rFonts w:cs="Arial Narrow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cs="Arial Narrow"/>
          <w:sz w:val="20"/>
          <w:szCs w:val="20"/>
        </w:rPr>
        <w:t>Stáčanie prírodnej pitnej a minerálnej vody a výroba nealkoholických nápojov</w:t>
      </w:r>
    </w:p>
    <w:p w14:paraId="2030B79E" w14:textId="77777777" w:rsidR="00704A7D" w:rsidRDefault="00704A7D">
      <w:pPr>
        <w:ind w:left="720" w:hanging="360"/>
        <w:rPr>
          <w:rFonts w:cs="Arial Narrow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cs="Arial Narrow"/>
          <w:sz w:val="20"/>
          <w:szCs w:val="20"/>
        </w:rPr>
        <w:t>Nákup a predaj tovaru v rozsahu voľnej živnosti</w:t>
      </w:r>
    </w:p>
    <w:p w14:paraId="0800EF96" w14:textId="77777777" w:rsidR="00704A7D" w:rsidRDefault="00704A7D">
      <w:pPr>
        <w:ind w:left="720" w:hanging="360"/>
        <w:rPr>
          <w:rFonts w:cs="Arial Narrow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cs="Arial Narrow"/>
          <w:sz w:val="20"/>
          <w:szCs w:val="20"/>
        </w:rPr>
        <w:t xml:space="preserve">Sprostredkovanie služieb v rozsahu voľnej živnosti </w:t>
      </w:r>
    </w:p>
    <w:p w14:paraId="26F3F009" w14:textId="77777777" w:rsidR="00704A7D" w:rsidRDefault="00704A7D">
      <w:pPr>
        <w:ind w:left="720" w:hanging="360"/>
        <w:rPr>
          <w:rFonts w:cs="Arial Narrow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cs="Arial Narrow"/>
          <w:sz w:val="20"/>
          <w:szCs w:val="20"/>
        </w:rPr>
        <w:t>Sprostredkovanie obchodu a dopravy</w:t>
      </w:r>
    </w:p>
    <w:p w14:paraId="774C58FD" w14:textId="77777777" w:rsidR="00704A7D" w:rsidRDefault="00704A7D">
      <w:pPr>
        <w:ind w:left="720" w:hanging="360"/>
        <w:rPr>
          <w:rFonts w:cs="Arial Narrow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cs="Arial Narrow"/>
          <w:sz w:val="20"/>
          <w:szCs w:val="20"/>
        </w:rPr>
        <w:t xml:space="preserve">Poskytovanie služieb v rozsahu voľnej živnosti </w:t>
      </w:r>
    </w:p>
    <w:p w14:paraId="45E378C4" w14:textId="77777777" w:rsidR="00704A7D" w:rsidRDefault="00704A7D">
      <w:pPr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Údaje o neobmedzenom ručení.</w:t>
      </w:r>
    </w:p>
    <w:p w14:paraId="429CCAC0" w14:textId="77777777" w:rsidR="00704A7D" w:rsidRDefault="00704A7D" w:rsidP="00A72A3A">
      <w:pPr>
        <w:ind w:left="576"/>
        <w:jc w:val="both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cs="Arial Narrow"/>
          <w:sz w:val="20"/>
          <w:szCs w:val="20"/>
        </w:rPr>
        <w:t xml:space="preserve">Spoločnosť nie je neobmedzene ručiacim spoločníkom v iných účtovných jednotkách podľa §56 ods. 5 Obchodného </w:t>
      </w:r>
      <w:proofErr w:type="spellStart"/>
      <w:r>
        <w:rPr>
          <w:rFonts w:cs="Arial Narrow"/>
          <w:sz w:val="20"/>
          <w:szCs w:val="20"/>
        </w:rPr>
        <w:t>zákonníka.</w:t>
      </w:r>
      <w:r>
        <w:rPr>
          <w:rFonts w:ascii="Cambria" w:hAnsi="Cambria" w:cs="Cambria"/>
          <w:b/>
          <w:bCs/>
          <w:i/>
          <w:iCs/>
          <w:sz w:val="20"/>
          <w:szCs w:val="20"/>
        </w:rPr>
        <w:t>Právny</w:t>
      </w:r>
      <w:proofErr w:type="spellEnd"/>
      <w:r>
        <w:rPr>
          <w:rFonts w:ascii="Cambria" w:hAnsi="Cambria" w:cs="Cambria"/>
          <w:b/>
          <w:bCs/>
          <w:i/>
          <w:iCs/>
          <w:sz w:val="20"/>
          <w:szCs w:val="20"/>
        </w:rPr>
        <w:t xml:space="preserve"> dôvod na zostavenie účtovnej závierky.</w:t>
      </w:r>
    </w:p>
    <w:p w14:paraId="141AEF89" w14:textId="77777777" w:rsidR="00704A7D" w:rsidRDefault="00704A7D">
      <w:pPr>
        <w:spacing w:after="120"/>
        <w:ind w:left="283" w:firstLine="293"/>
        <w:rPr>
          <w:rFonts w:ascii="Times New Roman" w:hAnsi="Times New Roman" w:cs="Times New Roman"/>
        </w:rPr>
      </w:pPr>
      <w:r>
        <w:rPr>
          <w:rFonts w:cs="Arial Narrow"/>
          <w:sz w:val="20"/>
          <w:szCs w:val="20"/>
        </w:rPr>
        <w:t>Spoločnosť zostavuje riadnu účtovnú závierku k 31.12.</w:t>
      </w:r>
      <w:r w:rsidR="007F55D8">
        <w:rPr>
          <w:rFonts w:cs="Arial Narrow"/>
          <w:sz w:val="20"/>
          <w:szCs w:val="20"/>
        </w:rPr>
        <w:t>201</w:t>
      </w:r>
      <w:r w:rsidR="00A72A3A">
        <w:rPr>
          <w:rFonts w:cs="Arial Narrow"/>
          <w:sz w:val="20"/>
          <w:szCs w:val="20"/>
        </w:rPr>
        <w:t>9</w:t>
      </w:r>
    </w:p>
    <w:p w14:paraId="68640EB1" w14:textId="77777777" w:rsidR="00704A7D" w:rsidRDefault="00704A7D">
      <w:pPr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Schválenie účtovnej závierky za bezprostredne predchádzajúce účtovné obdobie.</w:t>
      </w:r>
    </w:p>
    <w:p w14:paraId="619497C8" w14:textId="77777777" w:rsidR="00A72A3A" w:rsidRDefault="00704A7D" w:rsidP="00A72A3A">
      <w:pPr>
        <w:ind w:left="576"/>
        <w:jc w:val="both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závierka za bezprostredne predchádzajúce účtovné obdobie k 31.12.201</w:t>
      </w:r>
      <w:r w:rsidR="00A72A3A">
        <w:rPr>
          <w:rFonts w:cs="Arial Narrow"/>
          <w:sz w:val="20"/>
          <w:szCs w:val="20"/>
        </w:rPr>
        <w:t>8</w:t>
      </w:r>
      <w:r>
        <w:rPr>
          <w:rFonts w:cs="Arial Narrow"/>
          <w:sz w:val="20"/>
          <w:szCs w:val="20"/>
        </w:rPr>
        <w:t xml:space="preserve"> bola schválená valným zhromaždením</w:t>
      </w:r>
      <w:r w:rsidR="004B5DB4">
        <w:rPr>
          <w:rFonts w:cs="Arial Narrow"/>
          <w:sz w:val="20"/>
          <w:szCs w:val="20"/>
        </w:rPr>
        <w:t xml:space="preserve"> </w:t>
      </w:r>
      <w:r>
        <w:rPr>
          <w:rFonts w:cs="Arial Narrow"/>
          <w:sz w:val="20"/>
          <w:szCs w:val="20"/>
        </w:rPr>
        <w:t>spoločnosti</w:t>
      </w:r>
      <w:r w:rsidR="004B5DB4">
        <w:rPr>
          <w:rFonts w:cs="Arial Narrow"/>
          <w:sz w:val="20"/>
          <w:szCs w:val="20"/>
        </w:rPr>
        <w:t>.</w:t>
      </w:r>
    </w:p>
    <w:p w14:paraId="1C8FBAAF" w14:textId="77777777" w:rsidR="00704A7D" w:rsidRDefault="00A72A3A" w:rsidP="00A72A3A">
      <w:pPr>
        <w:ind w:left="576"/>
        <w:jc w:val="both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  <w:bCs/>
          <w:kern w:val="32"/>
        </w:rPr>
        <w:t>In</w:t>
      </w:r>
      <w:r w:rsidR="00F23FD9">
        <w:rPr>
          <w:rFonts w:ascii="Cambria" w:hAnsi="Cambria" w:cs="Cambria"/>
          <w:b/>
          <w:bCs/>
          <w:kern w:val="32"/>
        </w:rPr>
        <w:t>formácie o prijatých postupoch</w:t>
      </w:r>
      <w:r w:rsidR="00704A7D">
        <w:rPr>
          <w:rFonts w:ascii="Cambria" w:hAnsi="Cambria" w:cs="Cambria"/>
          <w:b/>
          <w:bCs/>
          <w:kern w:val="32"/>
        </w:rPr>
        <w:t>.</w:t>
      </w:r>
    </w:p>
    <w:p w14:paraId="50F99C0C" w14:textId="77777777" w:rsidR="00704A7D" w:rsidRDefault="00704A7D">
      <w:pPr>
        <w:pStyle w:val="Nadpis2"/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Nepretržité pokračovanie v činnosti účtovnej jednotky.</w:t>
      </w:r>
    </w:p>
    <w:p w14:paraId="12E45559" w14:textId="77777777" w:rsidR="00704A7D" w:rsidRDefault="00704A7D">
      <w:pPr>
        <w:ind w:left="709"/>
        <w:jc w:val="both"/>
        <w:rPr>
          <w:rFonts w:ascii="Times New Roman" w:hAnsi="Times New Roman" w:cs="Times New Roman"/>
        </w:rPr>
      </w:pPr>
      <w:r>
        <w:rPr>
          <w:rFonts w:cs="Arial Narrow"/>
          <w:sz w:val="20"/>
          <w:szCs w:val="20"/>
        </w:rPr>
        <w:t>Účtovná jednotka bude nepretržite vykonávať svoju činnosť a nie sú jej známe riziká, ktoré by ohrozili nepretržité pokračovanie v činnosti účtovnej jednotky</w:t>
      </w:r>
      <w:r>
        <w:rPr>
          <w:rFonts w:ascii="Times New Roman" w:hAnsi="Times New Roman" w:cs="Times New Roman"/>
        </w:rPr>
        <w:t>.</w:t>
      </w:r>
    </w:p>
    <w:p w14:paraId="4368D71D" w14:textId="77777777" w:rsidR="00704A7D" w:rsidRDefault="00704A7D">
      <w:pPr>
        <w:pStyle w:val="Nadpis2"/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Spôsob oceňovania jednotlivých zložiek majetku a záväzkov.</w:t>
      </w:r>
    </w:p>
    <w:p w14:paraId="281144D6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Dlhodobý hmotný majetok obstaraný kúpou, vlastnou činnosťou a iným spôsobom.</w:t>
      </w:r>
    </w:p>
    <w:p w14:paraId="398A7C4A" w14:textId="6E28B1DD" w:rsidR="00704A7D" w:rsidRDefault="00704A7D">
      <w:pPr>
        <w:ind w:left="864"/>
        <w:jc w:val="both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 xml:space="preserve">Účtovná jednotka v priebehu účtovného obdobia </w:t>
      </w:r>
      <w:r w:rsidR="00A52705">
        <w:rPr>
          <w:rFonts w:cs="Arial Narrow"/>
          <w:sz w:val="20"/>
          <w:szCs w:val="20"/>
        </w:rPr>
        <w:t>ne</w:t>
      </w:r>
      <w:r>
        <w:rPr>
          <w:rFonts w:cs="Arial Narrow"/>
          <w:sz w:val="20"/>
          <w:szCs w:val="20"/>
        </w:rPr>
        <w:t>obstarala dlhodobý hmotný majetok kúpou. Tento majetok oceňovala obstarávacou cenou vrátane nákladov súvisiacich s jeho obstaraním.</w:t>
      </w:r>
    </w:p>
    <w:p w14:paraId="10CF05B7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Dlhodobý finančný majetok</w:t>
      </w:r>
    </w:p>
    <w:p w14:paraId="711B075B" w14:textId="77777777" w:rsidR="00704A7D" w:rsidRDefault="00704A7D">
      <w:pPr>
        <w:ind w:left="864"/>
        <w:jc w:val="both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oceňovala dlhodobý finančný majetok kúpou obstarávacou.</w:t>
      </w:r>
    </w:p>
    <w:p w14:paraId="0B878EF1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Pohľadávky.</w:t>
      </w:r>
    </w:p>
    <w:p w14:paraId="6A83690C" w14:textId="77777777" w:rsidR="00704A7D" w:rsidRDefault="00704A7D">
      <w:pPr>
        <w:ind w:left="864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oceňovala pohľadávky pri ich vzniku menovitou hodnotou.</w:t>
      </w:r>
    </w:p>
    <w:p w14:paraId="4E61E5B9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Krátkodobý finančný majetok.</w:t>
      </w:r>
    </w:p>
    <w:p w14:paraId="1CB6C76C" w14:textId="77777777" w:rsidR="00704A7D" w:rsidRDefault="00704A7D">
      <w:pPr>
        <w:ind w:left="864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oceňovala peňažné prostriedky na účtoch a v pokladnici ich menovitou hodnotou.</w:t>
      </w:r>
    </w:p>
    <w:p w14:paraId="3365F360" w14:textId="69D7D8E2" w:rsidR="00704A7D" w:rsidRDefault="00704A7D">
      <w:pPr>
        <w:ind w:left="864"/>
        <w:jc w:val="both"/>
        <w:rPr>
          <w:rFonts w:cs="Arial Narrow"/>
          <w:sz w:val="20"/>
          <w:szCs w:val="20"/>
        </w:rPr>
      </w:pPr>
    </w:p>
    <w:p w14:paraId="693688F5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Záväzky.</w:t>
      </w:r>
    </w:p>
    <w:p w14:paraId="6C310C19" w14:textId="77777777" w:rsidR="00704A7D" w:rsidRDefault="00704A7D">
      <w:pPr>
        <w:ind w:left="864"/>
        <w:rPr>
          <w:rFonts w:ascii="Times New Roman" w:hAnsi="Times New Roman" w:cs="Times New Roman"/>
        </w:rPr>
      </w:pPr>
      <w:r>
        <w:rPr>
          <w:rFonts w:cs="Arial Narrow"/>
          <w:sz w:val="20"/>
          <w:szCs w:val="20"/>
        </w:rPr>
        <w:t>Účtovná jednotka oceňovala záväzky pri ich vzniku menovitou hodnotou</w:t>
      </w:r>
      <w:r>
        <w:rPr>
          <w:rFonts w:ascii="Times New Roman" w:hAnsi="Times New Roman" w:cs="Times New Roman"/>
        </w:rPr>
        <w:t>.</w:t>
      </w:r>
    </w:p>
    <w:p w14:paraId="30AA06E8" w14:textId="77777777" w:rsidR="00704A7D" w:rsidRDefault="00704A7D">
      <w:pPr>
        <w:pStyle w:val="Nadpis4"/>
        <w:keepNext/>
        <w:spacing w:before="120" w:after="60"/>
        <w:rPr>
          <w:rFonts w:ascii="Times New Roman" w:hAnsi="Times New Roman" w:cs="Times New Roman"/>
          <w:sz w:val="28"/>
          <w:szCs w:val="28"/>
        </w:rPr>
      </w:pPr>
      <w:r>
        <w:rPr>
          <w:rFonts w:cs="Arial Narrow"/>
          <w:b/>
          <w:bCs/>
          <w:sz w:val="20"/>
          <w:szCs w:val="20"/>
        </w:rPr>
        <w:t>Rezervy zákonné.</w:t>
      </w:r>
      <w:r>
        <w:rPr>
          <w:rFonts w:ascii="Times New Roman" w:hAnsi="Times New Roman" w:cs="Times New Roman"/>
          <w:sz w:val="28"/>
          <w:szCs w:val="28"/>
        </w:rPr>
        <w:tab/>
      </w:r>
    </w:p>
    <w:p w14:paraId="05D7B472" w14:textId="77777777" w:rsidR="00704A7D" w:rsidRDefault="00704A7D">
      <w:pPr>
        <w:ind w:left="864"/>
        <w:jc w:val="both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účtovala o rezervách v súlade s § 19 opatrenia MF SR č.23054/2002-92 a oceňovala ich hodnotou očakávanej výšky záväzku vypočítanou na základe známych skutočností ku dňu zostavovania účtovnej závierky.</w:t>
      </w:r>
    </w:p>
    <w:p w14:paraId="3F323BCD" w14:textId="77777777" w:rsidR="00704A7D" w:rsidRDefault="00704A7D">
      <w:pPr>
        <w:pStyle w:val="Nadpis4"/>
        <w:keepNext/>
        <w:spacing w:before="120" w:after="60"/>
        <w:rPr>
          <w:rFonts w:cs="Arial Narrow"/>
          <w:b/>
          <w:bCs/>
          <w:sz w:val="20"/>
          <w:szCs w:val="20"/>
        </w:rPr>
      </w:pPr>
      <w:r>
        <w:rPr>
          <w:rFonts w:cs="Arial Narrow"/>
          <w:b/>
          <w:bCs/>
          <w:sz w:val="20"/>
          <w:szCs w:val="20"/>
        </w:rPr>
        <w:t>Pôžičky a úvery.</w:t>
      </w:r>
    </w:p>
    <w:p w14:paraId="052CFEC5" w14:textId="77777777" w:rsidR="00704A7D" w:rsidRDefault="00704A7D">
      <w:pPr>
        <w:ind w:left="864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oceňovala pôžičky a úvery ich menovitou hodnotou.</w:t>
      </w:r>
    </w:p>
    <w:p w14:paraId="663CF676" w14:textId="7F0896F5" w:rsidR="00704A7D" w:rsidRDefault="00704A7D" w:rsidP="004736AF">
      <w:pPr>
        <w:ind w:left="862"/>
        <w:rPr>
          <w:rFonts w:cs="Arial Narrow"/>
          <w:sz w:val="20"/>
          <w:szCs w:val="20"/>
        </w:rPr>
      </w:pPr>
    </w:p>
    <w:p w14:paraId="07944159" w14:textId="5D9BBA96" w:rsidR="00A52705" w:rsidRDefault="00A52705" w:rsidP="004736AF">
      <w:pPr>
        <w:ind w:left="862"/>
        <w:rPr>
          <w:rFonts w:cs="Arial Narrow"/>
          <w:sz w:val="20"/>
          <w:szCs w:val="20"/>
        </w:rPr>
      </w:pPr>
    </w:p>
    <w:p w14:paraId="3A5202BB" w14:textId="77777777" w:rsidR="00A52705" w:rsidRDefault="00A52705" w:rsidP="004736AF">
      <w:pPr>
        <w:ind w:left="862"/>
        <w:rPr>
          <w:rFonts w:cs="Arial Narrow"/>
          <w:sz w:val="20"/>
          <w:szCs w:val="20"/>
        </w:rPr>
      </w:pPr>
    </w:p>
    <w:p w14:paraId="4BC80953" w14:textId="77777777" w:rsidR="00704A7D" w:rsidRDefault="00704A7D">
      <w:pPr>
        <w:pStyle w:val="Nadpis2"/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lastRenderedPageBreak/>
        <w:t>Tvorba odpisového plánu pre dlhodobý majetok, doba odpisovania, sadby odpisov a odpisové metódy pre účtovné odpisy.</w:t>
      </w:r>
    </w:p>
    <w:p w14:paraId="541A83AD" w14:textId="77777777" w:rsidR="00704A7D" w:rsidRDefault="00704A7D">
      <w:pPr>
        <w:ind w:firstLine="709"/>
        <w:rPr>
          <w:rFonts w:ascii="Times New Roman" w:hAnsi="Times New Roman" w:cs="Times New Roman"/>
          <w:sz w:val="20"/>
          <w:szCs w:val="20"/>
        </w:rPr>
      </w:pPr>
      <w:r>
        <w:rPr>
          <w:rFonts w:cs="Arial Narrow"/>
          <w:sz w:val="20"/>
          <w:szCs w:val="20"/>
        </w:rPr>
        <w:t xml:space="preserve">Účtovná jednotka neeviduje </w:t>
      </w:r>
      <w:r>
        <w:rPr>
          <w:rFonts w:cs="Arial Narrow"/>
          <w:i/>
          <w:iCs/>
          <w:sz w:val="20"/>
          <w:szCs w:val="20"/>
        </w:rPr>
        <w:t>dlhodobý nehmotný majetok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183A6B7A" w14:textId="77777777" w:rsidR="00704A7D" w:rsidRDefault="00704A7D">
      <w:pPr>
        <w:spacing w:before="120"/>
        <w:ind w:left="709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 xml:space="preserve">Účtovná jednotka odpisovala </w:t>
      </w:r>
      <w:r>
        <w:rPr>
          <w:rFonts w:cs="Arial Narrow"/>
          <w:i/>
          <w:iCs/>
          <w:sz w:val="20"/>
          <w:szCs w:val="20"/>
        </w:rPr>
        <w:t>dlhodobý hmotný majetok</w:t>
      </w:r>
      <w:r>
        <w:rPr>
          <w:rFonts w:cs="Arial Narrow"/>
          <w:sz w:val="20"/>
          <w:szCs w:val="20"/>
        </w:rPr>
        <w:t xml:space="preserve"> na základe odpisového plánu mesačne počas predpokladanej doby používania majetku, pričom brala v úvahu fyzické aj morálne opotrebenie majetku, a pri strojoch a zariadeniach aj mieru jeho využívania počas účtovného obdobia.</w:t>
      </w:r>
    </w:p>
    <w:p w14:paraId="1439E2D1" w14:textId="77777777" w:rsidR="00704A7D" w:rsidRDefault="00247717">
      <w:pPr>
        <w:pStyle w:val="Nadpis1"/>
        <w:keepNext/>
        <w:spacing w:before="240" w:after="60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</w:rPr>
        <w:t>Informácie, ktoré vysvetľujú a dopĺňajú súvahu a výkaz ziskov a strát</w:t>
      </w:r>
      <w:r w:rsidR="00704A7D">
        <w:rPr>
          <w:rFonts w:ascii="Cambria" w:hAnsi="Cambria" w:cs="Cambria"/>
          <w:b/>
          <w:bCs/>
          <w:kern w:val="32"/>
        </w:rPr>
        <w:t>.</w:t>
      </w:r>
    </w:p>
    <w:p w14:paraId="0BBF27F2" w14:textId="77777777" w:rsidR="00704A7D" w:rsidRDefault="00704A7D">
      <w:pPr>
        <w:pStyle w:val="Nadpis2"/>
        <w:keepNext/>
        <w:spacing w:before="120" w:after="60"/>
        <w:rPr>
          <w:rFonts w:ascii="Cambria" w:hAnsi="Cambria" w:cs="Cambria"/>
          <w:b/>
          <w:bCs/>
          <w:i/>
          <w:iCs/>
          <w:sz w:val="20"/>
          <w:szCs w:val="20"/>
        </w:rPr>
      </w:pPr>
      <w:r>
        <w:rPr>
          <w:rFonts w:ascii="Cambria" w:hAnsi="Cambria" w:cs="Cambria"/>
          <w:b/>
          <w:bCs/>
          <w:i/>
          <w:iCs/>
          <w:sz w:val="20"/>
          <w:szCs w:val="20"/>
        </w:rPr>
        <w:t>Informácie o záväzkoch.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704A7D" w14:paraId="58FF4ADA" w14:textId="77777777" w:rsidTr="00E32966">
        <w:trPr>
          <w:trHeight w:val="538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C3559" w14:textId="77777777" w:rsidR="00704A7D" w:rsidRDefault="00704A7D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76748" w14:textId="77777777" w:rsidR="00704A7D" w:rsidRDefault="00704A7D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207BB" w14:textId="77777777" w:rsidR="00704A7D" w:rsidRDefault="00704A7D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47717" w14:paraId="50E9C127" w14:textId="77777777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E776B2" w14:textId="77777777" w:rsidR="00247717" w:rsidRDefault="00247717" w:rsidP="00E32966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C15AE9" w14:textId="773F8B88" w:rsidR="00247717" w:rsidRDefault="00247717" w:rsidP="00247717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AC98B16" w14:textId="5BD8EB2C" w:rsidR="00247717" w:rsidRDefault="00247717" w:rsidP="00773059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47717" w14:paraId="7A4FE546" w14:textId="77777777" w:rsidTr="00E32966">
        <w:trPr>
          <w:trHeight w:val="559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A3E03E" w14:textId="77777777" w:rsidR="00247717" w:rsidRDefault="00247717" w:rsidP="00E32966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3DE73A7" w14:textId="2BC2E01C" w:rsidR="00247717" w:rsidRDefault="00247717" w:rsidP="002477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07B24D" w14:textId="6E1C65F0" w:rsidR="00247717" w:rsidRDefault="00247717" w:rsidP="0077305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47717" w14:paraId="3F9D8CC6" w14:textId="77777777">
        <w:trPr>
          <w:trHeight w:val="33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1B9C33" w14:textId="77777777" w:rsidR="00247717" w:rsidRDefault="00247717" w:rsidP="00E32966">
            <w:pPr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442E69" w14:textId="527FAB3C" w:rsidR="00247717" w:rsidRDefault="00247717" w:rsidP="00247717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EB562D6" w14:textId="06D9112A" w:rsidR="00247717" w:rsidRDefault="00247717" w:rsidP="001E40CE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247717" w14:paraId="656A63F8" w14:textId="77777777" w:rsidTr="00E32966">
        <w:trPr>
          <w:trHeight w:val="501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E6A77" w14:textId="77777777" w:rsidR="00247717" w:rsidRDefault="00247717" w:rsidP="00E32966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B7053E" w14:textId="50742F1B" w:rsidR="00247717" w:rsidRDefault="00247717" w:rsidP="0077305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550BCDD" w14:textId="143FF727" w:rsidR="00247717" w:rsidRDefault="00247717" w:rsidP="001E40C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47717" w14:paraId="370886E5" w14:textId="77777777" w:rsidTr="00E32966">
        <w:trPr>
          <w:trHeight w:val="566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A1156" w14:textId="77777777" w:rsidR="00247717" w:rsidRDefault="00247717" w:rsidP="00E32966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14:paraId="74C7EDD3" w14:textId="77777777" w:rsidR="00247717" w:rsidRDefault="00247717" w:rsidP="002477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34FBB2D6" w14:textId="77777777" w:rsidR="00247717" w:rsidRDefault="00247717" w:rsidP="001E40C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47717" w14:paraId="64807C04" w14:textId="77777777"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BE026" w14:textId="77777777" w:rsidR="00247717" w:rsidRDefault="00247717" w:rsidP="00247717">
            <w:pPr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742ED4A" w14:textId="74F94C8F" w:rsidR="00247717" w:rsidRDefault="00247717" w:rsidP="0077305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9627C4" w14:textId="1AFB0F66" w:rsidR="00247717" w:rsidRDefault="00247717" w:rsidP="001E40CE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</w:tbl>
    <w:p w14:paraId="3022A249" w14:textId="77777777" w:rsidR="00704A7D" w:rsidRDefault="00704A7D">
      <w:pPr>
        <w:rPr>
          <w:rFonts w:ascii="Times New Roman" w:hAnsi="Times New Roman" w:cs="Times New Roman"/>
          <w:sz w:val="22"/>
          <w:szCs w:val="22"/>
        </w:rPr>
      </w:pPr>
    </w:p>
    <w:p w14:paraId="3BB89586" w14:textId="77777777" w:rsidR="00B112A0" w:rsidRDefault="00B112A0">
      <w:pPr>
        <w:rPr>
          <w:rFonts w:ascii="Times New Roman" w:hAnsi="Times New Roman" w:cs="Times New Roman"/>
          <w:sz w:val="22"/>
          <w:szCs w:val="22"/>
        </w:rPr>
      </w:pPr>
    </w:p>
    <w:p w14:paraId="334D08B4" w14:textId="77777777" w:rsidR="00B112A0" w:rsidRDefault="00B112A0">
      <w:pPr>
        <w:rPr>
          <w:rFonts w:ascii="Times New Roman" w:hAnsi="Times New Roman" w:cs="Times New Roman"/>
          <w:sz w:val="22"/>
          <w:szCs w:val="22"/>
        </w:rPr>
      </w:pPr>
    </w:p>
    <w:p w14:paraId="2D539EC2" w14:textId="77777777" w:rsidR="00704A7D" w:rsidRDefault="00704A7D" w:rsidP="00247717">
      <w:pPr>
        <w:pStyle w:val="Nadpis1"/>
        <w:keepNext/>
        <w:spacing w:before="240" w:after="60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  <w:bCs/>
          <w:kern w:val="32"/>
        </w:rPr>
        <w:t>Iné aktíva a iné pasíva.</w:t>
      </w:r>
    </w:p>
    <w:p w14:paraId="7BFE493F" w14:textId="77777777" w:rsidR="00704A7D" w:rsidRDefault="00704A7D" w:rsidP="004B5DB4">
      <w:pPr>
        <w:ind w:left="720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Vzhľadom na rôzne interpretácie daňových zákonov platných pre operácie spoločnosti existuje neistota v tom, ako ich budú daňové orgány interpretovať, preto môžu vzniknúť daňové záväzky, ktoré nie je možné objektívne kvantifikovať. Okrem toho účtovnej jednotke nie sú známe skutočnosti o iných budúcich možných záväzkoch, budúcich právach a povinnostiach nevykázaných v súvahe.</w:t>
      </w:r>
    </w:p>
    <w:p w14:paraId="654CEEBE" w14:textId="77777777" w:rsidR="00704A7D" w:rsidRDefault="00704A7D">
      <w:pPr>
        <w:pStyle w:val="Nadpis1"/>
        <w:keepNext/>
        <w:spacing w:before="240" w:after="60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  <w:bCs/>
          <w:kern w:val="32"/>
        </w:rPr>
        <w:t>Informácie o ekonomických vzťahoch medzi účtovnou jednotkou a spriaznenými osobami.</w:t>
      </w:r>
    </w:p>
    <w:p w14:paraId="536FEEC6" w14:textId="77777777" w:rsidR="00704A7D" w:rsidRDefault="00704A7D">
      <w:pPr>
        <w:ind w:left="576"/>
        <w:rPr>
          <w:rFonts w:cs="Arial Narrow"/>
          <w:sz w:val="20"/>
          <w:szCs w:val="20"/>
        </w:rPr>
      </w:pPr>
      <w:r>
        <w:rPr>
          <w:rFonts w:cs="Arial Narrow"/>
          <w:sz w:val="20"/>
          <w:szCs w:val="20"/>
        </w:rPr>
        <w:t>Účtovná jednotka neuzavrela obchody so spriaznenými osobami za podmienok iných ako obvyklých.</w:t>
      </w:r>
    </w:p>
    <w:p w14:paraId="08281686" w14:textId="77777777" w:rsidR="00704A7D" w:rsidRDefault="00704A7D">
      <w:pPr>
        <w:pStyle w:val="Nadpis1"/>
        <w:keepNext/>
        <w:spacing w:before="240" w:after="60"/>
        <w:rPr>
          <w:rFonts w:ascii="Cambria" w:hAnsi="Cambria" w:cs="Cambria"/>
          <w:b/>
          <w:bCs/>
          <w:kern w:val="32"/>
        </w:rPr>
      </w:pPr>
      <w:r>
        <w:rPr>
          <w:rFonts w:ascii="Cambria" w:hAnsi="Cambria" w:cs="Cambria"/>
          <w:b/>
          <w:bCs/>
          <w:kern w:val="32"/>
        </w:rPr>
        <w:t>Skutočnosti, ktoré nastali po dni, ku ktorému sa zostavuje účtovná závierka.</w:t>
      </w:r>
    </w:p>
    <w:p w14:paraId="04F4B813" w14:textId="77777777" w:rsidR="004B5DB4" w:rsidRPr="004B5DB4" w:rsidRDefault="004B5DB4" w:rsidP="004B5DB4">
      <w:pPr>
        <w:ind w:left="576"/>
        <w:rPr>
          <w:rFonts w:ascii="Times New Roman" w:eastAsia="Times New Roman" w:hAnsi="Times New Roman" w:cs="Times New Roman"/>
        </w:rPr>
      </w:pPr>
      <w:r w:rsidRPr="004B5DB4">
        <w:rPr>
          <w:sz w:val="20"/>
          <w:szCs w:val="20"/>
        </w:rPr>
        <w:t>Dňa 13.</w:t>
      </w:r>
      <w:r>
        <w:rPr>
          <w:sz w:val="20"/>
          <w:szCs w:val="20"/>
        </w:rPr>
        <w:t xml:space="preserve"> </w:t>
      </w:r>
      <w:r w:rsidRPr="004B5DB4">
        <w:rPr>
          <w:sz w:val="20"/>
          <w:szCs w:val="20"/>
        </w:rPr>
        <w:t>marca 2020 HWO vyhlásila pandémiu Covid-19. Zvážili sme všetky potenciálne dopady pandémie na naše</w:t>
      </w:r>
      <w:r w:rsidRPr="004B5DB4">
        <w:rPr>
          <w:sz w:val="20"/>
          <w:szCs w:val="20"/>
        </w:rPr>
        <w:br/>
        <w:t>podnikateľské aktivity a dospeli sme k záveru, že nemajú k dnešnému dňu významný vplyv na spoločnosť.</w:t>
      </w:r>
      <w:r w:rsidRPr="004B5DB4">
        <w:rPr>
          <w:sz w:val="20"/>
          <w:szCs w:val="20"/>
        </w:rPr>
        <w:br w:type="textWrapping" w:clear="all"/>
      </w:r>
    </w:p>
    <w:sectPr w:rsidR="004B5DB4" w:rsidRPr="004B5DB4" w:rsidSect="0046362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A7D"/>
    <w:rsid w:val="000C3DFD"/>
    <w:rsid w:val="000F05C2"/>
    <w:rsid w:val="001E40CE"/>
    <w:rsid w:val="00247717"/>
    <w:rsid w:val="002D4DB0"/>
    <w:rsid w:val="00375067"/>
    <w:rsid w:val="00463625"/>
    <w:rsid w:val="00464A7B"/>
    <w:rsid w:val="004736AF"/>
    <w:rsid w:val="004B5DB4"/>
    <w:rsid w:val="004E5F2C"/>
    <w:rsid w:val="00685778"/>
    <w:rsid w:val="00704A7D"/>
    <w:rsid w:val="00773059"/>
    <w:rsid w:val="0078433B"/>
    <w:rsid w:val="007F55D8"/>
    <w:rsid w:val="00942024"/>
    <w:rsid w:val="00970078"/>
    <w:rsid w:val="009811DA"/>
    <w:rsid w:val="00A0600E"/>
    <w:rsid w:val="00A52705"/>
    <w:rsid w:val="00A72A3A"/>
    <w:rsid w:val="00B112A0"/>
    <w:rsid w:val="00C20BEE"/>
    <w:rsid w:val="00C66B40"/>
    <w:rsid w:val="00DE5099"/>
    <w:rsid w:val="00E02E64"/>
    <w:rsid w:val="00E32966"/>
    <w:rsid w:val="00F23FD9"/>
    <w:rsid w:val="00FD3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71E6D7"/>
  <w15:docId w15:val="{652079F9-29B8-46B5-B450-7A3A6736A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362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theme="minorBidi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63625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rsid w:val="00463625"/>
    <w:pPr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463625"/>
    <w:pPr>
      <w:outlineLvl w:val="2"/>
    </w:pPr>
  </w:style>
  <w:style w:type="paragraph" w:styleId="Nadpis4">
    <w:name w:val="heading 4"/>
    <w:basedOn w:val="Normlny"/>
    <w:next w:val="Normlny"/>
    <w:link w:val="Nadpis4Char"/>
    <w:uiPriority w:val="99"/>
    <w:qFormat/>
    <w:rsid w:val="00463625"/>
    <w:pPr>
      <w:outlineLvl w:val="3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6362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6362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46362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463625"/>
    <w:rPr>
      <w:rFonts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9736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Limošpes s.r.o.</cp:lastModifiedBy>
  <cp:revision>7</cp:revision>
  <cp:lastPrinted>2020-10-27T12:46:00Z</cp:lastPrinted>
  <dcterms:created xsi:type="dcterms:W3CDTF">2020-07-07T13:36:00Z</dcterms:created>
  <dcterms:modified xsi:type="dcterms:W3CDTF">2020-10-27T12:46:00Z</dcterms:modified>
</cp:coreProperties>
</file>