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74B1" w:rsidRDefault="00D84C89">
      <w:pPr>
        <w:spacing w:after="0" w:line="360" w:lineRule="auto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Poznámky </w:t>
      </w:r>
    </w:p>
    <w:p w:rsidR="001C74B1" w:rsidRDefault="00D84C89">
      <w:pPr>
        <w:spacing w:after="0" w:line="360" w:lineRule="auto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konsolidovanej účtovnej závierky zostavenej k 31.12.2020</w:t>
      </w:r>
    </w:p>
    <w:p w:rsidR="001C74B1" w:rsidRDefault="00D84C89">
      <w:pPr>
        <w:spacing w:after="0" w:line="360" w:lineRule="auto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účtovnej jednotky verejnej správy </w:t>
      </w:r>
    </w:p>
    <w:p w:rsidR="001C74B1" w:rsidRDefault="00D84C89">
      <w:pPr>
        <w:spacing w:after="0" w:line="360" w:lineRule="auto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Obce Lietava</w:t>
      </w:r>
    </w:p>
    <w:p w:rsidR="001C74B1" w:rsidRDefault="001C74B1">
      <w:pPr>
        <w:spacing w:after="0" w:line="360" w:lineRule="auto"/>
        <w:rPr>
          <w:rFonts w:ascii="Arial" w:eastAsia="Arial" w:hAnsi="Arial" w:cs="Arial"/>
          <w:sz w:val="24"/>
        </w:rPr>
      </w:pPr>
    </w:p>
    <w:p w:rsidR="001C74B1" w:rsidRDefault="00D84C89">
      <w:pPr>
        <w:spacing w:after="0" w:line="360" w:lineRule="auto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Čl. I</w:t>
      </w:r>
    </w:p>
    <w:p w:rsidR="001C74B1" w:rsidRDefault="00D84C89">
      <w:pPr>
        <w:spacing w:after="0" w:line="360" w:lineRule="auto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Všeobecné údaje</w:t>
      </w:r>
    </w:p>
    <w:p w:rsidR="001C74B1" w:rsidRDefault="001C74B1">
      <w:pPr>
        <w:spacing w:after="0" w:line="360" w:lineRule="auto"/>
        <w:jc w:val="center"/>
        <w:rPr>
          <w:rFonts w:ascii="Arial" w:eastAsia="Arial" w:hAnsi="Arial" w:cs="Arial"/>
        </w:rPr>
      </w:pPr>
    </w:p>
    <w:p w:rsidR="001C74B1" w:rsidRDefault="00D84C89">
      <w:pPr>
        <w:spacing w:after="0" w:line="360" w:lineRule="auto"/>
        <w:rPr>
          <w:rFonts w:ascii="Arial" w:eastAsia="Arial" w:hAnsi="Arial" w:cs="Arial"/>
          <w:b/>
          <w:i/>
        </w:rPr>
      </w:pPr>
      <w:r>
        <w:rPr>
          <w:rFonts w:ascii="Arial" w:eastAsia="Arial" w:hAnsi="Arial" w:cs="Arial"/>
          <w:b/>
          <w:i/>
        </w:rPr>
        <w:t>Identifikačné údaje o  konsolidujúcej účtovnej jednotke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/>
      </w:tblPr>
      <w:tblGrid>
        <w:gridCol w:w="4328"/>
        <w:gridCol w:w="4852"/>
      </w:tblGrid>
      <w:tr w:rsidR="001C74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C74B1" w:rsidRDefault="00D84C89">
            <w:pPr>
              <w:spacing w:after="0" w:line="360" w:lineRule="auto"/>
            </w:pPr>
            <w:r>
              <w:rPr>
                <w:rFonts w:ascii="Arial" w:eastAsia="Arial" w:hAnsi="Arial" w:cs="Arial"/>
              </w:rPr>
              <w:t>Názov konsolidujúcej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 w:line="360" w:lineRule="auto"/>
            </w:pPr>
            <w:r>
              <w:rPr>
                <w:rFonts w:ascii="Arial" w:eastAsia="Arial" w:hAnsi="Arial" w:cs="Arial"/>
              </w:rPr>
              <w:t>Obec Lietava</w:t>
            </w:r>
          </w:p>
        </w:tc>
      </w:tr>
      <w:tr w:rsidR="001C74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C74B1" w:rsidRDefault="00D84C89">
            <w:pPr>
              <w:spacing w:after="0" w:line="360" w:lineRule="auto"/>
            </w:pPr>
            <w:r>
              <w:rPr>
                <w:rFonts w:ascii="Arial" w:eastAsia="Arial" w:hAnsi="Arial" w:cs="Arial"/>
              </w:rPr>
              <w:t>Sídlo konsolidujúcej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 w:line="360" w:lineRule="auto"/>
            </w:pPr>
            <w:r>
              <w:rPr>
                <w:rFonts w:ascii="Arial" w:eastAsia="Arial" w:hAnsi="Arial" w:cs="Arial"/>
              </w:rPr>
              <w:t>Lietava 146, 013 18</w:t>
            </w:r>
          </w:p>
        </w:tc>
      </w:tr>
      <w:tr w:rsidR="001C74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C74B1" w:rsidRDefault="00D84C89">
            <w:pPr>
              <w:spacing w:after="0" w:line="360" w:lineRule="auto"/>
            </w:pPr>
            <w:r>
              <w:rPr>
                <w:rFonts w:ascii="Arial" w:eastAsia="Arial" w:hAnsi="Arial" w:cs="Arial"/>
              </w:rPr>
              <w:t>Dátum založenia, vzniku konsolidujúcej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 w:line="360" w:lineRule="auto"/>
            </w:pPr>
            <w:r>
              <w:rPr>
                <w:rFonts w:ascii="Arial" w:eastAsia="Arial" w:hAnsi="Arial" w:cs="Arial"/>
              </w:rPr>
              <w:t>1.7.1973</w:t>
            </w:r>
          </w:p>
        </w:tc>
      </w:tr>
    </w:tbl>
    <w:p w:rsidR="001C74B1" w:rsidRDefault="001C74B1">
      <w:pPr>
        <w:spacing w:after="0" w:line="360" w:lineRule="auto"/>
        <w:rPr>
          <w:rFonts w:ascii="Arial" w:eastAsia="Arial" w:hAnsi="Arial" w:cs="Arial"/>
        </w:rPr>
      </w:pPr>
    </w:p>
    <w:p w:rsidR="001C74B1" w:rsidRDefault="00D84C89">
      <w:pPr>
        <w:spacing w:after="0" w:line="360" w:lineRule="auto"/>
        <w:rPr>
          <w:rFonts w:ascii="Arial" w:eastAsia="Arial" w:hAnsi="Arial" w:cs="Arial"/>
          <w:b/>
          <w:i/>
        </w:rPr>
      </w:pPr>
      <w:r>
        <w:rPr>
          <w:rFonts w:ascii="Arial" w:eastAsia="Arial" w:hAnsi="Arial" w:cs="Arial"/>
          <w:b/>
          <w:i/>
        </w:rPr>
        <w:t>Identifikačné údaje o konsolidovanej  účtovnej  jednotke – rozpočtovej organizácii v zriaďovateľskej pôsobnosti konsolidujúcej ú</w:t>
      </w:r>
      <w:r>
        <w:rPr>
          <w:rFonts w:ascii="Arial" w:eastAsia="Arial" w:hAnsi="Arial" w:cs="Arial"/>
          <w:b/>
          <w:i/>
        </w:rPr>
        <w:t>čtovnej jednotky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/>
      </w:tblPr>
      <w:tblGrid>
        <w:gridCol w:w="4331"/>
        <w:gridCol w:w="4849"/>
      </w:tblGrid>
      <w:tr w:rsidR="001C74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C74B1" w:rsidRDefault="00D84C89">
            <w:pPr>
              <w:spacing w:after="0" w:line="360" w:lineRule="auto"/>
            </w:pPr>
            <w:r>
              <w:rPr>
                <w:rFonts w:ascii="Arial" w:eastAsia="Arial" w:hAnsi="Arial" w:cs="Arial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 w:line="360" w:lineRule="auto"/>
            </w:pPr>
            <w:r>
              <w:rPr>
                <w:rFonts w:ascii="Arial" w:eastAsia="Arial" w:hAnsi="Arial" w:cs="Arial"/>
              </w:rPr>
              <w:t xml:space="preserve">Základná škola, Lietava </w:t>
            </w:r>
          </w:p>
        </w:tc>
      </w:tr>
      <w:tr w:rsidR="001C74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C74B1" w:rsidRDefault="00D84C89">
            <w:pPr>
              <w:spacing w:after="0" w:line="360" w:lineRule="auto"/>
            </w:pPr>
            <w:r>
              <w:rPr>
                <w:rFonts w:ascii="Arial" w:eastAsia="Arial" w:hAnsi="Arial" w:cs="Arial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 w:line="360" w:lineRule="auto"/>
            </w:pPr>
            <w:r>
              <w:rPr>
                <w:rFonts w:ascii="Arial" w:eastAsia="Arial" w:hAnsi="Arial" w:cs="Arial"/>
              </w:rPr>
              <w:t xml:space="preserve"> Lietava 216, 01318</w:t>
            </w:r>
          </w:p>
        </w:tc>
      </w:tr>
      <w:tr w:rsidR="001C74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C74B1" w:rsidRDefault="00D84C89">
            <w:pPr>
              <w:spacing w:after="0" w:line="360" w:lineRule="auto"/>
            </w:pPr>
            <w:r>
              <w:rPr>
                <w:rFonts w:ascii="Arial" w:eastAsia="Arial" w:hAnsi="Arial" w:cs="Arial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 w:line="360" w:lineRule="auto"/>
            </w:pPr>
            <w:r>
              <w:rPr>
                <w:rFonts w:ascii="Arial" w:eastAsia="Arial" w:hAnsi="Arial" w:cs="Arial"/>
              </w:rPr>
              <w:t>1.7.2002</w:t>
            </w:r>
          </w:p>
        </w:tc>
      </w:tr>
    </w:tbl>
    <w:p w:rsidR="001C74B1" w:rsidRDefault="001C74B1">
      <w:pPr>
        <w:spacing w:after="0" w:line="360" w:lineRule="auto"/>
        <w:rPr>
          <w:rFonts w:ascii="Arial" w:eastAsia="Arial" w:hAnsi="Arial" w:cs="Arial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/>
      </w:tblPr>
      <w:tblGrid>
        <w:gridCol w:w="4331"/>
        <w:gridCol w:w="4849"/>
      </w:tblGrid>
      <w:tr w:rsidR="001C74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C74B1" w:rsidRDefault="00D84C89">
            <w:pPr>
              <w:spacing w:after="0" w:line="360" w:lineRule="auto"/>
            </w:pPr>
            <w:r>
              <w:rPr>
                <w:rFonts w:ascii="Arial" w:eastAsia="Arial" w:hAnsi="Arial" w:cs="Arial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 w:line="360" w:lineRule="auto"/>
            </w:pPr>
            <w:r>
              <w:rPr>
                <w:rFonts w:ascii="Arial" w:eastAsia="Arial" w:hAnsi="Arial" w:cs="Arial"/>
              </w:rPr>
              <w:t>Materská škola,</w:t>
            </w:r>
            <w:r>
              <w:rPr>
                <w:rFonts w:ascii="Arial" w:eastAsia="Arial" w:hAnsi="Arial" w:cs="Arial"/>
              </w:rPr>
              <w:t xml:space="preserve"> Lietava</w:t>
            </w:r>
          </w:p>
        </w:tc>
      </w:tr>
      <w:tr w:rsidR="001C74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C74B1" w:rsidRDefault="00D84C89">
            <w:pPr>
              <w:spacing w:after="0" w:line="360" w:lineRule="auto"/>
            </w:pPr>
            <w:r>
              <w:rPr>
                <w:rFonts w:ascii="Arial" w:eastAsia="Arial" w:hAnsi="Arial" w:cs="Arial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 w:line="360" w:lineRule="auto"/>
            </w:pPr>
            <w:r>
              <w:rPr>
                <w:rFonts w:ascii="Arial" w:eastAsia="Arial" w:hAnsi="Arial" w:cs="Arial"/>
              </w:rPr>
              <w:t xml:space="preserve"> Lietava 346</w:t>
            </w:r>
          </w:p>
        </w:tc>
      </w:tr>
      <w:tr w:rsidR="001C74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C74B1" w:rsidRDefault="00D84C89">
            <w:pPr>
              <w:spacing w:after="0" w:line="360" w:lineRule="auto"/>
            </w:pPr>
            <w:r>
              <w:rPr>
                <w:rFonts w:ascii="Arial" w:eastAsia="Arial" w:hAnsi="Arial" w:cs="Arial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 w:line="360" w:lineRule="auto"/>
            </w:pPr>
            <w:r>
              <w:rPr>
                <w:rFonts w:ascii="Arial" w:eastAsia="Arial" w:hAnsi="Arial" w:cs="Arial"/>
              </w:rPr>
              <w:t>1.7.2003</w:t>
            </w:r>
          </w:p>
        </w:tc>
      </w:tr>
    </w:tbl>
    <w:p w:rsidR="001C74B1" w:rsidRDefault="001C74B1">
      <w:pPr>
        <w:spacing w:after="0" w:line="360" w:lineRule="auto"/>
        <w:rPr>
          <w:rFonts w:ascii="Arial" w:eastAsia="Arial" w:hAnsi="Arial" w:cs="Arial"/>
        </w:rPr>
      </w:pPr>
    </w:p>
    <w:p w:rsidR="001C74B1" w:rsidRDefault="00D84C89">
      <w:pPr>
        <w:spacing w:after="0" w:line="360" w:lineRule="auto"/>
        <w:rPr>
          <w:rFonts w:ascii="Arial" w:eastAsia="Arial" w:hAnsi="Arial" w:cs="Arial"/>
          <w:b/>
          <w:i/>
        </w:rPr>
      </w:pPr>
      <w:r>
        <w:rPr>
          <w:rFonts w:ascii="Arial" w:eastAsia="Arial" w:hAnsi="Arial" w:cs="Arial"/>
          <w:b/>
          <w:i/>
        </w:rPr>
        <w:t xml:space="preserve">Informácie o zamestnancoch konsolidovaného celku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/>
      </w:tblPr>
      <w:tblGrid>
        <w:gridCol w:w="4384"/>
        <w:gridCol w:w="4796"/>
      </w:tblGrid>
      <w:tr w:rsidR="001C74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C74B1" w:rsidRDefault="00D84C89">
            <w:pPr>
              <w:spacing w:after="0" w:line="360" w:lineRule="auto"/>
            </w:pPr>
            <w:r>
              <w:rPr>
                <w:rFonts w:ascii="Arial" w:eastAsia="Arial" w:hAnsi="Arial" w:cs="Arial"/>
              </w:rPr>
              <w:t>Priemerný počet zamestnancov  konsolidovaného celku počas účtovného obdobia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 w:line="360" w:lineRule="auto"/>
            </w:pPr>
            <w:r>
              <w:rPr>
                <w:rFonts w:ascii="Arial" w:eastAsia="Arial" w:hAnsi="Arial" w:cs="Arial"/>
                <w:i/>
                <w:color w:val="000000"/>
              </w:rPr>
              <w:t>51</w:t>
            </w:r>
          </w:p>
        </w:tc>
      </w:tr>
      <w:tr w:rsidR="001C74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C74B1" w:rsidRDefault="00D84C89">
            <w:pPr>
              <w:spacing w:after="0" w:line="360" w:lineRule="auto"/>
            </w:pPr>
            <w:r>
              <w:rPr>
                <w:rFonts w:ascii="Arial" w:eastAsia="Arial" w:hAnsi="Arial" w:cs="Arial"/>
              </w:rPr>
              <w:t xml:space="preserve"> z toho : Počet  vedúcich  zamestnancov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 w:line="360" w:lineRule="auto"/>
            </w:pPr>
            <w:r>
              <w:rPr>
                <w:rFonts w:ascii="Arial" w:eastAsia="Arial" w:hAnsi="Arial" w:cs="Arial"/>
                <w:i/>
                <w:color w:val="000000"/>
              </w:rPr>
              <w:t>6</w:t>
            </w:r>
          </w:p>
        </w:tc>
      </w:tr>
    </w:tbl>
    <w:p w:rsidR="001C74B1" w:rsidRDefault="00D84C89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Priemerný počet zamestnancov sa medziročne  narástol o 4</w:t>
      </w:r>
      <w:r>
        <w:rPr>
          <w:rFonts w:ascii="Arial" w:eastAsia="Arial" w:hAnsi="Arial" w:cs="Arial"/>
        </w:rPr>
        <w:t>% z dôvodu rozšírenia kapacít Materskej školy Lietava</w:t>
      </w:r>
    </w:p>
    <w:p w:rsidR="001C74B1" w:rsidRDefault="001C74B1">
      <w:pPr>
        <w:spacing w:after="0" w:line="360" w:lineRule="auto"/>
        <w:rPr>
          <w:rFonts w:ascii="Arial" w:eastAsia="Arial" w:hAnsi="Arial" w:cs="Arial"/>
        </w:rPr>
      </w:pPr>
    </w:p>
    <w:p w:rsidR="001C74B1" w:rsidRDefault="001C74B1">
      <w:pPr>
        <w:spacing w:after="0" w:line="360" w:lineRule="auto"/>
        <w:rPr>
          <w:rFonts w:ascii="Arial" w:eastAsia="Arial" w:hAnsi="Arial" w:cs="Arial"/>
        </w:rPr>
      </w:pP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Konsolidovaný celok sa v roku 2020 oproti minulým účtovn</w:t>
      </w:r>
      <w:r>
        <w:rPr>
          <w:rFonts w:ascii="Arial" w:eastAsia="Arial" w:hAnsi="Arial" w:cs="Arial"/>
        </w:rPr>
        <w:t>ým obdobiam nezmenil.</w:t>
      </w:r>
    </w:p>
    <w:p w:rsidR="001C74B1" w:rsidRDefault="001C74B1">
      <w:pPr>
        <w:spacing w:after="0" w:line="360" w:lineRule="auto"/>
        <w:ind w:right="-79"/>
        <w:jc w:val="both"/>
        <w:rPr>
          <w:rFonts w:ascii="Arial" w:eastAsia="Arial" w:hAnsi="Arial" w:cs="Arial"/>
        </w:rPr>
      </w:pP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 xml:space="preserve">Prehľad o účtovných jednotkách konsolidovaného celku vrátane uvedenia štatutárnych orgánov je uvedený v prílohe,  v tabuľkovej časti </w:t>
      </w:r>
      <w:r>
        <w:rPr>
          <w:rFonts w:ascii="Arial" w:eastAsia="Arial" w:hAnsi="Arial" w:cs="Arial"/>
          <w:i/>
        </w:rPr>
        <w:t>Údaje o konsolidovanom celku</w:t>
      </w:r>
      <w:r>
        <w:rPr>
          <w:rFonts w:ascii="Arial" w:eastAsia="Arial" w:hAnsi="Arial" w:cs="Arial"/>
        </w:rPr>
        <w:t xml:space="preserve">. </w:t>
      </w:r>
    </w:p>
    <w:p w:rsidR="001C74B1" w:rsidRDefault="001C74B1">
      <w:pPr>
        <w:spacing w:after="0" w:line="360" w:lineRule="auto"/>
        <w:ind w:right="-79"/>
        <w:jc w:val="both"/>
        <w:rPr>
          <w:rFonts w:ascii="Arial" w:eastAsia="Arial" w:hAnsi="Arial" w:cs="Arial"/>
        </w:rPr>
      </w:pP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Konsolidovaná účtovná závierka k 31. decembru 2020</w:t>
      </w:r>
      <w:r>
        <w:rPr>
          <w:rFonts w:ascii="Arial" w:eastAsia="Arial" w:hAnsi="Arial" w:cs="Arial"/>
        </w:rPr>
        <w:t xml:space="preserve"> je zostavená ako riadna konsolidovaná účtovná závierka podľa zákona č. 431/2002 Z. z. o účtovníctve v znení neskorších predpisov, za účtovné obdobie od 1. januára 2020 do 31. decembra 2020. </w:t>
      </w:r>
    </w:p>
    <w:p w:rsidR="001C74B1" w:rsidRDefault="001C74B1">
      <w:pPr>
        <w:spacing w:after="0" w:line="360" w:lineRule="auto"/>
        <w:ind w:right="-79"/>
        <w:jc w:val="both"/>
        <w:rPr>
          <w:rFonts w:ascii="Arial" w:eastAsia="Arial" w:hAnsi="Arial" w:cs="Arial"/>
        </w:rPr>
      </w:pP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Konsolidujúca účtovná jednotka je súčasťou súhrnného celku vere</w:t>
      </w:r>
      <w:r>
        <w:rPr>
          <w:rFonts w:ascii="Arial" w:eastAsia="Arial" w:hAnsi="Arial" w:cs="Arial"/>
        </w:rPr>
        <w:t>jnej správy Slovenskej republiky.</w:t>
      </w:r>
    </w:p>
    <w:p w:rsidR="001C74B1" w:rsidRDefault="001C74B1">
      <w:pPr>
        <w:spacing w:after="0" w:line="360" w:lineRule="auto"/>
        <w:rPr>
          <w:rFonts w:ascii="Arial" w:eastAsia="Arial" w:hAnsi="Arial" w:cs="Arial"/>
          <w:b/>
          <w:i/>
        </w:rPr>
      </w:pP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Konsolidovaná účtovná závierka bola zostavená za predpokladu nepretržitého trvania  činnosti v súlade so zákonom o účtovníctve a nadväzujúcimi právnymi predpismi.</w:t>
      </w:r>
    </w:p>
    <w:p w:rsidR="001C74B1" w:rsidRDefault="001C74B1">
      <w:pPr>
        <w:spacing w:after="0" w:line="360" w:lineRule="auto"/>
        <w:ind w:right="-79"/>
        <w:jc w:val="both"/>
        <w:rPr>
          <w:rFonts w:ascii="Arial" w:eastAsia="Arial" w:hAnsi="Arial" w:cs="Arial"/>
        </w:rPr>
      </w:pP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Účtovné metódy a všeobecné účtovné zásady boli účtovnou j</w:t>
      </w:r>
      <w:r>
        <w:rPr>
          <w:rFonts w:ascii="Arial" w:eastAsia="Arial" w:hAnsi="Arial" w:cs="Arial"/>
        </w:rPr>
        <w:t>ednotkou konzistentne aplikované.</w:t>
      </w:r>
    </w:p>
    <w:p w:rsidR="001C74B1" w:rsidRDefault="001C74B1">
      <w:pPr>
        <w:spacing w:after="0" w:line="360" w:lineRule="auto"/>
        <w:ind w:right="-79"/>
        <w:jc w:val="both"/>
        <w:rPr>
          <w:rFonts w:ascii="Arial" w:eastAsia="Arial" w:hAnsi="Arial" w:cs="Arial"/>
        </w:rPr>
      </w:pPr>
    </w:p>
    <w:p w:rsidR="001C74B1" w:rsidRDefault="00D84C89">
      <w:pPr>
        <w:spacing w:after="0" w:line="36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Medzi účtovnými jednotkami konsolidovaného celku neboli uskutočnené transakcie z dôvodu predaja majetku.</w:t>
      </w:r>
    </w:p>
    <w:p w:rsidR="001C74B1" w:rsidRDefault="001C74B1">
      <w:pPr>
        <w:spacing w:after="0" w:line="360" w:lineRule="auto"/>
        <w:rPr>
          <w:rFonts w:ascii="Arial" w:eastAsia="Arial" w:hAnsi="Arial" w:cs="Arial"/>
          <w:b/>
          <w:i/>
        </w:rPr>
      </w:pPr>
    </w:p>
    <w:p w:rsidR="001C74B1" w:rsidRDefault="00D84C89">
      <w:pPr>
        <w:spacing w:after="0" w:line="360" w:lineRule="auto"/>
        <w:jc w:val="both"/>
        <w:rPr>
          <w:rFonts w:ascii="Arial" w:eastAsia="Arial" w:hAnsi="Arial" w:cs="Arial"/>
          <w:b/>
          <w:i/>
          <w:color w:val="0070C0"/>
        </w:rPr>
      </w:pPr>
      <w:r>
        <w:rPr>
          <w:rFonts w:ascii="Arial" w:eastAsia="Arial" w:hAnsi="Arial" w:cs="Arial"/>
          <w:b/>
        </w:rPr>
        <w:t>Informácie o metódach oceňovania použitých pri ocenení jednotlivých položiek konsolidovanej účtovnej závierky:</w:t>
      </w:r>
    </w:p>
    <w:p w:rsidR="001C74B1" w:rsidRDefault="001C74B1">
      <w:pPr>
        <w:spacing w:after="0" w:line="360" w:lineRule="auto"/>
        <w:jc w:val="both"/>
        <w:rPr>
          <w:rFonts w:ascii="Arial" w:eastAsia="Arial" w:hAnsi="Arial" w:cs="Arial"/>
          <w:b/>
          <w:i/>
          <w:color w:val="0070C0"/>
        </w:rPr>
      </w:pP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u w:val="single"/>
        </w:rPr>
        <w:t>Dlh</w:t>
      </w:r>
      <w:r>
        <w:rPr>
          <w:rFonts w:ascii="Arial" w:eastAsia="Arial" w:hAnsi="Arial" w:cs="Arial"/>
          <w:u w:val="single"/>
        </w:rPr>
        <w:t>odobý majetok</w:t>
      </w:r>
      <w:r>
        <w:rPr>
          <w:rFonts w:ascii="Arial" w:eastAsia="Arial" w:hAnsi="Arial" w:cs="Arial"/>
        </w:rPr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</w:t>
      </w:r>
      <w:r>
        <w:rPr>
          <w:rFonts w:ascii="Arial" w:eastAsia="Arial" w:hAnsi="Arial" w:cs="Arial"/>
        </w:rPr>
        <w:t>dmetného majetku.</w:t>
      </w:r>
    </w:p>
    <w:p w:rsidR="001C74B1" w:rsidRDefault="001C74B1">
      <w:pPr>
        <w:spacing w:after="0" w:line="360" w:lineRule="auto"/>
        <w:ind w:right="-79"/>
        <w:jc w:val="both"/>
        <w:rPr>
          <w:rFonts w:ascii="Arial" w:eastAsia="Arial" w:hAnsi="Arial" w:cs="Arial"/>
        </w:rPr>
      </w:pP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Dlhodobý majetok vytvorený vlastnou činnosťou sa oceňuje vlastnými nákladmi. Za vlastné náklady s a považujú všetky priame náklady vynaložené na výrobu alebo inú činnosť a všetky nepriame náklady vzťahujúce sa na výrobu. Majetok vytvoren</w:t>
      </w:r>
      <w:r>
        <w:rPr>
          <w:rFonts w:ascii="Arial" w:eastAsia="Arial" w:hAnsi="Arial" w:cs="Arial"/>
        </w:rPr>
        <w:t>ý vlastnou činnosťou by sa ocenil reprodukčnou obstarávacou cenou v prípade, ak by vlastné náklady boli vyššie</w:t>
      </w:r>
      <w:r>
        <w:rPr>
          <w:rFonts w:ascii="Arial" w:eastAsia="Arial" w:hAnsi="Arial" w:cs="Arial"/>
        </w:rPr>
        <w:tab/>
        <w:t>ako reprodukčná obstarávacia cena tohto majetku.</w:t>
      </w:r>
    </w:p>
    <w:p w:rsidR="001C74B1" w:rsidRDefault="001C74B1">
      <w:pPr>
        <w:spacing w:after="0" w:line="360" w:lineRule="auto"/>
        <w:ind w:right="-79"/>
        <w:jc w:val="both"/>
        <w:rPr>
          <w:rFonts w:ascii="Arial" w:eastAsia="Arial" w:hAnsi="Arial" w:cs="Arial"/>
        </w:rPr>
      </w:pPr>
    </w:p>
    <w:p w:rsidR="001C74B1" w:rsidRDefault="00D84C89">
      <w:pPr>
        <w:tabs>
          <w:tab w:val="left" w:pos="540"/>
        </w:tabs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Dlhodobý majetok nadobudnutý bezodplatným prevodom pri splynutí, zlúčení, rozdelení alebo pri p</w:t>
      </w:r>
      <w:r>
        <w:rPr>
          <w:rFonts w:ascii="Arial" w:eastAsia="Arial" w:hAnsi="Arial" w:cs="Arial"/>
        </w:rPr>
        <w:t xml:space="preserve">revode správy sa oceňuje cenou, v ktorej sa doteraz viedol v účtovníctve. Ak cenu nie je možné zistiť, oceňuje sa reprodukčnou obstarávacou cenou. Dlhodobý nehmotný a hmotný majetok obstaraný iným spôsobom (napr. bezodplatne nadobudnutý majetok, </w:t>
      </w:r>
      <w:r>
        <w:rPr>
          <w:rFonts w:ascii="Arial" w:eastAsia="Arial" w:hAnsi="Arial" w:cs="Arial"/>
        </w:rPr>
        <w:lastRenderedPageBreak/>
        <w:t>delimitova</w:t>
      </w:r>
      <w:r>
        <w:rPr>
          <w:rFonts w:ascii="Arial" w:eastAsia="Arial" w:hAnsi="Arial" w:cs="Arial"/>
        </w:rPr>
        <w:t>ný, novo zistený majetok pri inventarizácii) sa oceňuje reprodukčnou obstarávacou cenou. Reprodukčnou obstarávacou  cenou cena, za ktorú  by sa majetok obstaral v čase, keď sa o ňom účtuje.</w:t>
      </w:r>
    </w:p>
    <w:p w:rsidR="001C74B1" w:rsidRDefault="001C74B1">
      <w:pPr>
        <w:tabs>
          <w:tab w:val="left" w:pos="540"/>
        </w:tabs>
        <w:spacing w:after="0" w:line="360" w:lineRule="auto"/>
        <w:jc w:val="both"/>
        <w:rPr>
          <w:rFonts w:ascii="Arial" w:eastAsia="Arial" w:hAnsi="Arial" w:cs="Arial"/>
        </w:rPr>
      </w:pP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Predpokladaná doba použ</w:t>
      </w:r>
      <w:r>
        <w:rPr>
          <w:rFonts w:ascii="Arial" w:eastAsia="Arial" w:hAnsi="Arial" w:cs="Arial"/>
        </w:rPr>
        <w:t>ívania, metóda odpisovania a odpisová sadzba sú uvedené v nasledujúcej tabuľke: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/>
      </w:tblPr>
      <w:tblGrid>
        <w:gridCol w:w="2497"/>
        <w:gridCol w:w="2497"/>
        <w:gridCol w:w="2497"/>
      </w:tblGrid>
      <w:tr w:rsidR="001C74B1">
        <w:tblPrEx>
          <w:tblCellMar>
            <w:top w:w="0" w:type="dxa"/>
            <w:bottom w:w="0" w:type="dxa"/>
          </w:tblCellMar>
        </w:tblPrEx>
        <w:trPr>
          <w:trHeight w:val="88"/>
        </w:trPr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/>
              <w:jc w:val="center"/>
            </w:pPr>
            <w:r>
              <w:rPr>
                <w:rFonts w:ascii="Arial" w:eastAsia="Arial" w:hAnsi="Arial" w:cs="Arial"/>
                <w:i/>
                <w:color w:val="000000"/>
                <w:sz w:val="20"/>
              </w:rPr>
              <w:t>Odpisová skupina</w:t>
            </w:r>
          </w:p>
        </w:tc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/>
              <w:jc w:val="center"/>
            </w:pPr>
            <w:r>
              <w:rPr>
                <w:rFonts w:ascii="Arial" w:eastAsia="Arial" w:hAnsi="Arial" w:cs="Arial"/>
                <w:i/>
                <w:color w:val="000000"/>
                <w:sz w:val="20"/>
              </w:rPr>
              <w:t>Doba odpisovania v rokoch</w:t>
            </w:r>
          </w:p>
        </w:tc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/>
              <w:jc w:val="center"/>
            </w:pPr>
            <w:r>
              <w:rPr>
                <w:rFonts w:ascii="Arial" w:eastAsia="Arial" w:hAnsi="Arial" w:cs="Arial"/>
                <w:i/>
                <w:color w:val="000000"/>
                <w:sz w:val="20"/>
              </w:rPr>
              <w:t>Ročná odpisová sadzba</w:t>
            </w:r>
          </w:p>
        </w:tc>
      </w:tr>
      <w:tr w:rsidR="001C74B1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/>
              <w:jc w:val="center"/>
            </w:pPr>
            <w:r>
              <w:rPr>
                <w:rFonts w:ascii="Arial" w:eastAsia="Arial" w:hAnsi="Arial" w:cs="Arial"/>
                <w:color w:val="000000"/>
                <w:sz w:val="20"/>
              </w:rPr>
              <w:t>1</w:t>
            </w:r>
          </w:p>
        </w:tc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/>
              <w:jc w:val="center"/>
            </w:pPr>
            <w:r>
              <w:rPr>
                <w:rFonts w:ascii="Arial" w:eastAsia="Arial" w:hAnsi="Arial" w:cs="Arial"/>
                <w:color w:val="000000"/>
                <w:sz w:val="20"/>
              </w:rPr>
              <w:t>4</w:t>
            </w:r>
          </w:p>
        </w:tc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/>
              <w:jc w:val="center"/>
            </w:pPr>
            <w:r>
              <w:rPr>
                <w:rFonts w:ascii="Arial" w:eastAsia="Arial" w:hAnsi="Arial" w:cs="Arial"/>
                <w:color w:val="000000"/>
                <w:sz w:val="20"/>
              </w:rPr>
              <w:t>¼</w:t>
            </w:r>
          </w:p>
        </w:tc>
      </w:tr>
      <w:tr w:rsidR="001C74B1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/>
              <w:jc w:val="center"/>
            </w:pPr>
            <w:r>
              <w:rPr>
                <w:rFonts w:ascii="Arial" w:eastAsia="Arial" w:hAnsi="Arial" w:cs="Arial"/>
                <w:color w:val="000000"/>
                <w:sz w:val="20"/>
              </w:rPr>
              <w:t>2</w:t>
            </w:r>
          </w:p>
        </w:tc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/>
              <w:jc w:val="center"/>
            </w:pPr>
            <w:r>
              <w:rPr>
                <w:rFonts w:ascii="Arial" w:eastAsia="Arial" w:hAnsi="Arial" w:cs="Arial"/>
                <w:color w:val="000000"/>
                <w:sz w:val="20"/>
              </w:rPr>
              <w:t>6</w:t>
            </w:r>
          </w:p>
        </w:tc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/>
              <w:jc w:val="center"/>
            </w:pPr>
            <w:r>
              <w:rPr>
                <w:rFonts w:ascii="Arial" w:eastAsia="Arial" w:hAnsi="Arial" w:cs="Arial"/>
                <w:color w:val="000000"/>
                <w:sz w:val="20"/>
              </w:rPr>
              <w:t>1/6</w:t>
            </w:r>
          </w:p>
        </w:tc>
      </w:tr>
      <w:tr w:rsidR="001C74B1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/>
              <w:jc w:val="center"/>
            </w:pPr>
            <w:r>
              <w:rPr>
                <w:rFonts w:ascii="Arial" w:eastAsia="Arial" w:hAnsi="Arial" w:cs="Arial"/>
                <w:color w:val="000000"/>
                <w:sz w:val="20"/>
              </w:rPr>
              <w:t>3</w:t>
            </w:r>
          </w:p>
        </w:tc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/>
              <w:jc w:val="center"/>
            </w:pPr>
            <w:r>
              <w:rPr>
                <w:rFonts w:ascii="Arial" w:eastAsia="Arial" w:hAnsi="Arial" w:cs="Arial"/>
                <w:color w:val="000000"/>
                <w:sz w:val="20"/>
              </w:rPr>
              <w:t>8</w:t>
            </w:r>
          </w:p>
        </w:tc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/>
              <w:jc w:val="center"/>
            </w:pPr>
            <w:r>
              <w:rPr>
                <w:rFonts w:ascii="Arial" w:eastAsia="Arial" w:hAnsi="Arial" w:cs="Arial"/>
                <w:color w:val="000000"/>
                <w:sz w:val="20"/>
              </w:rPr>
              <w:t>1/8</w:t>
            </w:r>
          </w:p>
        </w:tc>
      </w:tr>
      <w:tr w:rsidR="001C74B1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/>
              <w:jc w:val="center"/>
            </w:pPr>
            <w:r>
              <w:rPr>
                <w:rFonts w:ascii="Arial" w:eastAsia="Arial" w:hAnsi="Arial" w:cs="Arial"/>
                <w:color w:val="000000"/>
                <w:sz w:val="20"/>
              </w:rPr>
              <w:t>4</w:t>
            </w:r>
          </w:p>
        </w:tc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/>
              <w:jc w:val="center"/>
            </w:pPr>
            <w:r>
              <w:rPr>
                <w:rFonts w:ascii="Arial" w:eastAsia="Arial" w:hAnsi="Arial" w:cs="Arial"/>
                <w:color w:val="000000"/>
                <w:sz w:val="20"/>
              </w:rPr>
              <w:t>12</w:t>
            </w:r>
          </w:p>
        </w:tc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/>
              <w:jc w:val="center"/>
            </w:pPr>
            <w:r>
              <w:rPr>
                <w:rFonts w:ascii="Arial" w:eastAsia="Arial" w:hAnsi="Arial" w:cs="Arial"/>
                <w:color w:val="000000"/>
                <w:sz w:val="20"/>
              </w:rPr>
              <w:t>1/12</w:t>
            </w:r>
          </w:p>
        </w:tc>
      </w:tr>
      <w:tr w:rsidR="001C74B1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/>
              <w:jc w:val="center"/>
            </w:pPr>
            <w:r>
              <w:rPr>
                <w:rFonts w:ascii="Arial" w:eastAsia="Arial" w:hAnsi="Arial" w:cs="Arial"/>
                <w:color w:val="000000"/>
                <w:sz w:val="20"/>
              </w:rPr>
              <w:t>5</w:t>
            </w:r>
          </w:p>
        </w:tc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/>
              <w:jc w:val="center"/>
            </w:pPr>
            <w:r>
              <w:rPr>
                <w:rFonts w:ascii="Arial" w:eastAsia="Arial" w:hAnsi="Arial" w:cs="Arial"/>
                <w:color w:val="000000"/>
                <w:sz w:val="20"/>
              </w:rPr>
              <w:t>20</w:t>
            </w:r>
          </w:p>
        </w:tc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/>
              <w:jc w:val="center"/>
            </w:pPr>
            <w:r>
              <w:rPr>
                <w:rFonts w:ascii="Arial" w:eastAsia="Arial" w:hAnsi="Arial" w:cs="Arial"/>
                <w:color w:val="000000"/>
                <w:sz w:val="20"/>
              </w:rPr>
              <w:t>1/20</w:t>
            </w:r>
          </w:p>
        </w:tc>
      </w:tr>
      <w:tr w:rsidR="001C74B1">
        <w:tblPrEx>
          <w:tblCellMar>
            <w:top w:w="0" w:type="dxa"/>
            <w:bottom w:w="0" w:type="dxa"/>
          </w:tblCellMar>
        </w:tblPrEx>
        <w:trPr>
          <w:trHeight w:val="248"/>
        </w:trPr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/>
              <w:jc w:val="center"/>
            </w:pPr>
            <w:r>
              <w:rPr>
                <w:rFonts w:ascii="Arial" w:eastAsia="Arial" w:hAnsi="Arial" w:cs="Arial"/>
                <w:color w:val="000000"/>
                <w:sz w:val="20"/>
              </w:rPr>
              <w:t>6</w:t>
            </w:r>
          </w:p>
        </w:tc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/>
              <w:jc w:val="center"/>
            </w:pPr>
            <w:r>
              <w:rPr>
                <w:rFonts w:ascii="Arial" w:eastAsia="Arial" w:hAnsi="Arial" w:cs="Arial"/>
                <w:color w:val="000000"/>
                <w:sz w:val="20"/>
              </w:rPr>
              <w:t>40</w:t>
            </w:r>
          </w:p>
        </w:tc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/>
              <w:jc w:val="center"/>
            </w:pPr>
            <w:r>
              <w:rPr>
                <w:rFonts w:ascii="Arial" w:eastAsia="Arial" w:hAnsi="Arial" w:cs="Arial"/>
                <w:color w:val="000000"/>
                <w:sz w:val="20"/>
              </w:rPr>
              <w:t>1/40</w:t>
            </w:r>
          </w:p>
        </w:tc>
      </w:tr>
    </w:tbl>
    <w:p w:rsidR="001C74B1" w:rsidRDefault="001C74B1">
      <w:pPr>
        <w:spacing w:after="0" w:line="360" w:lineRule="auto"/>
        <w:ind w:right="-79"/>
        <w:jc w:val="both"/>
        <w:rPr>
          <w:rFonts w:ascii="Arial" w:eastAsia="Arial" w:hAnsi="Arial" w:cs="Arial"/>
        </w:rPr>
      </w:pPr>
    </w:p>
    <w:p w:rsidR="001C74B1" w:rsidRDefault="001C74B1">
      <w:pPr>
        <w:spacing w:after="0" w:line="360" w:lineRule="auto"/>
        <w:ind w:right="-79"/>
        <w:jc w:val="both"/>
        <w:rPr>
          <w:rFonts w:ascii="Arial" w:eastAsia="Arial" w:hAnsi="Arial" w:cs="Arial"/>
        </w:rPr>
      </w:pP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u w:val="single"/>
        </w:rPr>
        <w:t>Cenné papiere a podiely</w:t>
      </w:r>
      <w:r>
        <w:rPr>
          <w:rFonts w:ascii="Arial" w:eastAsia="Arial" w:hAnsi="Arial" w:cs="Arial"/>
        </w:rPr>
        <w:t xml:space="preserve"> sa oceňuj</w:t>
      </w:r>
      <w:r>
        <w:rPr>
          <w:rFonts w:ascii="Arial" w:eastAsia="Arial" w:hAnsi="Arial" w:cs="Arial"/>
        </w:rPr>
        <w:t xml:space="preserve">ú pri ich nadobudnutí obstarávacími cenami, </w:t>
      </w:r>
      <w:r>
        <w:rPr>
          <w:rFonts w:ascii="Arial" w:eastAsia="Arial" w:hAnsi="Arial" w:cs="Arial"/>
        </w:rPr>
        <w:tab/>
      </w:r>
      <w:proofErr w:type="spellStart"/>
      <w:r>
        <w:rPr>
          <w:rFonts w:ascii="Arial" w:eastAsia="Arial" w:hAnsi="Arial" w:cs="Arial"/>
        </w:rPr>
        <w:t>t.j.vrátane</w:t>
      </w:r>
      <w:proofErr w:type="spellEnd"/>
      <w:r>
        <w:rPr>
          <w:rFonts w:ascii="Arial" w:eastAsia="Arial" w:hAnsi="Arial" w:cs="Arial"/>
        </w:rPr>
        <w:t xml:space="preserve"> nákladov súvisiacich s obstaraním. </w:t>
      </w: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u w:val="single"/>
        </w:rPr>
        <w:t xml:space="preserve">Zásoby </w:t>
      </w:r>
      <w:r>
        <w:rPr>
          <w:rFonts w:ascii="Arial" w:eastAsia="Arial" w:hAnsi="Arial" w:cs="Arial"/>
        </w:rPr>
        <w:t>nakupované sa oceňujú obstarávacou cenou, ktorá zahrňuje cenu obstarania a náklady súvisiace s obstaraním (clo, prepravu a pod.) znížené o zľavy z ceny.</w:t>
      </w:r>
      <w:r>
        <w:rPr>
          <w:rFonts w:ascii="Arial" w:eastAsia="Arial" w:hAnsi="Arial" w:cs="Arial"/>
        </w:rPr>
        <w:t xml:space="preserve"> </w:t>
      </w: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Zásoby vytvorené vlastnou činnosťou sa oceňujú vlastnými nákladmi. Vlastné náklady sú priame náklady (priamy materiál, priame mzdy a ostatné priame </w:t>
      </w:r>
      <w:r>
        <w:rPr>
          <w:rFonts w:ascii="Arial" w:eastAsia="Arial" w:hAnsi="Arial" w:cs="Arial"/>
        </w:rPr>
        <w:tab/>
        <w:t>náklady) a časť nepriamych nákladov bezprostredne súvisiacich s vytvorením zásob vlastnou činnosťou (výro</w:t>
      </w:r>
      <w:r>
        <w:rPr>
          <w:rFonts w:ascii="Arial" w:eastAsia="Arial" w:hAnsi="Arial" w:cs="Arial"/>
        </w:rPr>
        <w:t xml:space="preserve">bná réžia). Výrobná réžia sa do vlastných nákladov zahrňuje v závislosti od stupňa rozpracovanosti týchto zásob. </w:t>
      </w:r>
    </w:p>
    <w:p w:rsidR="001C74B1" w:rsidRDefault="00D84C89">
      <w:pPr>
        <w:tabs>
          <w:tab w:val="left" w:pos="360"/>
        </w:tabs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Zásoby nadobudnuté bezodplatne (darovaním a delimitáciou), prebytky zásob, odpad a zvyškové produkty  sa oceňujú reprodukčnou obstar</w:t>
      </w:r>
      <w:r>
        <w:rPr>
          <w:rFonts w:ascii="Arial" w:eastAsia="Arial" w:hAnsi="Arial" w:cs="Arial"/>
        </w:rPr>
        <w:t xml:space="preserve">ávacou cenou, čo je cena, za ktorú by sa majetok obstaral v čase, keď sa o ňom účtuje. </w:t>
      </w: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Novozistené zásoby pri inventarizácii sa oceňujú reprodukčnou obstarávacou cenou.</w:t>
      </w:r>
    </w:p>
    <w:p w:rsidR="001C74B1" w:rsidRDefault="001C74B1">
      <w:pPr>
        <w:spacing w:after="0" w:line="360" w:lineRule="auto"/>
        <w:ind w:right="-79"/>
        <w:jc w:val="both"/>
        <w:rPr>
          <w:rFonts w:ascii="Arial" w:eastAsia="Arial" w:hAnsi="Arial" w:cs="Arial"/>
        </w:rPr>
      </w:pP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u w:val="single"/>
        </w:rPr>
        <w:t xml:space="preserve">Pohľadávky </w:t>
      </w:r>
      <w:r>
        <w:rPr>
          <w:rFonts w:ascii="Arial" w:eastAsia="Arial" w:hAnsi="Arial" w:cs="Arial"/>
        </w:rPr>
        <w:t>pri ich vzniku sa oceňujú menovitou hodnotou. Pohľadávky pri odplatnom nad</w:t>
      </w:r>
      <w:r>
        <w:rPr>
          <w:rFonts w:ascii="Arial" w:eastAsia="Arial" w:hAnsi="Arial" w:cs="Arial"/>
        </w:rPr>
        <w:t>obudnutí sa oceňujú obstarávacou cenou, t.j. vrátane nákladov súvisiacich s obstaraním. Toto ocenenie sa znižuje o pochybné,  nedobytným pohľadávky a o pohľadávky, pri ktorých existuje riziko nevymožiteľnosti.</w:t>
      </w:r>
    </w:p>
    <w:p w:rsidR="001C74B1" w:rsidRDefault="001C74B1">
      <w:pPr>
        <w:spacing w:after="0" w:line="360" w:lineRule="auto"/>
        <w:ind w:right="-79"/>
        <w:jc w:val="both"/>
        <w:rPr>
          <w:rFonts w:ascii="Arial" w:eastAsia="Arial" w:hAnsi="Arial" w:cs="Arial"/>
        </w:rPr>
      </w:pP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u w:val="single"/>
        </w:rPr>
        <w:t>Peňažné prostriedky a ceniny</w:t>
      </w:r>
      <w:r>
        <w:rPr>
          <w:rFonts w:ascii="Arial" w:eastAsia="Arial" w:hAnsi="Arial" w:cs="Arial"/>
        </w:rPr>
        <w:t xml:space="preserve"> sa oceňuj</w:t>
      </w:r>
      <w:r>
        <w:rPr>
          <w:rFonts w:ascii="Arial" w:eastAsia="Arial" w:hAnsi="Arial" w:cs="Arial"/>
        </w:rPr>
        <w:t>ú menovitou hodnotou.</w:t>
      </w:r>
    </w:p>
    <w:p w:rsidR="001C74B1" w:rsidRDefault="001C74B1">
      <w:pPr>
        <w:spacing w:after="0" w:line="360" w:lineRule="auto"/>
        <w:ind w:right="-79"/>
        <w:jc w:val="both"/>
        <w:rPr>
          <w:rFonts w:ascii="Arial" w:eastAsia="Arial" w:hAnsi="Arial" w:cs="Arial"/>
        </w:rPr>
      </w:pP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u w:val="single"/>
        </w:rPr>
        <w:lastRenderedPageBreak/>
        <w:t>Rezervy</w:t>
      </w:r>
      <w:r>
        <w:rPr>
          <w:rFonts w:ascii="Arial" w:eastAsia="Arial" w:hAnsi="Arial" w:cs="Arial"/>
        </w:rPr>
        <w:t xml:space="preserve"> sú záväzky s neurčitým časovým vymedzením alebo výškou a oceňujú sa v očakávanej výške záväzku alebo poistno-matematickými metódami.</w:t>
      </w:r>
    </w:p>
    <w:p w:rsidR="001C74B1" w:rsidRDefault="001C74B1">
      <w:pPr>
        <w:spacing w:after="0" w:line="360" w:lineRule="auto"/>
        <w:ind w:right="-79"/>
        <w:jc w:val="both"/>
        <w:rPr>
          <w:rFonts w:ascii="Arial" w:eastAsia="Arial" w:hAnsi="Arial" w:cs="Arial"/>
        </w:rPr>
      </w:pP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u w:val="single"/>
        </w:rPr>
        <w:t>Záväzky</w:t>
      </w:r>
      <w:r>
        <w:rPr>
          <w:rFonts w:ascii="Arial" w:eastAsia="Arial" w:hAnsi="Arial" w:cs="Arial"/>
        </w:rPr>
        <w:t xml:space="preserve"> sa pri ich vzniku oceňujú menovitou hodnotou a pri ich prevzatí sa oceňujú obstaráv</w:t>
      </w:r>
      <w:r>
        <w:rPr>
          <w:rFonts w:ascii="Arial" w:eastAsia="Arial" w:hAnsi="Arial" w:cs="Arial"/>
        </w:rPr>
        <w:t xml:space="preserve">acou cenou. </w:t>
      </w:r>
    </w:p>
    <w:p w:rsidR="001C74B1" w:rsidRDefault="001C74B1">
      <w:pPr>
        <w:spacing w:after="0" w:line="360" w:lineRule="auto"/>
        <w:ind w:right="-79"/>
        <w:jc w:val="both"/>
        <w:rPr>
          <w:rFonts w:ascii="Arial" w:eastAsia="Arial" w:hAnsi="Arial" w:cs="Arial"/>
        </w:rPr>
      </w:pP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Účty </w:t>
      </w:r>
      <w:r>
        <w:rPr>
          <w:rFonts w:ascii="Arial" w:eastAsia="Arial" w:hAnsi="Arial" w:cs="Arial"/>
          <w:u w:val="single"/>
        </w:rPr>
        <w:t>časového rozlíšenia aktív a pasív</w:t>
      </w:r>
      <w:r>
        <w:rPr>
          <w:rFonts w:ascii="Arial" w:eastAsia="Arial" w:hAnsi="Arial" w:cs="Arial"/>
        </w:rPr>
        <w:t xml:space="preserve"> sú vykázané vo výške, ktorá je potrebná na dodržanie zásady vecnej a časovej súvislosti s účtovným obdobím.</w:t>
      </w:r>
    </w:p>
    <w:p w:rsidR="001C74B1" w:rsidRDefault="001C74B1">
      <w:pPr>
        <w:spacing w:after="0" w:line="360" w:lineRule="auto"/>
        <w:jc w:val="both"/>
        <w:rPr>
          <w:rFonts w:ascii="Arial" w:eastAsia="Arial" w:hAnsi="Arial" w:cs="Arial"/>
          <w:b/>
          <w:i/>
          <w:color w:val="0070C0"/>
        </w:rPr>
      </w:pPr>
    </w:p>
    <w:p w:rsidR="001C74B1" w:rsidRDefault="001C74B1">
      <w:pPr>
        <w:spacing w:after="0" w:line="360" w:lineRule="auto"/>
        <w:rPr>
          <w:rFonts w:ascii="Arial" w:eastAsia="Arial" w:hAnsi="Arial" w:cs="Arial"/>
          <w:b/>
          <w:color w:val="4B4B4B"/>
        </w:rPr>
      </w:pPr>
    </w:p>
    <w:p w:rsidR="001C74B1" w:rsidRDefault="00D84C89">
      <w:pPr>
        <w:spacing w:after="0" w:line="360" w:lineRule="auto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color w:val="4B4B4B"/>
        </w:rPr>
        <w:t> </w:t>
      </w:r>
      <w:r>
        <w:rPr>
          <w:rFonts w:ascii="Arial" w:eastAsia="Arial" w:hAnsi="Arial" w:cs="Arial"/>
          <w:b/>
        </w:rPr>
        <w:t>Čl. II</w:t>
      </w:r>
    </w:p>
    <w:p w:rsidR="001C74B1" w:rsidRDefault="00D84C89">
      <w:pPr>
        <w:spacing w:after="0" w:line="360" w:lineRule="auto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Informácie o metódach a postupoch konsolidácie</w:t>
      </w:r>
    </w:p>
    <w:p w:rsidR="001C74B1" w:rsidRDefault="00D84C89">
      <w:pPr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Konsolidovaná  účtovná  závierka  Obce</w:t>
      </w:r>
      <w:r>
        <w:rPr>
          <w:rFonts w:ascii="Arial" w:eastAsia="Arial" w:hAnsi="Arial" w:cs="Arial"/>
        </w:rPr>
        <w:t xml:space="preserve">  Lietava  bola zostavená v súlade so zákonom                               č. 431/2002 Z. z. o účtovníctve v znení neskorších predpisov v súlade s Opatrením Ministerstva financií Slovenskej republiky  zo dňa 17. decembra 2008 č. MF/27526/2008 – 31, ktorým</w:t>
      </w:r>
      <w:r>
        <w:rPr>
          <w:rFonts w:ascii="Arial" w:eastAsia="Arial" w:hAnsi="Arial" w:cs="Arial"/>
        </w:rPr>
        <w:t xml:space="preserve">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1C74B1" w:rsidRDefault="001C74B1">
      <w:pPr>
        <w:spacing w:after="0" w:line="360" w:lineRule="auto"/>
        <w:jc w:val="both"/>
        <w:rPr>
          <w:rFonts w:ascii="Arial" w:eastAsia="Arial" w:hAnsi="Arial" w:cs="Arial"/>
        </w:rPr>
      </w:pPr>
    </w:p>
    <w:p w:rsidR="001C74B1" w:rsidRDefault="00D84C89">
      <w:pPr>
        <w:spacing w:after="0" w:line="360" w:lineRule="auto"/>
        <w:jc w:val="both"/>
        <w:rPr>
          <w:rFonts w:ascii="Arial" w:eastAsia="Arial" w:hAnsi="Arial" w:cs="Arial"/>
          <w:b/>
          <w:i/>
        </w:rPr>
      </w:pPr>
      <w:r>
        <w:rPr>
          <w:rFonts w:ascii="Arial" w:eastAsia="Arial" w:hAnsi="Arial" w:cs="Arial"/>
          <w:b/>
          <w:i/>
        </w:rPr>
        <w:t>Zahrnutie konsolidovaných účtovn</w:t>
      </w:r>
      <w:r>
        <w:rPr>
          <w:rFonts w:ascii="Arial" w:eastAsia="Arial" w:hAnsi="Arial" w:cs="Arial"/>
          <w:b/>
          <w:i/>
        </w:rPr>
        <w:t>ých jednotiek do konsolidovanej účtovnej závierky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/>
      </w:tblPr>
      <w:tblGrid>
        <w:gridCol w:w="4630"/>
        <w:gridCol w:w="1522"/>
        <w:gridCol w:w="1541"/>
        <w:gridCol w:w="1557"/>
      </w:tblGrid>
      <w:tr w:rsidR="001C74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 w:line="360" w:lineRule="auto"/>
              <w:jc w:val="center"/>
              <w:rPr>
                <w:rFonts w:ascii="Arial" w:eastAsia="Arial" w:hAnsi="Arial" w:cs="Arial"/>
                <w:i/>
              </w:rPr>
            </w:pPr>
            <w:r>
              <w:rPr>
                <w:rFonts w:ascii="Arial" w:eastAsia="Arial" w:hAnsi="Arial" w:cs="Arial"/>
                <w:i/>
              </w:rPr>
              <w:t xml:space="preserve">Názov resp. obchodné meno </w:t>
            </w:r>
          </w:p>
          <w:p w:rsidR="001C74B1" w:rsidRDefault="00D84C89">
            <w:pPr>
              <w:spacing w:after="0" w:line="360" w:lineRule="auto"/>
              <w:jc w:val="center"/>
            </w:pPr>
            <w:r>
              <w:rPr>
                <w:rFonts w:ascii="Arial" w:eastAsia="Arial" w:hAnsi="Arial" w:cs="Arial"/>
                <w:i/>
              </w:rPr>
              <w:t>konsolidovanej účtovnej jednotky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 w:line="360" w:lineRule="auto"/>
              <w:jc w:val="center"/>
              <w:rPr>
                <w:rFonts w:ascii="Arial" w:eastAsia="Arial" w:hAnsi="Arial" w:cs="Arial"/>
                <w:i/>
              </w:rPr>
            </w:pPr>
            <w:r>
              <w:rPr>
                <w:rFonts w:ascii="Arial" w:eastAsia="Arial" w:hAnsi="Arial" w:cs="Arial"/>
                <w:i/>
              </w:rPr>
              <w:t xml:space="preserve">Metóda </w:t>
            </w:r>
          </w:p>
          <w:p w:rsidR="001C74B1" w:rsidRDefault="00D84C89">
            <w:pPr>
              <w:spacing w:after="0" w:line="360" w:lineRule="auto"/>
              <w:jc w:val="center"/>
            </w:pPr>
            <w:r>
              <w:rPr>
                <w:rFonts w:ascii="Arial" w:eastAsia="Arial" w:hAnsi="Arial" w:cs="Arial"/>
                <w:i/>
              </w:rPr>
              <w:t>úplnej konsolidácie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 w:line="360" w:lineRule="auto"/>
              <w:jc w:val="center"/>
              <w:rPr>
                <w:rFonts w:ascii="Arial" w:eastAsia="Arial" w:hAnsi="Arial" w:cs="Arial"/>
                <w:i/>
              </w:rPr>
            </w:pPr>
            <w:r>
              <w:rPr>
                <w:rFonts w:ascii="Arial" w:eastAsia="Arial" w:hAnsi="Arial" w:cs="Arial"/>
                <w:i/>
              </w:rPr>
              <w:t xml:space="preserve">Metóda </w:t>
            </w:r>
          </w:p>
          <w:p w:rsidR="001C74B1" w:rsidRDefault="00D84C89">
            <w:pPr>
              <w:spacing w:after="0" w:line="360" w:lineRule="auto"/>
              <w:jc w:val="center"/>
            </w:pPr>
            <w:r>
              <w:rPr>
                <w:rFonts w:ascii="Arial" w:eastAsia="Arial" w:hAnsi="Arial" w:cs="Arial"/>
                <w:i/>
              </w:rPr>
              <w:t>podielovej konsolidácie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 w:line="360" w:lineRule="auto"/>
              <w:jc w:val="center"/>
              <w:rPr>
                <w:rFonts w:ascii="Arial" w:eastAsia="Arial" w:hAnsi="Arial" w:cs="Arial"/>
                <w:i/>
              </w:rPr>
            </w:pPr>
            <w:r>
              <w:rPr>
                <w:rFonts w:ascii="Arial" w:eastAsia="Arial" w:hAnsi="Arial" w:cs="Arial"/>
                <w:i/>
              </w:rPr>
              <w:t xml:space="preserve">Metóda </w:t>
            </w:r>
          </w:p>
          <w:p w:rsidR="001C74B1" w:rsidRDefault="00D84C89">
            <w:pPr>
              <w:spacing w:after="0" w:line="360" w:lineRule="auto"/>
              <w:jc w:val="center"/>
            </w:pPr>
            <w:r>
              <w:rPr>
                <w:rFonts w:ascii="Arial" w:eastAsia="Arial" w:hAnsi="Arial" w:cs="Arial"/>
                <w:i/>
              </w:rPr>
              <w:t>vlastného imania</w:t>
            </w:r>
          </w:p>
        </w:tc>
      </w:tr>
      <w:tr w:rsidR="001C74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 w:line="360" w:lineRule="auto"/>
              <w:jc w:val="center"/>
            </w:pPr>
            <w:r>
              <w:rPr>
                <w:rFonts w:ascii="Arial" w:eastAsia="Arial" w:hAnsi="Arial" w:cs="Arial"/>
                <w:i/>
              </w:rPr>
              <w:t>Základná škola Lietava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 w:line="360" w:lineRule="auto"/>
              <w:jc w:val="both"/>
            </w:pPr>
            <w:r>
              <w:rPr>
                <w:rFonts w:ascii="Arial" w:eastAsia="Arial" w:hAnsi="Arial" w:cs="Arial"/>
                <w:i/>
              </w:rPr>
              <w:t>áno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 w:line="360" w:lineRule="auto"/>
              <w:jc w:val="center"/>
            </w:pPr>
            <w:r>
              <w:rPr>
                <w:rFonts w:ascii="Arial" w:eastAsia="Arial" w:hAnsi="Arial" w:cs="Arial"/>
              </w:rPr>
              <w:t>-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 w:line="360" w:lineRule="auto"/>
              <w:jc w:val="center"/>
            </w:pPr>
            <w:r>
              <w:rPr>
                <w:rFonts w:ascii="Arial" w:eastAsia="Arial" w:hAnsi="Arial" w:cs="Arial"/>
              </w:rPr>
              <w:t>-</w:t>
            </w:r>
          </w:p>
        </w:tc>
      </w:tr>
      <w:tr w:rsidR="001C74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 w:line="360" w:lineRule="auto"/>
              <w:jc w:val="center"/>
            </w:pPr>
            <w:r>
              <w:rPr>
                <w:rFonts w:ascii="Arial" w:eastAsia="Arial" w:hAnsi="Arial" w:cs="Arial"/>
                <w:i/>
              </w:rPr>
              <w:t>Materská škola Lietava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 w:line="360" w:lineRule="auto"/>
              <w:jc w:val="both"/>
            </w:pPr>
            <w:r>
              <w:rPr>
                <w:rFonts w:ascii="Arial" w:eastAsia="Arial" w:hAnsi="Arial" w:cs="Arial"/>
                <w:i/>
              </w:rPr>
              <w:t>áno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 w:line="360" w:lineRule="auto"/>
              <w:jc w:val="center"/>
            </w:pPr>
            <w:r>
              <w:rPr>
                <w:rFonts w:ascii="Arial" w:eastAsia="Arial" w:hAnsi="Arial" w:cs="Arial"/>
              </w:rPr>
              <w:t>-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C74B1" w:rsidRDefault="00D84C89">
            <w:pPr>
              <w:spacing w:after="0" w:line="360" w:lineRule="auto"/>
              <w:jc w:val="center"/>
            </w:pPr>
            <w:r>
              <w:rPr>
                <w:rFonts w:ascii="Arial" w:eastAsia="Arial" w:hAnsi="Arial" w:cs="Arial"/>
              </w:rPr>
              <w:t>-</w:t>
            </w:r>
          </w:p>
        </w:tc>
      </w:tr>
    </w:tbl>
    <w:p w:rsidR="001C74B1" w:rsidRDefault="00D84C89">
      <w:pPr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Metóda úplnej konsolidácie bola použitá pri dcérskej účtovnej jednotke.</w:t>
      </w:r>
    </w:p>
    <w:p w:rsidR="001C74B1" w:rsidRDefault="001C74B1">
      <w:pPr>
        <w:spacing w:after="0" w:line="360" w:lineRule="auto"/>
        <w:jc w:val="both"/>
        <w:rPr>
          <w:rFonts w:ascii="Arial" w:eastAsia="Arial" w:hAnsi="Arial" w:cs="Arial"/>
          <w:b/>
          <w:i/>
        </w:rPr>
      </w:pPr>
    </w:p>
    <w:p w:rsidR="001C74B1" w:rsidRDefault="00D84C89">
      <w:pPr>
        <w:spacing w:after="0" w:line="360" w:lineRule="auto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Čl. III</w:t>
      </w:r>
    </w:p>
    <w:p w:rsidR="001C74B1" w:rsidRDefault="00D84C89">
      <w:pPr>
        <w:spacing w:after="0" w:line="360" w:lineRule="auto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Informácie o údajoch aktív a pasív</w:t>
      </w:r>
    </w:p>
    <w:p w:rsidR="001C74B1" w:rsidRDefault="001C74B1">
      <w:pPr>
        <w:spacing w:after="0" w:line="360" w:lineRule="auto"/>
        <w:jc w:val="both"/>
        <w:rPr>
          <w:rFonts w:ascii="Arial" w:eastAsia="Arial" w:hAnsi="Arial" w:cs="Arial"/>
          <w:b/>
        </w:rPr>
      </w:pP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Prehľad pohybu dlhodobého nehmotného a dlhodobého hmotného majetku od 1. januára 2020 do 31. decembra 2020 je uvedený v  tabu</w:t>
      </w:r>
      <w:r>
        <w:rPr>
          <w:rFonts w:ascii="Arial" w:eastAsia="Arial" w:hAnsi="Arial" w:cs="Arial"/>
        </w:rPr>
        <w:t xml:space="preserve">ľkovej časti </w:t>
      </w:r>
      <w:r>
        <w:rPr>
          <w:rFonts w:ascii="Arial" w:eastAsia="Arial" w:hAnsi="Arial" w:cs="Arial"/>
          <w:i/>
        </w:rPr>
        <w:t>Prehľad o pohybe dlhodobého majetku.</w:t>
      </w:r>
    </w:p>
    <w:p w:rsidR="001C74B1" w:rsidRDefault="001C74B1">
      <w:pPr>
        <w:spacing w:after="0" w:line="360" w:lineRule="auto"/>
        <w:ind w:right="-79"/>
        <w:jc w:val="both"/>
        <w:rPr>
          <w:rFonts w:ascii="Arial" w:eastAsia="Arial" w:hAnsi="Arial" w:cs="Arial"/>
        </w:rPr>
      </w:pPr>
    </w:p>
    <w:p w:rsidR="001C74B1" w:rsidRDefault="00D84C89">
      <w:pPr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Konsolidovaný celok vykazuje akcie Severoslovenských vodární a kanalizácií v hodnote                       243 714,17 eur, ktorá sa medziročne nezmenila.</w:t>
      </w:r>
    </w:p>
    <w:p w:rsidR="001C74B1" w:rsidRDefault="001C74B1">
      <w:pPr>
        <w:spacing w:after="0" w:line="360" w:lineRule="auto"/>
        <w:ind w:right="-79"/>
        <w:jc w:val="both"/>
        <w:rPr>
          <w:rFonts w:ascii="Arial" w:eastAsia="Arial" w:hAnsi="Arial" w:cs="Arial"/>
        </w:rPr>
      </w:pP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>Ako finančný majetok sú vykázané peňažné prostried</w:t>
      </w:r>
      <w:r>
        <w:rPr>
          <w:rFonts w:ascii="Arial" w:eastAsia="Arial" w:hAnsi="Arial" w:cs="Arial"/>
        </w:rPr>
        <w:t>ky v pokladnici a účty v bankách, vo výške    244 102,66 EUR, z toho v pokladnici 3 035,09  EUR (v roku 2019 to bolo 134 387,17 EUR, pokladňa 652,99 EUR).</w:t>
      </w:r>
    </w:p>
    <w:p w:rsidR="001C74B1" w:rsidRDefault="001C74B1">
      <w:pPr>
        <w:spacing w:after="0" w:line="360" w:lineRule="auto"/>
        <w:ind w:right="-79"/>
        <w:jc w:val="both"/>
        <w:rPr>
          <w:rFonts w:ascii="Arial" w:eastAsia="Arial" w:hAnsi="Arial" w:cs="Arial"/>
        </w:rPr>
      </w:pP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</w:rPr>
        <w:t>Prehľad pohybu rezerv tvorených účtovnými jednotkami konsolidovaného celku od 1. januára 2020 do 31.</w:t>
      </w:r>
      <w:r>
        <w:rPr>
          <w:rFonts w:ascii="Arial" w:eastAsia="Arial" w:hAnsi="Arial" w:cs="Arial"/>
        </w:rPr>
        <w:t xml:space="preserve"> decembra 2020 je uvedený je uvedený v tabuľkovej časti. Rezervy sa v konsolidovanom celku  tvorili: 2 325,00 € na overenie účtovnej závierky audítorom.</w:t>
      </w:r>
    </w:p>
    <w:p w:rsidR="001C74B1" w:rsidRDefault="001C74B1">
      <w:pPr>
        <w:spacing w:after="0" w:line="360" w:lineRule="auto"/>
        <w:ind w:left="426"/>
        <w:jc w:val="both"/>
        <w:rPr>
          <w:rFonts w:ascii="Arial" w:eastAsia="Arial" w:hAnsi="Arial" w:cs="Arial"/>
        </w:rPr>
      </w:pPr>
    </w:p>
    <w:p w:rsidR="001C74B1" w:rsidRDefault="00D84C89">
      <w:pPr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Prehľad záväzkov podľa splatnosti je uvedený v tabuľkovej časti.</w:t>
      </w: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V záväzkoch sú uvedené faktúry za rok</w:t>
      </w:r>
      <w:r>
        <w:rPr>
          <w:rFonts w:ascii="Arial" w:eastAsia="Arial" w:hAnsi="Arial" w:cs="Arial"/>
        </w:rPr>
        <w:t xml:space="preserve"> 2020 splatné v roku 2021.</w:t>
      </w:r>
    </w:p>
    <w:p w:rsidR="001C74B1" w:rsidRDefault="001C74B1">
      <w:pPr>
        <w:spacing w:after="0" w:line="360" w:lineRule="auto"/>
        <w:ind w:right="-79"/>
        <w:jc w:val="both"/>
        <w:rPr>
          <w:rFonts w:ascii="Arial" w:eastAsia="Arial" w:hAnsi="Arial" w:cs="Arial"/>
        </w:rPr>
      </w:pPr>
    </w:p>
    <w:p w:rsidR="001C74B1" w:rsidRDefault="00D84C89">
      <w:pPr>
        <w:spacing w:after="0" w:line="360" w:lineRule="auto"/>
        <w:ind w:right="-7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Po 31. decembri 2020 nenastali také udalosti, ktoré by si vyžadovali zverejnenie alebo vykázanie v konsolidovanej účtovnej závierke za rok 2020.</w:t>
      </w:r>
    </w:p>
    <w:p w:rsidR="001C74B1" w:rsidRDefault="001C74B1">
      <w:pPr>
        <w:spacing w:after="0" w:line="360" w:lineRule="auto"/>
        <w:ind w:right="-79"/>
        <w:jc w:val="both"/>
        <w:rPr>
          <w:rFonts w:ascii="Arial" w:eastAsia="Arial" w:hAnsi="Arial" w:cs="Arial"/>
        </w:rPr>
      </w:pPr>
    </w:p>
    <w:p w:rsidR="001C74B1" w:rsidRDefault="001C74B1">
      <w:pPr>
        <w:spacing w:after="0" w:line="360" w:lineRule="auto"/>
        <w:jc w:val="both"/>
        <w:rPr>
          <w:rFonts w:ascii="Arial" w:eastAsia="Arial" w:hAnsi="Arial" w:cs="Arial"/>
          <w:b/>
        </w:rPr>
      </w:pPr>
    </w:p>
    <w:p w:rsidR="001C74B1" w:rsidRDefault="001C74B1">
      <w:pPr>
        <w:spacing w:after="0" w:line="360" w:lineRule="auto"/>
        <w:jc w:val="both"/>
        <w:rPr>
          <w:rFonts w:ascii="Arial" w:eastAsia="Arial" w:hAnsi="Arial" w:cs="Arial"/>
          <w:b/>
        </w:rPr>
      </w:pPr>
    </w:p>
    <w:p w:rsidR="001C74B1" w:rsidRDefault="001C74B1">
      <w:pPr>
        <w:spacing w:after="0" w:line="240" w:lineRule="auto"/>
        <w:rPr>
          <w:rFonts w:ascii="Times New Roman" w:eastAsia="Times New Roman" w:hAnsi="Times New Roman" w:cs="Times New Roman"/>
          <w:sz w:val="20"/>
        </w:rPr>
      </w:pPr>
    </w:p>
    <w:p w:rsidR="001C74B1" w:rsidRDefault="001C74B1">
      <w:pPr>
        <w:spacing w:after="0" w:line="240" w:lineRule="auto"/>
        <w:rPr>
          <w:rFonts w:ascii="Times New Roman" w:eastAsia="Times New Roman" w:hAnsi="Times New Roman" w:cs="Times New Roman"/>
          <w:sz w:val="20"/>
        </w:rPr>
      </w:pPr>
    </w:p>
    <w:p w:rsidR="001C74B1" w:rsidRDefault="001C74B1">
      <w:pPr>
        <w:spacing w:after="0" w:line="240" w:lineRule="auto"/>
        <w:rPr>
          <w:rFonts w:ascii="Times New Roman" w:eastAsia="Times New Roman" w:hAnsi="Times New Roman" w:cs="Times New Roman"/>
          <w:sz w:val="20"/>
        </w:rPr>
      </w:pPr>
    </w:p>
    <w:sectPr w:rsidR="001C74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C74B1"/>
    <w:rsid w:val="001C74B1"/>
    <w:rsid w:val="00D84C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1109</Words>
  <Characters>6326</Characters>
  <Application>Microsoft Office Word</Application>
  <DocSecurity>0</DocSecurity>
  <Lines>52</Lines>
  <Paragraphs>14</Paragraphs>
  <ScaleCrop>false</ScaleCrop>
  <Company/>
  <LinksUpToDate>false</LinksUpToDate>
  <CharactersWithSpaces>7421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PC2009</cp:lastModifiedBy>
  <cp:revision>2</cp:revision>
  <cp:lastPrinted>2021-05-18T09:20:00Z</cp:lastPrinted>
  <dcterms:created xsi:type="dcterms:W3CDTF">2021-05-18T09:16:00Z</dcterms:created>
  <dcterms:modified xsi:type="dcterms:W3CDTF">2021-05-18T09:21:00Z</dcterms:modified>
</cp:coreProperties>
</file>