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20BAC" w:rsidRDefault="00620BAC">
      <w:pPr>
        <w:pageBreakBefore/>
        <w:jc w:val="center"/>
        <w:rPr>
          <w:rFonts w:ascii="Arial" w:eastAsia="TimesNewRomanPS-BoldMT" w:hAnsi="Arial" w:cs="Arial"/>
          <w:b/>
          <w:bCs/>
        </w:rPr>
      </w:pPr>
      <w:r>
        <w:rPr>
          <w:rFonts w:ascii="Arial" w:eastAsia="TimesNewRomanPS-BoldMT" w:hAnsi="Arial" w:cs="Arial"/>
          <w:b/>
          <w:bCs/>
        </w:rPr>
        <w:t>I. Všeobecné informácie</w:t>
      </w:r>
    </w:p>
    <w:p w:rsidR="00620BAC" w:rsidRDefault="00620BAC">
      <w:pPr>
        <w:jc w:val="center"/>
        <w:rPr>
          <w:rFonts w:ascii="Arial" w:eastAsia="TimesNewRomanPS-BoldMT" w:hAnsi="Arial" w:cs="Arial"/>
          <w:b/>
          <w:bCs/>
        </w:rPr>
      </w:pPr>
    </w:p>
    <w:p w:rsidR="00620BAC" w:rsidRDefault="00620BAC">
      <w:pPr>
        <w:rPr>
          <w:rFonts w:ascii="Arial" w:eastAsia="TimesNewRomanPS-BoldMT" w:hAnsi="Arial" w:cs="Arial"/>
          <w:bCs/>
          <w:sz w:val="20"/>
          <w:szCs w:val="20"/>
        </w:rPr>
      </w:pPr>
      <w:r>
        <w:rPr>
          <w:rFonts w:ascii="Arial" w:eastAsia="TimesNewRomanPS-BoldMT" w:hAnsi="Arial" w:cs="Arial"/>
          <w:b/>
          <w:bCs/>
          <w:sz w:val="20"/>
          <w:szCs w:val="20"/>
        </w:rPr>
        <w:t>a) Údaje o konsolidovanom celku</w:t>
      </w:r>
    </w:p>
    <w:p w:rsidR="00620BAC" w:rsidRDefault="00620BAC">
      <w:pPr>
        <w:rPr>
          <w:rFonts w:ascii="Arial" w:eastAsia="TimesNewRomanPS-BoldMT" w:hAnsi="Arial" w:cs="Arial"/>
          <w:bCs/>
          <w:sz w:val="20"/>
          <w:szCs w:val="20"/>
        </w:rPr>
      </w:pPr>
      <w:r>
        <w:rPr>
          <w:rFonts w:ascii="Arial" w:eastAsia="TimesNewRomanPS-BoldMT" w:hAnsi="Arial" w:cs="Arial"/>
          <w:bCs/>
          <w:sz w:val="20"/>
          <w:szCs w:val="20"/>
        </w:rPr>
        <w:t>Spoločnosť nie j</w:t>
      </w:r>
      <w:r w:rsidR="00BC713E">
        <w:rPr>
          <w:rFonts w:ascii="Arial" w:eastAsia="TimesNewRomanPS-BoldMT" w:hAnsi="Arial" w:cs="Arial"/>
          <w:bCs/>
          <w:sz w:val="20"/>
          <w:szCs w:val="20"/>
        </w:rPr>
        <w:t>e súčasťou konsolidovaného celku</w:t>
      </w:r>
    </w:p>
    <w:p w:rsidR="00620BAC" w:rsidRDefault="00620BAC">
      <w:pPr>
        <w:rPr>
          <w:rFonts w:ascii="Arial" w:eastAsia="TimesNewRomanPS-BoldMT" w:hAnsi="Arial" w:cs="Arial"/>
          <w:bCs/>
          <w:sz w:val="20"/>
          <w:szCs w:val="20"/>
        </w:rPr>
      </w:pPr>
    </w:p>
    <w:p w:rsidR="00620BAC" w:rsidRDefault="00620BAC">
      <w:pPr>
        <w:rPr>
          <w:rFonts w:ascii="Arial" w:eastAsia="TimesNewRomanPS-BoldMT" w:hAnsi="Arial" w:cs="Arial"/>
          <w:bCs/>
          <w:sz w:val="20"/>
          <w:szCs w:val="20"/>
        </w:rPr>
      </w:pPr>
      <w:r>
        <w:rPr>
          <w:rFonts w:ascii="Arial" w:eastAsia="TimesNewRomanPS-BoldMT" w:hAnsi="Arial" w:cs="Arial"/>
          <w:b/>
          <w:bCs/>
          <w:sz w:val="20"/>
          <w:szCs w:val="20"/>
        </w:rPr>
        <w:t>b) Priemerný prepočítaný počet zamestnancov</w:t>
      </w:r>
    </w:p>
    <w:p w:rsidR="00620BAC" w:rsidRDefault="00620BAC">
      <w:pPr>
        <w:rPr>
          <w:rFonts w:ascii="Arial" w:eastAsia="TimesNewRomanPS-BoldMT" w:hAnsi="Arial" w:cs="Arial"/>
          <w:b/>
          <w:bCs/>
        </w:rPr>
      </w:pPr>
      <w:r>
        <w:rPr>
          <w:rFonts w:ascii="Arial" w:eastAsia="TimesNewRomanPS-BoldMT" w:hAnsi="Arial" w:cs="Arial"/>
          <w:bCs/>
          <w:sz w:val="20"/>
          <w:szCs w:val="20"/>
        </w:rPr>
        <w:t xml:space="preserve">Priemerný prepočítaný počet zamestnancov je </w:t>
      </w:r>
      <w:r w:rsidR="00727615">
        <w:rPr>
          <w:rFonts w:ascii="Arial" w:eastAsia="TimesNewRomanPS-BoldMT" w:hAnsi="Arial" w:cs="Arial"/>
          <w:bCs/>
          <w:sz w:val="20"/>
          <w:szCs w:val="20"/>
        </w:rPr>
        <w:t>1</w:t>
      </w:r>
    </w:p>
    <w:p w:rsidR="00620BAC" w:rsidRDefault="00620BAC">
      <w:pPr>
        <w:jc w:val="center"/>
        <w:rPr>
          <w:rFonts w:ascii="Arial" w:eastAsia="TimesNewRomanPS-BoldMT" w:hAnsi="Arial" w:cs="Arial"/>
          <w:b/>
          <w:bCs/>
        </w:rPr>
      </w:pPr>
    </w:p>
    <w:p w:rsidR="00620BAC" w:rsidRDefault="00620BAC">
      <w:pPr>
        <w:jc w:val="center"/>
        <w:rPr>
          <w:rFonts w:ascii="Arial" w:eastAsia="TimesNewRomanPS-BoldMT" w:hAnsi="Arial" w:cs="Arial"/>
          <w:b/>
          <w:bCs/>
        </w:rPr>
      </w:pPr>
    </w:p>
    <w:p w:rsidR="00620BAC" w:rsidRDefault="00620BAC">
      <w:pPr>
        <w:jc w:val="center"/>
        <w:rPr>
          <w:rFonts w:ascii="Arial" w:eastAsia="TimesNewRomanPS-BoldMT" w:hAnsi="Arial" w:cs="Arial"/>
          <w:b/>
          <w:bCs/>
          <w:sz w:val="20"/>
          <w:szCs w:val="20"/>
        </w:rPr>
      </w:pPr>
      <w:r>
        <w:rPr>
          <w:rFonts w:ascii="Arial" w:eastAsia="TimesNewRomanPS-BoldMT" w:hAnsi="Arial" w:cs="Arial"/>
          <w:b/>
          <w:bCs/>
        </w:rPr>
        <w:t>II.  Informácie o prijatých postupoch</w:t>
      </w:r>
    </w:p>
    <w:p w:rsidR="00620BAC" w:rsidRDefault="00620BAC">
      <w:pPr>
        <w:jc w:val="both"/>
        <w:rPr>
          <w:rFonts w:ascii="Arial" w:eastAsia="TimesNewRomanPS-BoldMT" w:hAnsi="Arial" w:cs="Arial"/>
          <w:b/>
          <w:bCs/>
          <w:sz w:val="20"/>
          <w:szCs w:val="20"/>
        </w:rPr>
      </w:pPr>
    </w:p>
    <w:p w:rsidR="00620BAC" w:rsidRDefault="00620BAC">
      <w:pPr>
        <w:jc w:val="both"/>
        <w:rPr>
          <w:rFonts w:ascii="Arial" w:hAnsi="Arial" w:cs="Arial"/>
          <w:sz w:val="20"/>
          <w:szCs w:val="20"/>
        </w:rPr>
      </w:pPr>
      <w:r>
        <w:rPr>
          <w:rFonts w:ascii="Arial" w:eastAsia="TimesNewRomanPS-BoldMT" w:hAnsi="Arial" w:cs="Arial"/>
          <w:b/>
          <w:bCs/>
          <w:sz w:val="20"/>
          <w:szCs w:val="20"/>
        </w:rPr>
        <w:t>a) Východiská pre zostavenie účtovnej závierky</w:t>
      </w:r>
    </w:p>
    <w:p w:rsidR="00272736" w:rsidRDefault="00620BAC">
      <w:pPr>
        <w:jc w:val="both"/>
        <w:rPr>
          <w:rFonts w:ascii="Arial" w:hAnsi="Arial" w:cs="Arial"/>
          <w:sz w:val="20"/>
          <w:szCs w:val="20"/>
        </w:rPr>
      </w:pPr>
      <w:r>
        <w:rPr>
          <w:rFonts w:ascii="Arial" w:hAnsi="Arial" w:cs="Arial"/>
          <w:sz w:val="20"/>
          <w:szCs w:val="20"/>
        </w:rPr>
        <w:t>Účtovná závierka bola zostavená za predpokladu, že spoločnosť bude nepretržite pokračovať vo svojej činnosti.</w:t>
      </w:r>
    </w:p>
    <w:p w:rsidR="00272736" w:rsidRDefault="00272736">
      <w:pPr>
        <w:jc w:val="both"/>
        <w:rPr>
          <w:rFonts w:ascii="Arial" w:hAnsi="Arial" w:cs="Arial"/>
          <w:sz w:val="20"/>
          <w:szCs w:val="20"/>
        </w:rPr>
      </w:pPr>
      <w:r>
        <w:rPr>
          <w:rFonts w:ascii="Arial" w:hAnsi="Arial" w:cs="Arial"/>
          <w:i/>
          <w:iCs/>
          <w:color w:val="222222"/>
          <w:sz w:val="20"/>
          <w:szCs w:val="20"/>
          <w:shd w:val="clear" w:color="auto" w:fill="FFFFFF"/>
        </w:rPr>
        <w:t>Na konci roku 2019 sa objavil Corona vírus, ktorý zapríčinil od prvých mesiacov roku 2020 pandémiu COVID-19 a negatívne ovplyvnil mnoho krajín. Aj keď sa v čase zverejnenia tejto účtovnej závierky situácia neustále mení, zdá sa, že negatívny vplyv na svetový obchod, na firmy aj na jednotlivcov môže byť vážnejší, ako sa pôvodne očakávalo. Pretože sa situácia stále vyvíja, vedenie účtovnej jednotky si nemyslí, že je možné poskytnúť kvantitatívne odhady potenciálneho vplyvu súčasnej situácie na účtovnú jednotku. Manažment neustále monitoruje potenciálny dopad situácie na spoločnosť. Všetky negatívne vplyvy resp. straty vzniknuté v roku 2020 zahrnula účtovná jednotka do účtovníctva a účtovnej závierky v roku 2020, vplyvy ktoré sa prejavia v roku 2021 budú zahrnuté do účtovníctva a účtovnej závierky v roku 2021. Aktuálne nie je možné bližšie kvantifikovať do akej miery môže táto situácia negatívne ovplyvniť budúci chod spoločnosti, vedenie účtovnej jednotky sa však domnieva, že nebude ohrozený predpoklad nepretržitého trvania účtovnej jednotky v nasledujúcom účtovnom období.</w:t>
      </w:r>
    </w:p>
    <w:p w:rsidR="00272736" w:rsidRDefault="00272736">
      <w:pPr>
        <w:jc w:val="both"/>
        <w:rPr>
          <w:rFonts w:ascii="Arial" w:hAnsi="Arial" w:cs="Arial"/>
          <w:sz w:val="20"/>
          <w:szCs w:val="20"/>
        </w:rPr>
      </w:pPr>
    </w:p>
    <w:p w:rsidR="00620BAC" w:rsidRDefault="00620BAC">
      <w:pPr>
        <w:jc w:val="both"/>
        <w:rPr>
          <w:rFonts w:ascii="Arial" w:hAnsi="Arial" w:cs="Arial"/>
          <w:sz w:val="20"/>
          <w:szCs w:val="20"/>
        </w:rPr>
      </w:pPr>
      <w:r>
        <w:rPr>
          <w:rFonts w:ascii="Arial" w:hAnsi="Arial" w:cs="Arial"/>
          <w:sz w:val="20"/>
          <w:szCs w:val="20"/>
        </w:rPr>
        <w:t>Účtovné metódy a všeobecné účtovné zásady boli účtovnou jednotkou konzistentne aplikované.</w:t>
      </w:r>
    </w:p>
    <w:p w:rsidR="00620BAC" w:rsidRDefault="00620BAC">
      <w:pPr>
        <w:jc w:val="both"/>
        <w:rPr>
          <w:rFonts w:ascii="Arial" w:hAnsi="Arial" w:cs="Arial"/>
          <w:sz w:val="20"/>
          <w:szCs w:val="20"/>
        </w:rPr>
      </w:pPr>
    </w:p>
    <w:p w:rsidR="00620BAC" w:rsidRDefault="00620BAC">
      <w:pPr>
        <w:jc w:val="both"/>
        <w:rPr>
          <w:rFonts w:ascii="Arial" w:hAnsi="Arial" w:cs="Arial"/>
          <w:sz w:val="20"/>
          <w:szCs w:val="20"/>
        </w:rPr>
      </w:pPr>
      <w:r>
        <w:rPr>
          <w:rFonts w:ascii="Arial" w:eastAsia="TimesNewRomanPS-BoldMT" w:hAnsi="Arial" w:cs="Arial"/>
          <w:b/>
          <w:bCs/>
          <w:sz w:val="20"/>
          <w:szCs w:val="20"/>
        </w:rPr>
        <w:t>(b) Dlhodobý nehmotný majetok a dlhodobý hmotný majetok</w:t>
      </w:r>
    </w:p>
    <w:p w:rsidR="00620BAC" w:rsidRDefault="00620BAC">
      <w:pPr>
        <w:jc w:val="both"/>
        <w:rPr>
          <w:rFonts w:ascii="Arial" w:hAnsi="Arial" w:cs="Arial"/>
          <w:sz w:val="20"/>
          <w:szCs w:val="20"/>
        </w:rPr>
      </w:pPr>
      <w:r>
        <w:rPr>
          <w:rFonts w:ascii="Arial" w:hAnsi="Arial" w:cs="Arial"/>
          <w:sz w:val="20"/>
          <w:szCs w:val="20"/>
        </w:rPr>
        <w:t>Dlhodobý majetok nakupovaný sa oceňuje obstarávacou cenou, ktorá zahŕňa cenu obstarania a náklady súvisiace s obstaraním (clo, prepravu, montáž, poistné a pod.)</w:t>
      </w:r>
    </w:p>
    <w:p w:rsidR="00620BAC" w:rsidRDefault="00620BAC">
      <w:pPr>
        <w:jc w:val="both"/>
        <w:rPr>
          <w:rFonts w:ascii="Arial" w:hAnsi="Arial" w:cs="Arial"/>
          <w:sz w:val="20"/>
          <w:szCs w:val="20"/>
        </w:rPr>
      </w:pPr>
    </w:p>
    <w:p w:rsidR="00620BAC" w:rsidRDefault="00620BAC">
      <w:pPr>
        <w:jc w:val="both"/>
        <w:rPr>
          <w:rFonts w:ascii="Arial" w:hAnsi="Arial" w:cs="Arial"/>
          <w:sz w:val="20"/>
          <w:szCs w:val="20"/>
        </w:rPr>
      </w:pPr>
      <w:r>
        <w:rPr>
          <w:rFonts w:ascii="Arial" w:hAnsi="Arial" w:cs="Arial"/>
          <w:sz w:val="20"/>
          <w:szCs w:val="20"/>
        </w:rPr>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1700 EUR a nižšia, sa odpisuje jednorazovo pri uvedení do používania. Predpokladaná doba používania, metóda odpisovania a odpisová sadzba sú uvedené v nasledujúcej tabuľke:</w:t>
      </w:r>
    </w:p>
    <w:p w:rsidR="00620BAC" w:rsidRDefault="00620BAC">
      <w:pPr>
        <w:jc w:val="both"/>
        <w:rPr>
          <w:rFonts w:ascii="Arial" w:hAnsi="Arial" w:cs="Arial"/>
          <w:sz w:val="20"/>
          <w:szCs w:val="20"/>
        </w:rPr>
      </w:pPr>
    </w:p>
    <w:tbl>
      <w:tblPr>
        <w:tblW w:w="0" w:type="auto"/>
        <w:tblInd w:w="108" w:type="dxa"/>
        <w:tblLayout w:type="fixed"/>
        <w:tblLook w:val="0000"/>
      </w:tblPr>
      <w:tblGrid>
        <w:gridCol w:w="2943"/>
        <w:gridCol w:w="2552"/>
        <w:gridCol w:w="2126"/>
        <w:gridCol w:w="2827"/>
      </w:tblGrid>
      <w:tr w:rsidR="00620BAC">
        <w:tc>
          <w:tcPr>
            <w:tcW w:w="2943"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p>
        </w:tc>
        <w:tc>
          <w:tcPr>
            <w:tcW w:w="2552"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b/>
                <w:sz w:val="20"/>
                <w:szCs w:val="20"/>
              </w:rPr>
            </w:pPr>
            <w:r>
              <w:rPr>
                <w:rFonts w:ascii="Arial" w:hAnsi="Arial" w:cs="Arial"/>
                <w:b/>
                <w:sz w:val="20"/>
                <w:szCs w:val="20"/>
              </w:rPr>
              <w:t>Predpokladaná doba požívania</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b/>
                <w:sz w:val="20"/>
                <w:szCs w:val="20"/>
              </w:rPr>
            </w:pPr>
            <w:r>
              <w:rPr>
                <w:rFonts w:ascii="Arial" w:hAnsi="Arial" w:cs="Arial"/>
                <w:b/>
                <w:sz w:val="20"/>
                <w:szCs w:val="20"/>
              </w:rPr>
              <w:t>Metóda odpisovania</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b/>
                <w:sz w:val="20"/>
                <w:szCs w:val="20"/>
              </w:rPr>
              <w:t>Ročná odpisová sadzba</w:t>
            </w:r>
          </w:p>
        </w:tc>
      </w:tr>
      <w:tr w:rsidR="00620BAC">
        <w:tc>
          <w:tcPr>
            <w:tcW w:w="2943"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r>
              <w:rPr>
                <w:rFonts w:ascii="Arial" w:hAnsi="Arial" w:cs="Arial"/>
                <w:sz w:val="20"/>
                <w:szCs w:val="20"/>
              </w:rPr>
              <w:t>Softvér</w:t>
            </w:r>
          </w:p>
        </w:tc>
        <w:tc>
          <w:tcPr>
            <w:tcW w:w="2552"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4</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lineárna</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sz w:val="20"/>
                <w:szCs w:val="20"/>
              </w:rPr>
              <w:t>25</w:t>
            </w:r>
          </w:p>
        </w:tc>
      </w:tr>
      <w:tr w:rsidR="00620BAC">
        <w:tc>
          <w:tcPr>
            <w:tcW w:w="2943"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r>
              <w:rPr>
                <w:rFonts w:ascii="Arial" w:hAnsi="Arial" w:cs="Arial"/>
                <w:sz w:val="20"/>
                <w:szCs w:val="20"/>
              </w:rPr>
              <w:t>Oceniteľné práva /licencia/</w:t>
            </w:r>
          </w:p>
        </w:tc>
        <w:tc>
          <w:tcPr>
            <w:tcW w:w="2552"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8</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lineárna</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sz w:val="20"/>
                <w:szCs w:val="20"/>
              </w:rPr>
              <w:t>12,5</w:t>
            </w:r>
          </w:p>
        </w:tc>
      </w:tr>
      <w:tr w:rsidR="00620BAC">
        <w:tc>
          <w:tcPr>
            <w:tcW w:w="2943"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r>
              <w:rPr>
                <w:rFonts w:ascii="Arial" w:hAnsi="Arial" w:cs="Arial"/>
                <w:sz w:val="20"/>
                <w:szCs w:val="20"/>
              </w:rPr>
              <w:t>Drobný nehmotný majetok</w:t>
            </w:r>
          </w:p>
        </w:tc>
        <w:tc>
          <w:tcPr>
            <w:tcW w:w="2552"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rôzna</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jednorazový odpis</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sz w:val="20"/>
                <w:szCs w:val="20"/>
              </w:rPr>
              <w:t>100</w:t>
            </w:r>
          </w:p>
        </w:tc>
      </w:tr>
    </w:tbl>
    <w:p w:rsidR="00620BAC" w:rsidRDefault="00620BAC">
      <w:pPr>
        <w:jc w:val="both"/>
      </w:pPr>
    </w:p>
    <w:p w:rsidR="00620BAC" w:rsidRDefault="00620BAC">
      <w:pPr>
        <w:jc w:val="both"/>
        <w:rPr>
          <w:rFonts w:ascii="Arial" w:hAnsi="Arial" w:cs="Arial"/>
          <w:sz w:val="20"/>
          <w:szCs w:val="20"/>
        </w:rPr>
      </w:pPr>
    </w:p>
    <w:p w:rsidR="00620BAC" w:rsidRDefault="00620BAC">
      <w:pPr>
        <w:jc w:val="both"/>
        <w:rPr>
          <w:rFonts w:ascii="Arial" w:hAnsi="Arial" w:cs="Arial"/>
          <w:sz w:val="20"/>
          <w:szCs w:val="20"/>
        </w:rPr>
      </w:pPr>
      <w:r>
        <w:rPr>
          <w:rFonts w:ascii="Arial" w:hAnsi="Arial" w:cs="Arial"/>
          <w:sz w:val="20"/>
          <w:szCs w:val="20"/>
        </w:rP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620BAC" w:rsidRDefault="00620BAC">
      <w:pPr>
        <w:jc w:val="both"/>
        <w:rPr>
          <w:rFonts w:ascii="Arial" w:hAnsi="Arial" w:cs="Arial"/>
          <w:sz w:val="20"/>
          <w:szCs w:val="20"/>
        </w:rPr>
      </w:pPr>
    </w:p>
    <w:tbl>
      <w:tblPr>
        <w:tblW w:w="0" w:type="auto"/>
        <w:tblInd w:w="108" w:type="dxa"/>
        <w:tblLayout w:type="fixed"/>
        <w:tblLook w:val="0000"/>
      </w:tblPr>
      <w:tblGrid>
        <w:gridCol w:w="3227"/>
        <w:gridCol w:w="2268"/>
        <w:gridCol w:w="2126"/>
        <w:gridCol w:w="2827"/>
      </w:tblGrid>
      <w:tr w:rsidR="00620BAC">
        <w:tc>
          <w:tcPr>
            <w:tcW w:w="3227"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p>
        </w:tc>
        <w:tc>
          <w:tcPr>
            <w:tcW w:w="2268"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b/>
                <w:sz w:val="20"/>
                <w:szCs w:val="20"/>
              </w:rPr>
            </w:pPr>
            <w:r>
              <w:rPr>
                <w:rFonts w:ascii="Arial" w:hAnsi="Arial" w:cs="Arial"/>
                <w:b/>
                <w:sz w:val="20"/>
                <w:szCs w:val="20"/>
              </w:rPr>
              <w:t>Predpokladaná doba požívania</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b/>
                <w:sz w:val="20"/>
                <w:szCs w:val="20"/>
              </w:rPr>
            </w:pPr>
            <w:r>
              <w:rPr>
                <w:rFonts w:ascii="Arial" w:hAnsi="Arial" w:cs="Arial"/>
                <w:b/>
                <w:sz w:val="20"/>
                <w:szCs w:val="20"/>
              </w:rPr>
              <w:t>Metóda odpisovania</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b/>
                <w:sz w:val="20"/>
                <w:szCs w:val="20"/>
              </w:rPr>
              <w:t>Ročná odpisová sadzba</w:t>
            </w:r>
          </w:p>
        </w:tc>
      </w:tr>
      <w:tr w:rsidR="00620BAC">
        <w:tc>
          <w:tcPr>
            <w:tcW w:w="3227"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r>
              <w:rPr>
                <w:rFonts w:ascii="Arial" w:hAnsi="Arial" w:cs="Arial"/>
                <w:sz w:val="20"/>
                <w:szCs w:val="20"/>
              </w:rPr>
              <w:t>Stavby</w:t>
            </w:r>
          </w:p>
        </w:tc>
        <w:tc>
          <w:tcPr>
            <w:tcW w:w="2268"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20/40</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lineárna</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sz w:val="20"/>
                <w:szCs w:val="20"/>
              </w:rPr>
              <w:t>5</w:t>
            </w:r>
          </w:p>
        </w:tc>
      </w:tr>
      <w:tr w:rsidR="00620BAC">
        <w:tc>
          <w:tcPr>
            <w:tcW w:w="3227" w:type="dxa"/>
            <w:tcBorders>
              <w:top w:val="single" w:sz="4" w:space="0" w:color="000000"/>
              <w:left w:val="single" w:sz="4" w:space="0" w:color="000000"/>
              <w:bottom w:val="single" w:sz="4" w:space="0" w:color="000000"/>
            </w:tcBorders>
            <w:shd w:val="clear" w:color="auto" w:fill="auto"/>
          </w:tcPr>
          <w:p w:rsidR="00620BAC" w:rsidRDefault="00620BAC">
            <w:pPr>
              <w:snapToGrid w:val="0"/>
              <w:rPr>
                <w:rFonts w:ascii="Arial" w:hAnsi="Arial" w:cs="Arial"/>
                <w:sz w:val="20"/>
                <w:szCs w:val="20"/>
              </w:rPr>
            </w:pPr>
            <w:r>
              <w:rPr>
                <w:rFonts w:ascii="Arial" w:hAnsi="Arial" w:cs="Arial"/>
                <w:sz w:val="20"/>
                <w:szCs w:val="20"/>
              </w:rPr>
              <w:t>Jednotlivé oddeliteľné súčasti zabudované v stavbách určené na samostatné odpisovanie</w:t>
            </w:r>
          </w:p>
        </w:tc>
        <w:tc>
          <w:tcPr>
            <w:tcW w:w="2268" w:type="dxa"/>
            <w:tcBorders>
              <w:top w:val="single" w:sz="4" w:space="0" w:color="000000"/>
              <w:left w:val="single" w:sz="4" w:space="0" w:color="000000"/>
              <w:bottom w:val="single" w:sz="4" w:space="0" w:color="000000"/>
            </w:tcBorders>
            <w:shd w:val="clear" w:color="auto" w:fill="auto"/>
            <w:vAlign w:val="center"/>
          </w:tcPr>
          <w:p w:rsidR="00620BAC" w:rsidRDefault="00620BAC">
            <w:pPr>
              <w:snapToGrid w:val="0"/>
              <w:jc w:val="center"/>
              <w:rPr>
                <w:rFonts w:ascii="Arial" w:hAnsi="Arial" w:cs="Arial"/>
                <w:sz w:val="20"/>
                <w:szCs w:val="20"/>
              </w:rPr>
            </w:pPr>
            <w:r>
              <w:rPr>
                <w:rFonts w:ascii="Arial" w:hAnsi="Arial" w:cs="Arial"/>
                <w:sz w:val="20"/>
                <w:szCs w:val="20"/>
              </w:rPr>
              <w:t>12</w:t>
            </w:r>
          </w:p>
        </w:tc>
        <w:tc>
          <w:tcPr>
            <w:tcW w:w="2126" w:type="dxa"/>
            <w:tcBorders>
              <w:top w:val="single" w:sz="4" w:space="0" w:color="000000"/>
              <w:left w:val="single" w:sz="4" w:space="0" w:color="000000"/>
              <w:bottom w:val="single" w:sz="4" w:space="0" w:color="000000"/>
            </w:tcBorders>
            <w:shd w:val="clear" w:color="auto" w:fill="auto"/>
            <w:vAlign w:val="center"/>
          </w:tcPr>
          <w:p w:rsidR="00620BAC" w:rsidRDefault="00620BAC">
            <w:pPr>
              <w:snapToGrid w:val="0"/>
              <w:jc w:val="center"/>
              <w:rPr>
                <w:rFonts w:ascii="Arial" w:hAnsi="Arial" w:cs="Arial"/>
                <w:sz w:val="20"/>
                <w:szCs w:val="20"/>
              </w:rPr>
            </w:pPr>
            <w:r>
              <w:rPr>
                <w:rFonts w:ascii="Arial" w:hAnsi="Arial" w:cs="Arial"/>
                <w:sz w:val="20"/>
                <w:szCs w:val="20"/>
              </w:rPr>
              <w:t>lineárna</w:t>
            </w:r>
          </w:p>
        </w:tc>
        <w:tc>
          <w:tcPr>
            <w:tcW w:w="282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20BAC" w:rsidRDefault="00620BAC">
            <w:pPr>
              <w:snapToGrid w:val="0"/>
              <w:jc w:val="center"/>
            </w:pPr>
            <w:r>
              <w:rPr>
                <w:rFonts w:ascii="Arial" w:hAnsi="Arial" w:cs="Arial"/>
                <w:sz w:val="20"/>
                <w:szCs w:val="20"/>
              </w:rPr>
              <w:t>8,33</w:t>
            </w:r>
          </w:p>
        </w:tc>
      </w:tr>
      <w:tr w:rsidR="00620BAC">
        <w:tc>
          <w:tcPr>
            <w:tcW w:w="3227"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r>
              <w:rPr>
                <w:rFonts w:ascii="Arial" w:hAnsi="Arial" w:cs="Arial"/>
                <w:sz w:val="20"/>
                <w:szCs w:val="20"/>
              </w:rPr>
              <w:t>Stroje, prístroje a zariadenia</w:t>
            </w:r>
          </w:p>
        </w:tc>
        <w:tc>
          <w:tcPr>
            <w:tcW w:w="2268"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4-6</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lineárna</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sz w:val="20"/>
                <w:szCs w:val="20"/>
              </w:rPr>
              <w:t>16,67-25</w:t>
            </w:r>
          </w:p>
        </w:tc>
      </w:tr>
      <w:tr w:rsidR="00620BAC">
        <w:tc>
          <w:tcPr>
            <w:tcW w:w="3227"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r>
              <w:rPr>
                <w:rFonts w:ascii="Arial" w:hAnsi="Arial" w:cs="Arial"/>
                <w:sz w:val="20"/>
                <w:szCs w:val="20"/>
              </w:rPr>
              <w:lastRenderedPageBreak/>
              <w:t>Dopravné prostriedky</w:t>
            </w:r>
          </w:p>
        </w:tc>
        <w:tc>
          <w:tcPr>
            <w:tcW w:w="2268"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4</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lineárna</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sz w:val="20"/>
                <w:szCs w:val="20"/>
              </w:rPr>
              <w:t>25</w:t>
            </w:r>
          </w:p>
        </w:tc>
      </w:tr>
      <w:tr w:rsidR="00620BAC">
        <w:tc>
          <w:tcPr>
            <w:tcW w:w="3227" w:type="dxa"/>
            <w:tcBorders>
              <w:top w:val="single" w:sz="4" w:space="0" w:color="000000"/>
              <w:left w:val="single" w:sz="4" w:space="0" w:color="000000"/>
              <w:bottom w:val="single" w:sz="4" w:space="0" w:color="000000"/>
            </w:tcBorders>
            <w:shd w:val="clear" w:color="auto" w:fill="auto"/>
          </w:tcPr>
          <w:p w:rsidR="00620BAC" w:rsidRDefault="00620BAC">
            <w:pPr>
              <w:snapToGrid w:val="0"/>
              <w:jc w:val="both"/>
              <w:rPr>
                <w:rFonts w:ascii="Arial" w:hAnsi="Arial" w:cs="Arial"/>
                <w:sz w:val="20"/>
                <w:szCs w:val="20"/>
              </w:rPr>
            </w:pPr>
            <w:r>
              <w:rPr>
                <w:rFonts w:ascii="Arial" w:hAnsi="Arial" w:cs="Arial"/>
                <w:sz w:val="20"/>
                <w:szCs w:val="20"/>
              </w:rPr>
              <w:t>Drobný hmotný majetok</w:t>
            </w:r>
          </w:p>
        </w:tc>
        <w:tc>
          <w:tcPr>
            <w:tcW w:w="2268"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rôzna</w:t>
            </w:r>
          </w:p>
        </w:tc>
        <w:tc>
          <w:tcPr>
            <w:tcW w:w="2126" w:type="dxa"/>
            <w:tcBorders>
              <w:top w:val="single" w:sz="4" w:space="0" w:color="000000"/>
              <w:left w:val="single" w:sz="4" w:space="0" w:color="000000"/>
              <w:bottom w:val="single" w:sz="4" w:space="0" w:color="000000"/>
            </w:tcBorders>
            <w:shd w:val="clear" w:color="auto" w:fill="auto"/>
          </w:tcPr>
          <w:p w:rsidR="00620BAC" w:rsidRDefault="00620BAC">
            <w:pPr>
              <w:snapToGrid w:val="0"/>
              <w:jc w:val="center"/>
              <w:rPr>
                <w:rFonts w:ascii="Arial" w:hAnsi="Arial" w:cs="Arial"/>
                <w:sz w:val="20"/>
                <w:szCs w:val="20"/>
              </w:rPr>
            </w:pPr>
            <w:r>
              <w:rPr>
                <w:rFonts w:ascii="Arial" w:hAnsi="Arial" w:cs="Arial"/>
                <w:sz w:val="20"/>
                <w:szCs w:val="20"/>
              </w:rPr>
              <w:t>jednorazový odpis</w:t>
            </w:r>
          </w:p>
        </w:tc>
        <w:tc>
          <w:tcPr>
            <w:tcW w:w="2827" w:type="dxa"/>
            <w:tcBorders>
              <w:top w:val="single" w:sz="4" w:space="0" w:color="000000"/>
              <w:left w:val="single" w:sz="4" w:space="0" w:color="000000"/>
              <w:bottom w:val="single" w:sz="4" w:space="0" w:color="000000"/>
              <w:right w:val="single" w:sz="4" w:space="0" w:color="000000"/>
            </w:tcBorders>
            <w:shd w:val="clear" w:color="auto" w:fill="auto"/>
          </w:tcPr>
          <w:p w:rsidR="00620BAC" w:rsidRDefault="00620BAC">
            <w:pPr>
              <w:snapToGrid w:val="0"/>
              <w:jc w:val="center"/>
            </w:pPr>
            <w:r>
              <w:rPr>
                <w:rFonts w:ascii="Arial" w:hAnsi="Arial" w:cs="Arial"/>
                <w:sz w:val="20"/>
                <w:szCs w:val="20"/>
              </w:rPr>
              <w:t>100</w:t>
            </w:r>
          </w:p>
        </w:tc>
      </w:tr>
    </w:tbl>
    <w:p w:rsidR="00620BAC" w:rsidRDefault="00620BAC">
      <w:pPr>
        <w:jc w:val="both"/>
      </w:pPr>
    </w:p>
    <w:p w:rsidR="00620BAC" w:rsidRDefault="00620BAC">
      <w:pPr>
        <w:jc w:val="both"/>
        <w:rPr>
          <w:rFonts w:ascii="Arial" w:eastAsia="TimesNewRomanPSMT" w:hAnsi="Arial" w:cs="Arial"/>
          <w:sz w:val="20"/>
          <w:szCs w:val="20"/>
        </w:rPr>
      </w:pPr>
      <w:r>
        <w:rPr>
          <w:rFonts w:ascii="Arial" w:eastAsia="TimesNewRomanPS-BoldMT" w:hAnsi="Arial" w:cs="Arial"/>
          <w:b/>
          <w:bCs/>
          <w:sz w:val="20"/>
          <w:szCs w:val="20"/>
        </w:rPr>
        <w:t>(c) Cenné papiere a podiely</w:t>
      </w:r>
    </w:p>
    <w:p w:rsidR="00620BAC" w:rsidRDefault="00620BAC">
      <w:pPr>
        <w:autoSpaceDE w:val="0"/>
        <w:jc w:val="both"/>
        <w:rPr>
          <w:rFonts w:ascii="Arial" w:eastAsia="TimesNewRomanPS-BoldMT" w:hAnsi="Arial" w:cs="Arial"/>
          <w:b/>
          <w:bCs/>
          <w:sz w:val="20"/>
          <w:szCs w:val="20"/>
        </w:rPr>
      </w:pPr>
      <w:r>
        <w:rPr>
          <w:rFonts w:ascii="Arial" w:eastAsia="TimesNewRomanPSMT" w:hAnsi="Arial" w:cs="Arial"/>
          <w:sz w:val="20"/>
          <w:szCs w:val="20"/>
        </w:rPr>
        <w:t>Cenné papiere a podiely (okrem cenných papierov na obchodovanie) sa oceňujú obstarávacími cenami vrátane nákladov súvisiacich s obstaraním. Od obstarávacej ceny je odpočítané zníženie hodnoty cenných papierov a podielov. Cenné papiere na obchodovanie sa pri ich obstaraní oceňujú reálnou hodnotou.</w:t>
      </w:r>
    </w:p>
    <w:p w:rsidR="00620BAC" w:rsidRDefault="00620BAC">
      <w:pPr>
        <w:autoSpaceDE w:val="0"/>
        <w:jc w:val="both"/>
        <w:rPr>
          <w:rFonts w:ascii="Arial" w:eastAsia="TimesNewRomanPS-BoldMT" w:hAnsi="Arial" w:cs="Arial"/>
          <w:b/>
          <w:bCs/>
          <w:sz w:val="20"/>
          <w:szCs w:val="20"/>
        </w:rPr>
      </w:pPr>
    </w:p>
    <w:p w:rsidR="00620BAC" w:rsidRDefault="00620BAC">
      <w:pPr>
        <w:autoSpaceDE w:val="0"/>
        <w:jc w:val="both"/>
        <w:rPr>
          <w:rFonts w:ascii="Arial" w:eastAsia="TimesNewRomanPSMT" w:hAnsi="Arial" w:cs="Arial"/>
          <w:sz w:val="20"/>
          <w:szCs w:val="20"/>
        </w:rPr>
      </w:pPr>
      <w:r>
        <w:rPr>
          <w:rFonts w:ascii="Arial" w:eastAsia="TimesNewRomanPS-BoldMT" w:hAnsi="Arial" w:cs="Arial"/>
          <w:b/>
          <w:bCs/>
          <w:sz w:val="20"/>
          <w:szCs w:val="20"/>
        </w:rPr>
        <w:t>(d) Zásoby</w:t>
      </w:r>
    </w:p>
    <w:p w:rsidR="00620BAC" w:rsidRDefault="00620BAC">
      <w:pPr>
        <w:autoSpaceDE w:val="0"/>
        <w:jc w:val="both"/>
        <w:rPr>
          <w:rFonts w:ascii="Arial" w:eastAsia="TimesNewRomanPS-BoldMT" w:hAnsi="Arial" w:cs="Arial"/>
          <w:b/>
          <w:bCs/>
          <w:sz w:val="20"/>
          <w:szCs w:val="20"/>
        </w:rPr>
      </w:pPr>
      <w:r>
        <w:rPr>
          <w:rFonts w:ascii="Arial" w:eastAsia="TimesNewRomanPSMT" w:hAnsi="Arial" w:cs="Arial"/>
          <w:sz w:val="20"/>
          <w:szCs w:val="20"/>
        </w:rPr>
        <w:t>Zásoby sa oceňujú obstarávacou cenou (nakupované zásoby) alebo vlastnými nákladmi (zásoby vytvorené vlastnou činnosťou). Obstarávacia cena zahŕňa cenu zásob a náklady súvisiace s obstaraním (clo, prepravu, poistné, provízie, skonto a pod.). Úroky z cudzích zdrojov nie sú súčasťou obstarávacej ceny. Nakupované zásoby sa oceňujú váženým aritmetickým priemerom z obstarávacích cien. 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 Čistá realizačná hodnota je predpokladaná predajná cena znížená o predpokladané náklady na ich dokončenie a o predpokladané náklady súvisiace s ich predajom. Zníženie hodnoty zásob sa zohľadňuje vytvorením opravnej položky.</w:t>
      </w:r>
    </w:p>
    <w:p w:rsidR="00620BAC" w:rsidRDefault="00620BAC">
      <w:pPr>
        <w:autoSpaceDE w:val="0"/>
        <w:jc w:val="both"/>
        <w:rPr>
          <w:rFonts w:ascii="Arial" w:eastAsia="TimesNewRomanPS-BoldMT" w:hAnsi="Arial" w:cs="Arial"/>
          <w:b/>
          <w:bCs/>
          <w:sz w:val="20"/>
          <w:szCs w:val="20"/>
        </w:rPr>
      </w:pPr>
    </w:p>
    <w:p w:rsidR="00620BAC" w:rsidRDefault="00620BAC">
      <w:pPr>
        <w:autoSpaceDE w:val="0"/>
        <w:jc w:val="both"/>
        <w:rPr>
          <w:rFonts w:ascii="Arial" w:eastAsia="TimesNewRomanPSMT" w:hAnsi="Arial" w:cs="Arial"/>
          <w:sz w:val="20"/>
          <w:szCs w:val="20"/>
        </w:rPr>
      </w:pPr>
      <w:r>
        <w:rPr>
          <w:rFonts w:ascii="Arial" w:eastAsia="TimesNewRomanPS-BoldMT" w:hAnsi="Arial" w:cs="Arial"/>
          <w:b/>
          <w:bCs/>
          <w:sz w:val="20"/>
          <w:szCs w:val="20"/>
        </w:rPr>
        <w:t>(e) Zákazková výroba</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Zákazková výroba sa vykazuje použitím metódy stupňa dokončenia zákazky.</w:t>
      </w:r>
    </w:p>
    <w:p w:rsidR="00620BAC" w:rsidRDefault="00620BAC">
      <w:pPr>
        <w:autoSpaceDE w:val="0"/>
        <w:jc w:val="both"/>
        <w:rPr>
          <w:rFonts w:ascii="Arial" w:eastAsia="TimesNewRomanPSMT" w:hAnsi="Arial" w:cs="Arial"/>
          <w:sz w:val="20"/>
          <w:szCs w:val="20"/>
        </w:rPr>
      </w:pPr>
    </w:p>
    <w:p w:rsidR="00620BAC" w:rsidRDefault="00620BAC">
      <w:pPr>
        <w:autoSpaceDE w:val="0"/>
        <w:jc w:val="both"/>
        <w:rPr>
          <w:rFonts w:ascii="Arial" w:eastAsia="TimesNewRomanPS-BoldItalicMT" w:hAnsi="Arial" w:cs="Arial"/>
          <w:b/>
          <w:bCs/>
          <w:i/>
          <w:iCs/>
          <w:sz w:val="20"/>
          <w:szCs w:val="20"/>
        </w:rPr>
      </w:pPr>
      <w:r>
        <w:rPr>
          <w:rFonts w:ascii="Arial" w:eastAsia="TimesNewRomanPS-BoldMT" w:hAnsi="Arial" w:cs="Arial"/>
          <w:b/>
          <w:bCs/>
          <w:sz w:val="20"/>
          <w:szCs w:val="20"/>
        </w:rPr>
        <w:t>(f) Zákazková výstavba nehnuteľnosti</w:t>
      </w:r>
    </w:p>
    <w:p w:rsidR="00620BAC" w:rsidRDefault="00620BAC">
      <w:pPr>
        <w:autoSpaceDE w:val="0"/>
        <w:jc w:val="both"/>
        <w:rPr>
          <w:rFonts w:ascii="Arial" w:eastAsia="TimesNewRomanPSMT" w:hAnsi="Arial" w:cs="Arial"/>
          <w:sz w:val="20"/>
          <w:szCs w:val="20"/>
        </w:rPr>
      </w:pPr>
      <w:r>
        <w:rPr>
          <w:rFonts w:ascii="Arial" w:eastAsia="TimesNewRomanPS-BoldItalicMT" w:hAnsi="Arial" w:cs="Arial"/>
          <w:b/>
          <w:bCs/>
          <w:i/>
          <w:iCs/>
          <w:sz w:val="20"/>
          <w:szCs w:val="20"/>
        </w:rPr>
        <w:t>Zákazková výstavba nehnuteľnosti – priebežný transfer</w:t>
      </w:r>
    </w:p>
    <w:p w:rsidR="00620BAC" w:rsidRDefault="00620BAC">
      <w:pPr>
        <w:autoSpaceDE w:val="0"/>
        <w:jc w:val="both"/>
        <w:rPr>
          <w:rStyle w:val="Predvolenpsmoodseku1"/>
          <w:rFonts w:ascii="Arial" w:eastAsia="TimesNewRomanPS-BoldItalicMT" w:hAnsi="Arial" w:cs="Arial"/>
          <w:b/>
          <w:bCs/>
          <w:i/>
          <w:iCs/>
          <w:sz w:val="20"/>
          <w:szCs w:val="20"/>
        </w:rPr>
      </w:pPr>
      <w:r>
        <w:rPr>
          <w:rFonts w:ascii="Arial" w:eastAsia="TimesNewRomanPSMT" w:hAnsi="Arial" w:cs="Arial"/>
          <w:sz w:val="20"/>
          <w:szCs w:val="20"/>
        </w:rPr>
        <w:t>Zákazková výstavba nehnuteľnosti určenej na predaj sa vykazuje podľa metódy stupňa dokončenia.</w:t>
      </w:r>
    </w:p>
    <w:p w:rsidR="00620BAC" w:rsidRDefault="00620BAC">
      <w:pPr>
        <w:autoSpaceDE w:val="0"/>
        <w:jc w:val="both"/>
        <w:rPr>
          <w:rStyle w:val="Predvolenpsmoodseku1"/>
          <w:rFonts w:ascii="Arial" w:eastAsia="TimesNewRomanPSMT" w:hAnsi="Arial" w:cs="Arial"/>
          <w:sz w:val="20"/>
          <w:szCs w:val="20"/>
        </w:rPr>
      </w:pPr>
      <w:r>
        <w:rPr>
          <w:rStyle w:val="Predvolenpsmoodseku1"/>
          <w:rFonts w:ascii="Arial" w:eastAsia="TimesNewRomanPS-BoldItalicMT" w:hAnsi="Arial" w:cs="Arial"/>
          <w:b/>
          <w:bCs/>
          <w:i/>
          <w:iCs/>
          <w:sz w:val="20"/>
          <w:szCs w:val="20"/>
        </w:rPr>
        <w:t>Zákazková výstavba nehnuteľnosti – ostatn</w:t>
      </w:r>
      <w:r>
        <w:rPr>
          <w:rStyle w:val="Predvolenpsmoodseku1"/>
          <w:rFonts w:ascii="Arial" w:eastAsia="TimesNewRomanPSMT" w:hAnsi="Arial" w:cs="Arial"/>
          <w:sz w:val="20"/>
          <w:szCs w:val="20"/>
        </w:rPr>
        <w:t xml:space="preserve">á </w:t>
      </w:r>
      <w:r>
        <w:rPr>
          <w:rStyle w:val="Predvolenpsmoodseku1"/>
          <w:rFonts w:ascii="Arial" w:eastAsia="TimesNewRomanPS-BoldItalicMT" w:hAnsi="Arial" w:cs="Arial"/>
          <w:b/>
          <w:bCs/>
          <w:i/>
          <w:iCs/>
          <w:sz w:val="20"/>
          <w:szCs w:val="20"/>
        </w:rPr>
        <w:t>(nie priebežný transfer)</w:t>
      </w:r>
    </w:p>
    <w:p w:rsidR="00620BAC" w:rsidRDefault="00620BAC">
      <w:pPr>
        <w:autoSpaceDE w:val="0"/>
        <w:jc w:val="both"/>
        <w:rPr>
          <w:rFonts w:ascii="Arial" w:hAnsi="Arial" w:cs="Arial"/>
          <w:b/>
          <w:sz w:val="20"/>
          <w:szCs w:val="20"/>
        </w:rPr>
      </w:pPr>
      <w:r>
        <w:rPr>
          <w:rStyle w:val="Predvolenpsmoodseku1"/>
          <w:rFonts w:ascii="Arial" w:eastAsia="TimesNewRomanPSMT" w:hAnsi="Arial" w:cs="Arial"/>
          <w:sz w:val="20"/>
          <w:szCs w:val="20"/>
        </w:rPr>
        <w:t>Zákazková výstavba nehnuteľnosti určenej na predaj – ostatná (nie priebežný transfer) sa vykazuje metódou tzv. Nulového zisku, t. j. zisk sa vykáže až pri predaji nehnuteľnosti.</w:t>
      </w:r>
    </w:p>
    <w:p w:rsidR="00620BAC" w:rsidRDefault="00620BAC">
      <w:pPr>
        <w:jc w:val="both"/>
        <w:rPr>
          <w:rFonts w:ascii="Arial" w:hAnsi="Arial" w:cs="Arial"/>
          <w:b/>
          <w:sz w:val="20"/>
          <w:szCs w:val="20"/>
        </w:rPr>
      </w:pP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(g) Pohľadávky</w:t>
      </w:r>
    </w:p>
    <w:p w:rsidR="00620BAC" w:rsidRDefault="00620BAC">
      <w:pPr>
        <w:jc w:val="both"/>
        <w:rPr>
          <w:rFonts w:ascii="Arial" w:hAnsi="Arial" w:cs="Arial"/>
          <w:sz w:val="20"/>
          <w:szCs w:val="20"/>
        </w:rPr>
      </w:pPr>
      <w:r>
        <w:rPr>
          <w:rStyle w:val="Predvolenpsmoodseku1"/>
          <w:rFonts w:ascii="Arial" w:eastAsia="TimesNewRomanPSMT" w:hAnsi="Arial" w:cs="Arial"/>
          <w:sz w:val="20"/>
          <w:szCs w:val="20"/>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620BAC" w:rsidRDefault="00620BAC">
      <w:pPr>
        <w:jc w:val="both"/>
        <w:rPr>
          <w:rFonts w:ascii="Arial" w:hAnsi="Arial" w:cs="Arial"/>
          <w:sz w:val="20"/>
          <w:szCs w:val="20"/>
        </w:rPr>
      </w:pP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(h) Peňažné prostriedky a ceniny</w:t>
      </w:r>
    </w:p>
    <w:p w:rsidR="00620BAC" w:rsidRDefault="00620BAC">
      <w:pPr>
        <w:jc w:val="both"/>
        <w:rPr>
          <w:rFonts w:ascii="Arial" w:hAnsi="Arial" w:cs="Arial"/>
          <w:b/>
          <w:sz w:val="20"/>
          <w:szCs w:val="20"/>
        </w:rPr>
      </w:pPr>
      <w:r>
        <w:rPr>
          <w:rStyle w:val="Predvolenpsmoodseku1"/>
          <w:rFonts w:ascii="Arial" w:eastAsia="TimesNewRomanPSMT" w:hAnsi="Arial" w:cs="Arial"/>
          <w:sz w:val="20"/>
          <w:szCs w:val="20"/>
        </w:rPr>
        <w:t>Peňažné prostriedky a ceniny sa oceňujú ich menovitou hodnotou. Zníženie ich hodnoty sa vyjadruje opravnou položkou.</w:t>
      </w:r>
    </w:p>
    <w:p w:rsidR="00620BAC" w:rsidRDefault="00620BAC">
      <w:pPr>
        <w:jc w:val="both"/>
        <w:rPr>
          <w:rFonts w:ascii="Arial" w:hAnsi="Arial" w:cs="Arial"/>
          <w:b/>
          <w:sz w:val="20"/>
          <w:szCs w:val="20"/>
        </w:rPr>
      </w:pP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(i) Náklady budúcich období a príjmy budúcich období</w:t>
      </w:r>
    </w:p>
    <w:p w:rsidR="00620BAC" w:rsidRDefault="00620BAC">
      <w:pPr>
        <w:jc w:val="both"/>
        <w:rPr>
          <w:rFonts w:ascii="Arial" w:hAnsi="Arial" w:cs="Arial"/>
          <w:sz w:val="20"/>
          <w:szCs w:val="20"/>
        </w:rPr>
      </w:pPr>
      <w:r>
        <w:rPr>
          <w:rStyle w:val="Predvolenpsmoodseku1"/>
          <w:rFonts w:ascii="Arial" w:eastAsia="TimesNewRomanPSMT" w:hAnsi="Arial" w:cs="Arial"/>
          <w:sz w:val="20"/>
          <w:szCs w:val="20"/>
        </w:rPr>
        <w:t>Náklady budúcich období a príjmy budúcich období sa vykazujú vo výške, ktorá je potrebná na dodržanie zásady vecnej a časovej súvislosti s účtovným obdobím.</w:t>
      </w:r>
    </w:p>
    <w:p w:rsidR="00620BAC" w:rsidRDefault="00620BAC">
      <w:pPr>
        <w:jc w:val="both"/>
        <w:rPr>
          <w:rFonts w:ascii="Arial" w:hAnsi="Arial" w:cs="Arial"/>
          <w:sz w:val="20"/>
          <w:szCs w:val="20"/>
        </w:rPr>
      </w:pP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(j) Rezervy</w:t>
      </w:r>
    </w:p>
    <w:p w:rsidR="00620BAC" w:rsidRDefault="00620BAC">
      <w:pPr>
        <w:jc w:val="both"/>
        <w:rPr>
          <w:rFonts w:ascii="Arial" w:hAnsi="Arial" w:cs="Arial"/>
          <w:sz w:val="20"/>
          <w:szCs w:val="20"/>
        </w:rPr>
      </w:pPr>
      <w:r>
        <w:rPr>
          <w:rStyle w:val="Predvolenpsmoodseku1"/>
          <w:rFonts w:ascii="Arial" w:eastAsia="TimesNewRomanPSMT" w:hAnsi="Arial" w:cs="Arial"/>
          <w:sz w:val="20"/>
          <w:szCs w:val="20"/>
        </w:rPr>
        <w:t>Rezervy sú záväzky s neurčitým časovým vymedzením alebo výškou; tvoria sa na krytie známych rizík alebo strát z podnikania. Oceňujú sa v očakávanej výške záväzku.</w:t>
      </w:r>
    </w:p>
    <w:p w:rsidR="00620BAC" w:rsidRDefault="00620BAC">
      <w:pPr>
        <w:jc w:val="both"/>
        <w:rPr>
          <w:rFonts w:ascii="Arial" w:hAnsi="Arial" w:cs="Arial"/>
          <w:sz w:val="20"/>
          <w:szCs w:val="20"/>
        </w:rPr>
      </w:pP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(k) Záväzky</w:t>
      </w:r>
    </w:p>
    <w:p w:rsidR="00620BAC" w:rsidRDefault="00620BAC">
      <w:pPr>
        <w:jc w:val="both"/>
        <w:rPr>
          <w:rFonts w:ascii="Arial" w:hAnsi="Arial" w:cs="Arial"/>
          <w:sz w:val="20"/>
          <w:szCs w:val="20"/>
        </w:rPr>
      </w:pPr>
      <w:r>
        <w:rPr>
          <w:rStyle w:val="Predvolenpsmoodseku1"/>
          <w:rFonts w:ascii="Arial" w:eastAsia="TimesNewRomanPSMT" w:hAnsi="Arial" w:cs="Arial"/>
          <w:sz w:val="20"/>
          <w:szCs w:val="20"/>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620BAC" w:rsidRDefault="00620BAC">
      <w:pPr>
        <w:jc w:val="both"/>
        <w:rPr>
          <w:rFonts w:ascii="Arial" w:hAnsi="Arial" w:cs="Arial"/>
          <w:sz w:val="20"/>
          <w:szCs w:val="20"/>
        </w:rPr>
      </w:pP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(l) Odložené dane</w:t>
      </w: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sz w:val="20"/>
          <w:szCs w:val="20"/>
        </w:rPr>
        <w:t>Odložené dane (odložená daňová pohľadávka a odložený daňový záväzok) sa vzťahujú na:</w:t>
      </w: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sz w:val="20"/>
          <w:szCs w:val="20"/>
        </w:rPr>
        <w:t>a) dočasné rozdiely medzi účtovnou hodnotou majetku a účtovnou hodnotou záväzkov vykázanou v súvahe a ich daňovou základňou,</w:t>
      </w: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sz w:val="20"/>
          <w:szCs w:val="20"/>
        </w:rPr>
        <w:t>b) možnosť umorovať daňovú stratu v budúcnosti, ktorou sa rozumie možnosť odpočítať daňovú stratu od základu dane v budúcnosti,</w:t>
      </w:r>
    </w:p>
    <w:p w:rsidR="00620BAC" w:rsidRDefault="00620BAC">
      <w:pPr>
        <w:jc w:val="both"/>
        <w:rPr>
          <w:rFonts w:ascii="Arial" w:hAnsi="Arial" w:cs="Arial"/>
          <w:b/>
          <w:sz w:val="20"/>
          <w:szCs w:val="20"/>
        </w:rPr>
      </w:pPr>
      <w:r>
        <w:rPr>
          <w:rStyle w:val="Predvolenpsmoodseku1"/>
          <w:rFonts w:ascii="Arial" w:eastAsia="TimesNewRomanPSMT" w:hAnsi="Arial" w:cs="Arial"/>
          <w:sz w:val="20"/>
          <w:szCs w:val="20"/>
        </w:rPr>
        <w:t>c) možnosť previesť nevyužité daňové odpočty a iné daňové nároky do budúcich období.</w:t>
      </w:r>
    </w:p>
    <w:p w:rsidR="00620BAC" w:rsidRDefault="00620BAC">
      <w:pPr>
        <w:jc w:val="both"/>
        <w:rPr>
          <w:rFonts w:ascii="Arial" w:hAnsi="Arial" w:cs="Arial"/>
          <w:b/>
          <w:sz w:val="20"/>
          <w:szCs w:val="20"/>
        </w:rPr>
      </w:pPr>
    </w:p>
    <w:p w:rsidR="00620BAC" w:rsidRDefault="00620BAC">
      <w:pPr>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lastRenderedPageBreak/>
        <w:t>(m) Výdavky budúcich období a výnosy budúcich období</w:t>
      </w:r>
    </w:p>
    <w:p w:rsidR="00620BAC" w:rsidRDefault="00620BAC">
      <w:pPr>
        <w:jc w:val="both"/>
        <w:rPr>
          <w:rFonts w:ascii="Arial" w:hAnsi="Arial" w:cs="Arial"/>
          <w:sz w:val="20"/>
          <w:szCs w:val="20"/>
        </w:rPr>
      </w:pPr>
      <w:r>
        <w:rPr>
          <w:rStyle w:val="Predvolenpsmoodseku1"/>
          <w:rFonts w:ascii="Arial" w:eastAsia="TimesNewRomanPSMT" w:hAnsi="Arial" w:cs="Arial"/>
          <w:sz w:val="20"/>
          <w:szCs w:val="20"/>
        </w:rPr>
        <w:t>Výdavky budúcich období a výnosy budúcich období sa vykazujú vo výške, ktorá je potrebná na dodržanie zásady vecnej a časovej súvislosti s účtovným obdobím.</w:t>
      </w:r>
    </w:p>
    <w:p w:rsidR="00620BAC" w:rsidRDefault="00620BAC">
      <w:pPr>
        <w:jc w:val="both"/>
        <w:rPr>
          <w:rFonts w:ascii="Arial" w:hAnsi="Arial" w:cs="Arial"/>
          <w:sz w:val="20"/>
          <w:szCs w:val="20"/>
        </w:rPr>
      </w:pPr>
    </w:p>
    <w:p w:rsidR="00620BAC" w:rsidRDefault="00620BAC">
      <w:pPr>
        <w:autoSpaceDE w:val="0"/>
        <w:jc w:val="both"/>
        <w:rPr>
          <w:rFonts w:ascii="Arial" w:eastAsia="TimesNewRomanPSMT" w:hAnsi="Arial" w:cs="Arial"/>
          <w:sz w:val="20"/>
          <w:szCs w:val="20"/>
        </w:rPr>
      </w:pPr>
      <w:r>
        <w:rPr>
          <w:rFonts w:ascii="Arial" w:hAnsi="Arial" w:cs="Arial"/>
          <w:b/>
          <w:sz w:val="20"/>
          <w:szCs w:val="20"/>
        </w:rPr>
        <w:t>(p) Prenájom (lízing)</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Majetok prenajatý na základe operatívneho prenájmu vykazuje ako svoj majetok jeho vlastník, nie nájomca.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 Súčasťou dohodnutých platieb je aj kúpna cena, za ktorú na konci dohodnutej doby finančného prenájmu prechádza vlastnícke právo k prenajatému majetku z prenajímateľa na nájomcu. Dohodnutá doba nájmu je najmenej 60 % doby odpisovania podľa daňových predpisov, minimálne však 3 roky. Platba nájomného je alokovaná medzi splátku istiny a finančné náklady, vypočítané metódou efektívnej úrokovej miery. Finančné náklady sa účtujú na ťarchu účtu 562 – Úroky.</w:t>
      </w:r>
    </w:p>
    <w:p w:rsidR="00620BAC" w:rsidRDefault="00620BAC">
      <w:pPr>
        <w:autoSpaceDE w:val="0"/>
        <w:jc w:val="both"/>
        <w:rPr>
          <w:rFonts w:ascii="Arial" w:eastAsia="TimesNewRomanPSMT" w:hAnsi="Arial" w:cs="Arial"/>
          <w:sz w:val="20"/>
          <w:szCs w:val="20"/>
        </w:rPr>
      </w:pPr>
    </w:p>
    <w:p w:rsidR="00620BAC" w:rsidRDefault="00620BAC">
      <w:pPr>
        <w:autoSpaceDE w:val="0"/>
        <w:jc w:val="both"/>
        <w:rPr>
          <w:rFonts w:ascii="Arial" w:eastAsia="TimesNewRomanPSMT" w:hAnsi="Arial" w:cs="Arial"/>
          <w:sz w:val="20"/>
          <w:szCs w:val="20"/>
        </w:rPr>
      </w:pPr>
      <w:r>
        <w:rPr>
          <w:rFonts w:ascii="Arial" w:eastAsia="TimesNewRomanPS-BoldMT" w:hAnsi="Arial" w:cs="Arial"/>
          <w:b/>
          <w:bCs/>
          <w:sz w:val="20"/>
          <w:szCs w:val="20"/>
        </w:rPr>
        <w:t>(q) Deriváty</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Deriváty sa oceňujú reálnou hodnotou. Zmeny reálnych hodnôt zabezpečovacích derivátov sa účtujú bez vplyvu na výsledok hospodárenia, priamo do vlastného imania. Zmeny reálnych hodnôt derivátov určených na obchodovanie na tuzemskej burze, zahraničnej burze alebo na inom verejnom trhu sa účtujú s vplyvom na výsledok hospodárenia. Zmeny reálnych hodnôt derivátov určených na obchodovanie na neverejnom trhu sa účtujú bez vplyvu na výsledok hospodárenia, priamo do vlastného imania.</w:t>
      </w:r>
    </w:p>
    <w:p w:rsidR="00620BAC" w:rsidRDefault="00620BAC">
      <w:pPr>
        <w:autoSpaceDE w:val="0"/>
        <w:jc w:val="both"/>
        <w:rPr>
          <w:rFonts w:ascii="Arial" w:eastAsia="TimesNewRomanPSMT" w:hAnsi="Arial" w:cs="Arial"/>
          <w:sz w:val="20"/>
          <w:szCs w:val="20"/>
        </w:rPr>
      </w:pPr>
    </w:p>
    <w:p w:rsidR="00620BAC" w:rsidRDefault="00620BAC">
      <w:pPr>
        <w:autoSpaceDE w:val="0"/>
        <w:jc w:val="both"/>
        <w:rPr>
          <w:rFonts w:ascii="Arial" w:eastAsia="TimesNewRomanPSMT" w:hAnsi="Arial" w:cs="Arial"/>
          <w:sz w:val="20"/>
          <w:szCs w:val="20"/>
        </w:rPr>
      </w:pPr>
      <w:r>
        <w:rPr>
          <w:rFonts w:ascii="Arial" w:eastAsia="TimesNewRomanPS-BoldMT" w:hAnsi="Arial" w:cs="Arial"/>
          <w:b/>
          <w:bCs/>
          <w:sz w:val="20"/>
          <w:szCs w:val="20"/>
        </w:rPr>
        <w:t>(r) Majetok a záväzky zabezpečené derivátmi</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Majetok a záväzky zabezpečené derivátmi sa oceňujú reálnou hodnotou. Zmeny reálnych hodnôt majetku a záväzkov zabezpečených derivátmi sa účtujú bez vplyvu na výsledok hospodárenia, priamo do vlastného imania.</w:t>
      </w:r>
    </w:p>
    <w:p w:rsidR="00620BAC" w:rsidRDefault="00620BAC">
      <w:pPr>
        <w:autoSpaceDE w:val="0"/>
        <w:jc w:val="both"/>
        <w:rPr>
          <w:rFonts w:ascii="Arial" w:eastAsia="TimesNewRomanPSMT" w:hAnsi="Arial" w:cs="Arial"/>
          <w:sz w:val="20"/>
          <w:szCs w:val="20"/>
        </w:rPr>
      </w:pPr>
    </w:p>
    <w:p w:rsidR="00620BAC" w:rsidRDefault="00620BAC">
      <w:pPr>
        <w:autoSpaceDE w:val="0"/>
        <w:jc w:val="both"/>
        <w:rPr>
          <w:rFonts w:ascii="Arial" w:eastAsia="TimesNewRomanPSMT" w:hAnsi="Arial" w:cs="Arial"/>
          <w:sz w:val="20"/>
          <w:szCs w:val="20"/>
        </w:rPr>
      </w:pPr>
      <w:r>
        <w:rPr>
          <w:rFonts w:ascii="Arial" w:eastAsia="TimesNewRomanPS-BoldMT" w:hAnsi="Arial" w:cs="Arial"/>
          <w:b/>
          <w:bCs/>
          <w:sz w:val="20"/>
          <w:szCs w:val="20"/>
        </w:rPr>
        <w:t>(s) Cudzia mena</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Na ocenenie prírastku cudzej meny nakúpenej za euro sa použije kurz, za ktorý bola táto cudzia mena nakúpená. 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Prijaté a poskytnuté preddavky v cudzej mene prostredníctvom účtu vedeného v tejto cudzej mene sa prepočítavajú na menu euro referenčným výmenným kurzom určeným a vyhláseným Európskou centrálnou bankou alebo Národnou</w:t>
      </w:r>
    </w:p>
    <w:p w:rsidR="00620BAC" w:rsidRDefault="00620BAC">
      <w:pPr>
        <w:autoSpaceDE w:val="0"/>
        <w:jc w:val="both"/>
        <w:rPr>
          <w:rFonts w:ascii="Arial" w:eastAsia="TimesNewRomanPSMT" w:hAnsi="Arial" w:cs="Arial"/>
          <w:sz w:val="20"/>
          <w:szCs w:val="20"/>
        </w:rPr>
      </w:pPr>
      <w:r>
        <w:rPr>
          <w:rFonts w:ascii="Arial" w:eastAsia="TimesNewRomanPSMT" w:hAnsi="Arial" w:cs="Arial"/>
          <w:sz w:val="20"/>
          <w:szCs w:val="20"/>
        </w:rPr>
        <w:t>bankou Slovenska v deň predchádzajúci dňu uskutočnenia účtovného prípadu. Ku dňu, ku ktorému sa zostavuje účtovná závierka, sa už neprepočítavajú. Prijaté a poskytnuté preddavky v cudzej mene na účet zriadený v eurách a z účtu zriadeného v eurách sa prepočítavajú na menu euro kurzom, za ktorý boli tieto hodnoty nakúpené alebo predané.</w:t>
      </w:r>
    </w:p>
    <w:p w:rsidR="00620BAC" w:rsidRDefault="00620BAC">
      <w:pPr>
        <w:autoSpaceDE w:val="0"/>
        <w:jc w:val="both"/>
        <w:rPr>
          <w:rFonts w:ascii="Arial" w:eastAsia="TimesNewRomanPSMT" w:hAnsi="Arial" w:cs="Arial"/>
          <w:sz w:val="20"/>
          <w:szCs w:val="20"/>
        </w:rPr>
      </w:pPr>
    </w:p>
    <w:p w:rsidR="00620BAC" w:rsidRDefault="00620BAC">
      <w:pPr>
        <w:autoSpaceDE w:val="0"/>
        <w:jc w:val="both"/>
        <w:rPr>
          <w:rStyle w:val="Predvolenpsmoodseku1"/>
          <w:rFonts w:ascii="Arial" w:eastAsia="TimesNewRomanPSMT" w:hAnsi="Arial" w:cs="Arial"/>
          <w:sz w:val="20"/>
          <w:szCs w:val="20"/>
        </w:rPr>
      </w:pPr>
      <w:r>
        <w:rPr>
          <w:rStyle w:val="Predvolenpsmoodseku1"/>
          <w:rFonts w:ascii="Arial" w:eastAsia="TimesNewRomanPSMT" w:hAnsi="Arial" w:cs="Arial"/>
          <w:b/>
          <w:sz w:val="20"/>
          <w:szCs w:val="20"/>
        </w:rPr>
        <w:t>(t) Výnosy</w:t>
      </w:r>
    </w:p>
    <w:p w:rsidR="00620BAC" w:rsidRDefault="00620BAC">
      <w:pPr>
        <w:autoSpaceDE w:val="0"/>
        <w:jc w:val="both"/>
        <w:rPr>
          <w:rFonts w:ascii="Arial" w:eastAsia="TimesNewRomanPSMT" w:hAnsi="Arial" w:cs="Arial"/>
          <w:sz w:val="20"/>
          <w:szCs w:val="20"/>
        </w:rPr>
      </w:pPr>
      <w:r>
        <w:rPr>
          <w:rStyle w:val="Predvolenpsmoodseku1"/>
          <w:rFonts w:ascii="Arial" w:eastAsia="TimesNewRomanPSMT" w:hAnsi="Arial" w:cs="Arial"/>
          <w:sz w:val="20"/>
          <w:szCs w:val="20"/>
        </w:rPr>
        <w:t>Tržby za vlastné výkony a tovar neobsahujú daň z pridanej hodnoty. Sú tiež znížené o zľavy a zrážky (rabaty, bonusy,</w:t>
      </w:r>
      <w:r>
        <w:rPr>
          <w:rStyle w:val="Predvolenpsmoodseku1"/>
          <w:rFonts w:ascii="Arial" w:hAnsi="Arial" w:cs="Arial"/>
          <w:sz w:val="20"/>
          <w:szCs w:val="20"/>
        </w:rPr>
        <w:t xml:space="preserve"> </w:t>
      </w:r>
      <w:r>
        <w:rPr>
          <w:rStyle w:val="Predvolenpsmoodseku1"/>
          <w:rFonts w:ascii="Arial" w:eastAsia="TimesNewRomanPSMT" w:hAnsi="Arial" w:cs="Arial"/>
          <w:sz w:val="20"/>
          <w:szCs w:val="20"/>
        </w:rPr>
        <w:t>skontá, dobropisy a pod.), bez ohľadu na to, či zákazník mal vopred na zľavu nárok, alebo či ide o dodatočne uznanú</w:t>
      </w:r>
      <w:r>
        <w:rPr>
          <w:rStyle w:val="Predvolenpsmoodseku1"/>
          <w:rFonts w:ascii="Arial" w:hAnsi="Arial" w:cs="Arial"/>
          <w:sz w:val="20"/>
          <w:szCs w:val="20"/>
        </w:rPr>
        <w:t xml:space="preserve"> </w:t>
      </w:r>
      <w:r>
        <w:rPr>
          <w:rStyle w:val="Predvolenpsmoodseku1"/>
          <w:rFonts w:ascii="Arial" w:eastAsia="TimesNewRomanPSMT" w:hAnsi="Arial" w:cs="Arial"/>
          <w:sz w:val="20"/>
          <w:szCs w:val="20"/>
        </w:rPr>
        <w:t>zľavu.</w:t>
      </w:r>
    </w:p>
    <w:p w:rsidR="00620BAC" w:rsidRDefault="00620BAC">
      <w:pPr>
        <w:autoSpaceDE w:val="0"/>
        <w:jc w:val="both"/>
        <w:rPr>
          <w:rFonts w:ascii="Arial" w:eastAsia="TimesNewRomanPSMT" w:hAnsi="Arial" w:cs="Arial"/>
          <w:sz w:val="20"/>
          <w:szCs w:val="20"/>
        </w:rPr>
      </w:pPr>
    </w:p>
    <w:p w:rsidR="00620BAC" w:rsidRDefault="00620BAC">
      <w:pPr>
        <w:autoSpaceDE w:val="0"/>
        <w:jc w:val="both"/>
        <w:rPr>
          <w:rFonts w:ascii="Arial" w:eastAsia="TimesNewRomanPSMT" w:hAnsi="Arial" w:cs="Arial"/>
          <w:sz w:val="20"/>
          <w:szCs w:val="20"/>
        </w:rPr>
      </w:pPr>
    </w:p>
    <w:p w:rsidR="00620BAC" w:rsidRDefault="00620BAC">
      <w:pPr>
        <w:autoSpaceDE w:val="0"/>
        <w:jc w:val="center"/>
      </w:pPr>
      <w:r>
        <w:rPr>
          <w:rStyle w:val="Predvolenpsmoodseku1"/>
          <w:rFonts w:ascii="Arial" w:eastAsia="TimesNewRomanPSMT" w:hAnsi="Arial" w:cs="Arial"/>
          <w:b/>
        </w:rPr>
        <w:t>III. Informácie, ktoré vysvetľujú a dopĺňajú súvahu a výkaz ziskov a strát</w:t>
      </w:r>
    </w:p>
    <w:sectPr w:rsidR="00620BAC" w:rsidSect="00AD2300">
      <w:headerReference w:type="default" r:id="rId6"/>
      <w:footerReference w:type="default" r:id="rId7"/>
      <w:pgSz w:w="11906" w:h="16838"/>
      <w:pgMar w:top="1134" w:right="1134" w:bottom="1134" w:left="1134" w:header="708" w:footer="708" w:gutter="0"/>
      <w:cols w:space="708"/>
      <w:docGrid w:linePitch="600" w:charSpace="32768"/>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C154C" w:rsidRDefault="002C154C">
      <w:pPr>
        <w:spacing w:line="240" w:lineRule="auto"/>
      </w:pPr>
      <w:r>
        <w:separator/>
      </w:r>
    </w:p>
  </w:endnote>
  <w:endnote w:type="continuationSeparator" w:id="1">
    <w:p w:rsidR="002C154C" w:rsidRDefault="002C154C">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angal">
    <w:altName w:val="Courier New"/>
    <w:panose1 w:val="00000400000000000000"/>
    <w:charset w:val="01"/>
    <w:family w:val="roman"/>
    <w:notTrueType/>
    <w:pitch w:val="variable"/>
    <w:sig w:usb0="00002000" w:usb1="00000000" w:usb2="00000000" w:usb3="00000000" w:csb0="00000000"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TimesNewRomanPS-BoldMT">
    <w:altName w:val="Times New Roman"/>
    <w:charset w:val="EE"/>
    <w:family w:val="auto"/>
    <w:pitch w:val="default"/>
    <w:sig w:usb0="00000000" w:usb1="00000000" w:usb2="00000000" w:usb3="00000000" w:csb0="00000000" w:csb1="00000000"/>
  </w:font>
  <w:font w:name="TimesNewRomanPSMT">
    <w:charset w:val="EE"/>
    <w:family w:val="roman"/>
    <w:pitch w:val="default"/>
    <w:sig w:usb0="00000000" w:usb1="00000000" w:usb2="00000000" w:usb3="00000000" w:csb0="00000000" w:csb1="00000000"/>
  </w:font>
  <w:font w:name="TimesNewRomanPS-BoldItalicMT">
    <w:charset w:val="EE"/>
    <w:family w:val="script"/>
    <w:pitch w:val="default"/>
    <w:sig w:usb0="00000000" w:usb1="00000000" w:usb2="00000000" w:usb3="00000000" w:csb0="00000000"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20BAC" w:rsidRDefault="006F51DD">
    <w:pPr>
      <w:pStyle w:val="Pta"/>
      <w:jc w:val="center"/>
    </w:pPr>
    <w:fldSimple w:instr=" PAGE ">
      <w:r w:rsidR="00727615">
        <w:rPr>
          <w:noProof/>
        </w:rPr>
        <w:t>2</w:t>
      </w:r>
    </w:fldSimple>
  </w:p>
  <w:p w:rsidR="00620BAC" w:rsidRDefault="00620BAC">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C154C" w:rsidRDefault="002C154C">
      <w:pPr>
        <w:spacing w:line="240" w:lineRule="auto"/>
      </w:pPr>
      <w:r>
        <w:separator/>
      </w:r>
    </w:p>
  </w:footnote>
  <w:footnote w:type="continuationSeparator" w:id="1">
    <w:p w:rsidR="002C154C" w:rsidRDefault="002C154C">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4208D" w:rsidRDefault="00620BAC">
    <w:pPr>
      <w:pStyle w:val="Hlavika"/>
      <w:rPr>
        <w:b/>
      </w:rPr>
    </w:pPr>
    <w:r>
      <w:rPr>
        <w:b/>
      </w:rPr>
      <w:t>Poznámky Úč MÚJ 3 -01                           IČO:</w:t>
    </w:r>
    <w:r w:rsidR="00727615">
      <w:rPr>
        <w:b/>
      </w:rPr>
      <w:t>44749660</w:t>
    </w:r>
    <w:r>
      <w:rPr>
        <w:b/>
      </w:rPr>
      <w:t xml:space="preserve">               DIČ:</w:t>
    </w:r>
    <w:r w:rsidR="00727615">
      <w:rPr>
        <w:b/>
      </w:rPr>
      <w:t xml:space="preserve"> 2022814211</w:t>
    </w:r>
  </w:p>
  <w:p w:rsidR="00956931" w:rsidRDefault="00956931">
    <w:pPr>
      <w:pStyle w:val="Hlavika"/>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embedSystemFonts/>
  <w:stylePaneFormatFilter w:val="0000"/>
  <w:defaultTabStop w:val="709"/>
  <w:hyphenationZone w:val="425"/>
  <w:defaultTableStyle w:val="Normlny"/>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footnote w:id="0"/>
    <w:footnote w:id="1"/>
  </w:footnotePr>
  <w:endnotePr>
    <w:endnote w:id="0"/>
    <w:endnote w:id="1"/>
  </w:endnotePr>
  <w:compat>
    <w:spaceForUL/>
    <w:balanceSingleByteDoubleByteWidth/>
    <w:doNotLeaveBackslashAlone/>
    <w:ulTrailSpace/>
    <w:adjustLineHeightInTable/>
  </w:compat>
  <w:rsids>
    <w:rsidRoot w:val="00115145"/>
    <w:rsid w:val="000F54B8"/>
    <w:rsid w:val="001018AE"/>
    <w:rsid w:val="00103964"/>
    <w:rsid w:val="00112868"/>
    <w:rsid w:val="00115145"/>
    <w:rsid w:val="00134262"/>
    <w:rsid w:val="00157AFA"/>
    <w:rsid w:val="001C5828"/>
    <w:rsid w:val="001F149D"/>
    <w:rsid w:val="00272736"/>
    <w:rsid w:val="002C154C"/>
    <w:rsid w:val="002D4422"/>
    <w:rsid w:val="00344979"/>
    <w:rsid w:val="00366878"/>
    <w:rsid w:val="00413A57"/>
    <w:rsid w:val="00467D58"/>
    <w:rsid w:val="004B259C"/>
    <w:rsid w:val="00541BC9"/>
    <w:rsid w:val="005946E2"/>
    <w:rsid w:val="005971E9"/>
    <w:rsid w:val="00620BAC"/>
    <w:rsid w:val="006F51DD"/>
    <w:rsid w:val="00727615"/>
    <w:rsid w:val="00745A69"/>
    <w:rsid w:val="00774305"/>
    <w:rsid w:val="00862C7E"/>
    <w:rsid w:val="00864F25"/>
    <w:rsid w:val="008D4F88"/>
    <w:rsid w:val="009037CF"/>
    <w:rsid w:val="009251BC"/>
    <w:rsid w:val="009321D4"/>
    <w:rsid w:val="00956931"/>
    <w:rsid w:val="009C20BE"/>
    <w:rsid w:val="00A058AA"/>
    <w:rsid w:val="00A72F8D"/>
    <w:rsid w:val="00AD2300"/>
    <w:rsid w:val="00AD5FCA"/>
    <w:rsid w:val="00B74CE1"/>
    <w:rsid w:val="00BC713E"/>
    <w:rsid w:val="00BF6472"/>
    <w:rsid w:val="00C4208D"/>
    <w:rsid w:val="00C50531"/>
    <w:rsid w:val="00CA78F7"/>
    <w:rsid w:val="00D54209"/>
    <w:rsid w:val="00DC4F8D"/>
    <w:rsid w:val="00E21C29"/>
    <w:rsid w:val="00E76E2D"/>
    <w:rsid w:val="00E82471"/>
    <w:rsid w:val="00F119A8"/>
    <w:rsid w:val="00F814AD"/>
    <w:rsid w:val="00FB1500"/>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42"/>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AD2300"/>
    <w:pPr>
      <w:widowControl w:val="0"/>
      <w:suppressAutoHyphens/>
      <w:spacing w:line="100" w:lineRule="atLeast"/>
      <w:textAlignment w:val="baseline"/>
    </w:pPr>
    <w:rPr>
      <w:rFonts w:eastAsia="SimSun" w:cs="Mangal"/>
      <w:kern w:val="1"/>
      <w:sz w:val="24"/>
      <w:szCs w:val="24"/>
      <w:lang w:eastAsia="hi-IN" w:bidi="hi-IN"/>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Absatz-Standardschriftart">
    <w:name w:val="Absatz-Standardschriftart"/>
    <w:rsid w:val="00AD2300"/>
  </w:style>
  <w:style w:type="character" w:customStyle="1" w:styleId="WW-Absatz-Standardschriftart">
    <w:name w:val="WW-Absatz-Standardschriftart"/>
    <w:rsid w:val="00AD2300"/>
  </w:style>
  <w:style w:type="character" w:customStyle="1" w:styleId="Predvolenpsmoodseku1">
    <w:name w:val="Predvolené písmo odseku1"/>
    <w:rsid w:val="00AD2300"/>
  </w:style>
  <w:style w:type="character" w:customStyle="1" w:styleId="Symbolypreslovanie">
    <w:name w:val="Symboly pre číslovanie"/>
    <w:rsid w:val="00AD2300"/>
  </w:style>
  <w:style w:type="character" w:customStyle="1" w:styleId="HlavikaChar">
    <w:name w:val="Hlavička Char"/>
    <w:basedOn w:val="Predvolenpsmoodseku1"/>
    <w:rsid w:val="00AD2300"/>
    <w:rPr>
      <w:szCs w:val="21"/>
    </w:rPr>
  </w:style>
  <w:style w:type="character" w:customStyle="1" w:styleId="PtaChar">
    <w:name w:val="Päta Char"/>
    <w:basedOn w:val="Predvolenpsmoodseku1"/>
    <w:rsid w:val="00AD2300"/>
    <w:rPr>
      <w:szCs w:val="21"/>
    </w:rPr>
  </w:style>
  <w:style w:type="character" w:customStyle="1" w:styleId="TextbublinyChar">
    <w:name w:val="Text bubliny Char"/>
    <w:basedOn w:val="Predvolenpsmoodseku1"/>
    <w:rsid w:val="00AD2300"/>
    <w:rPr>
      <w:rFonts w:ascii="Tahoma" w:hAnsi="Tahoma" w:cs="Tahoma"/>
      <w:sz w:val="16"/>
      <w:szCs w:val="14"/>
    </w:rPr>
  </w:style>
  <w:style w:type="paragraph" w:customStyle="1" w:styleId="Nadpis">
    <w:name w:val="Nadpis"/>
    <w:basedOn w:val="Normlny"/>
    <w:next w:val="Zkladntext"/>
    <w:rsid w:val="00AD2300"/>
    <w:pPr>
      <w:keepNext/>
      <w:spacing w:before="240" w:after="120"/>
    </w:pPr>
    <w:rPr>
      <w:rFonts w:ascii="Arial" w:eastAsia="Lucida Sans Unicode" w:hAnsi="Arial"/>
      <w:sz w:val="28"/>
      <w:szCs w:val="28"/>
    </w:rPr>
  </w:style>
  <w:style w:type="paragraph" w:styleId="Zkladntext">
    <w:name w:val="Body Text"/>
    <w:basedOn w:val="Normlny"/>
    <w:rsid w:val="00AD2300"/>
    <w:pPr>
      <w:spacing w:after="120"/>
    </w:pPr>
  </w:style>
  <w:style w:type="paragraph" w:styleId="Zoznam">
    <w:name w:val="List"/>
    <w:basedOn w:val="Zkladntext"/>
    <w:rsid w:val="00AD2300"/>
  </w:style>
  <w:style w:type="paragraph" w:customStyle="1" w:styleId="Popisok">
    <w:name w:val="Popisok"/>
    <w:basedOn w:val="Normlny"/>
    <w:rsid w:val="00AD2300"/>
    <w:pPr>
      <w:suppressLineNumbers/>
      <w:spacing w:before="120" w:after="120"/>
    </w:pPr>
    <w:rPr>
      <w:i/>
      <w:iCs/>
    </w:rPr>
  </w:style>
  <w:style w:type="paragraph" w:customStyle="1" w:styleId="Index">
    <w:name w:val="Index"/>
    <w:basedOn w:val="Normlny"/>
    <w:rsid w:val="00AD2300"/>
    <w:pPr>
      <w:suppressLineNumbers/>
    </w:pPr>
  </w:style>
  <w:style w:type="paragraph" w:customStyle="1" w:styleId="Normlny1">
    <w:name w:val="Normálny1"/>
    <w:rsid w:val="00AD2300"/>
    <w:pPr>
      <w:widowControl w:val="0"/>
      <w:suppressAutoHyphens/>
      <w:spacing w:line="100" w:lineRule="atLeast"/>
      <w:textAlignment w:val="baseline"/>
    </w:pPr>
    <w:rPr>
      <w:rFonts w:eastAsia="SimSun" w:cs="Mangal"/>
      <w:kern w:val="1"/>
      <w:sz w:val="24"/>
      <w:szCs w:val="24"/>
      <w:lang w:eastAsia="hi-IN" w:bidi="hi-IN"/>
    </w:rPr>
  </w:style>
  <w:style w:type="paragraph" w:customStyle="1" w:styleId="Nzov1">
    <w:name w:val="Názov1"/>
    <w:basedOn w:val="Normlny"/>
    <w:next w:val="Zkladntext"/>
    <w:rsid w:val="00AD2300"/>
    <w:pPr>
      <w:keepNext/>
      <w:spacing w:before="240" w:after="120"/>
    </w:pPr>
    <w:rPr>
      <w:rFonts w:ascii="Arial" w:hAnsi="Arial" w:cs="Arial"/>
      <w:sz w:val="28"/>
      <w:szCs w:val="28"/>
    </w:rPr>
  </w:style>
  <w:style w:type="paragraph" w:customStyle="1" w:styleId="Popis1">
    <w:name w:val="Popis1"/>
    <w:basedOn w:val="Normlny"/>
    <w:rsid w:val="00AD2300"/>
    <w:pPr>
      <w:suppressLineNumbers/>
      <w:spacing w:before="120" w:after="120"/>
    </w:pPr>
    <w:rPr>
      <w:i/>
      <w:iCs/>
    </w:rPr>
  </w:style>
  <w:style w:type="paragraph" w:styleId="Hlavika">
    <w:name w:val="header"/>
    <w:basedOn w:val="Normlny1"/>
    <w:rsid w:val="00AD2300"/>
    <w:pPr>
      <w:tabs>
        <w:tab w:val="center" w:pos="4536"/>
        <w:tab w:val="right" w:pos="9072"/>
      </w:tabs>
    </w:pPr>
    <w:rPr>
      <w:szCs w:val="21"/>
    </w:rPr>
  </w:style>
  <w:style w:type="paragraph" w:styleId="Pta">
    <w:name w:val="footer"/>
    <w:basedOn w:val="Normlny1"/>
    <w:rsid w:val="00AD2300"/>
    <w:pPr>
      <w:tabs>
        <w:tab w:val="center" w:pos="4536"/>
        <w:tab w:val="right" w:pos="9072"/>
      </w:tabs>
    </w:pPr>
    <w:rPr>
      <w:szCs w:val="21"/>
    </w:rPr>
  </w:style>
  <w:style w:type="paragraph" w:styleId="Textbubliny">
    <w:name w:val="Balloon Text"/>
    <w:basedOn w:val="Normlny1"/>
    <w:rsid w:val="00AD2300"/>
    <w:rPr>
      <w:rFonts w:ascii="Tahoma" w:hAnsi="Tahoma" w:cs="Tahoma"/>
      <w:sz w:val="16"/>
      <w:szCs w:val="14"/>
    </w:rPr>
  </w:style>
  <w:style w:type="paragraph" w:customStyle="1" w:styleId="Obsahtabuky">
    <w:name w:val="Obsah tabuľky"/>
    <w:basedOn w:val="Normlny"/>
    <w:rsid w:val="00AD2300"/>
    <w:pPr>
      <w:suppressLineNumbers/>
    </w:pPr>
  </w:style>
  <w:style w:type="paragraph" w:customStyle="1" w:styleId="Nadpistabuky">
    <w:name w:val="Nadpis tabuľky"/>
    <w:basedOn w:val="Obsahtabuky"/>
    <w:rsid w:val="00AD2300"/>
    <w:pPr>
      <w:jc w:val="center"/>
    </w:pPr>
    <w:rPr>
      <w:b/>
      <w:bCs/>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TotalTime>
  <Pages>1</Pages>
  <Words>1615</Words>
  <Characters>9212</Characters>
  <Application>Microsoft Office Word</Application>
  <DocSecurity>0</DocSecurity>
  <Lines>76</Lines>
  <Paragraphs>21</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10806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18</cp:revision>
  <cp:lastPrinted>2017-03-27T15:43:00Z</cp:lastPrinted>
  <dcterms:created xsi:type="dcterms:W3CDTF">2021-03-27T11:19:00Z</dcterms:created>
  <dcterms:modified xsi:type="dcterms:W3CDTF">2021-06-23T10:49:00Z</dcterms:modified>
</cp:coreProperties>
</file>