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F4AD6A" w14:textId="77777777" w:rsidR="004D3B4A" w:rsidRPr="00891481" w:rsidRDefault="004D3B4A" w:rsidP="00F751BF">
      <w:pPr>
        <w:pStyle w:val="Nadpis1"/>
        <w:numPr>
          <w:ilvl w:val="0"/>
          <w:numId w:val="1"/>
        </w:numPr>
        <w:ind w:left="709" w:hanging="709"/>
        <w:rPr>
          <w:szCs w:val="18"/>
        </w:rPr>
      </w:pPr>
      <w:bookmarkStart w:id="0" w:name="_Toc530739894"/>
      <w:r w:rsidRPr="00FD3474">
        <w:rPr>
          <w:szCs w:val="18"/>
        </w:rPr>
        <w:t>Informácie o účtovnej jednotke</w:t>
      </w:r>
      <w:bookmarkEnd w:id="0"/>
    </w:p>
    <w:p w14:paraId="00F4AD6B" w14:textId="77777777" w:rsidR="004D3B4A" w:rsidRPr="008C0838" w:rsidRDefault="004D3B4A" w:rsidP="004D3B4A">
      <w:pPr>
        <w:pStyle w:val="Zkladntext"/>
        <w:rPr>
          <w:szCs w:val="18"/>
        </w:rPr>
      </w:pPr>
    </w:p>
    <w:p w14:paraId="00F4AD6C" w14:textId="77777777" w:rsidR="004D3B4A" w:rsidRPr="00B50225" w:rsidRDefault="009F630B" w:rsidP="004D3B4A">
      <w:pPr>
        <w:pStyle w:val="Nadpis2"/>
        <w:numPr>
          <w:ilvl w:val="0"/>
          <w:numId w:val="2"/>
        </w:numPr>
        <w:rPr>
          <w:szCs w:val="18"/>
        </w:rPr>
      </w:pPr>
      <w:r>
        <w:rPr>
          <w:szCs w:val="18"/>
        </w:rPr>
        <w:t>Identifikácia</w:t>
      </w:r>
      <w:r w:rsidR="00D72087" w:rsidRPr="00B50225">
        <w:rPr>
          <w:szCs w:val="18"/>
        </w:rPr>
        <w:t xml:space="preserve"> spoločnosti</w:t>
      </w:r>
    </w:p>
    <w:p w14:paraId="00F4AD6D" w14:textId="5304391C" w:rsidR="004D3B4A" w:rsidRPr="00B50225" w:rsidRDefault="00D8143B" w:rsidP="004D3B4A">
      <w:pPr>
        <w:pStyle w:val="Zkladntext"/>
        <w:rPr>
          <w:szCs w:val="18"/>
        </w:rPr>
      </w:pPr>
      <w:r>
        <w:t xml:space="preserve">Spoločnosť </w:t>
      </w:r>
      <w:r w:rsidR="00DD0280">
        <w:t>I-PHARMA,</w:t>
      </w:r>
      <w:r w:rsidR="000834D7">
        <w:t xml:space="preserve"> s.r.o., so sídlom </w:t>
      </w:r>
      <w:r w:rsidR="00DD0280">
        <w:t>Miletičova 1</w:t>
      </w:r>
      <w:r w:rsidR="00B11DB4">
        <w:t>, 8</w:t>
      </w:r>
      <w:r w:rsidR="00DD0280">
        <w:t>2</w:t>
      </w:r>
      <w:r w:rsidR="00B11DB4">
        <w:t>1 0</w:t>
      </w:r>
      <w:r w:rsidR="00DD0280">
        <w:t>8</w:t>
      </w:r>
      <w:r w:rsidR="00B11DB4">
        <w:t xml:space="preserve">  Bratislava</w:t>
      </w:r>
      <w:r w:rsidR="00DD0280">
        <w:t xml:space="preserve"> – mestská časť Ružinov</w:t>
      </w:r>
      <w:r w:rsidR="000834D7">
        <w:t xml:space="preserve">  (ďalej l</w:t>
      </w:r>
      <w:r>
        <w:t>en Spoločnosť), bola</w:t>
      </w:r>
      <w:r w:rsidR="00DD0280">
        <w:t xml:space="preserve"> založená 10. januára 2019 a </w:t>
      </w:r>
      <w:r w:rsidR="000834D7">
        <w:t xml:space="preserve">do obchodného registra bola zapísaná </w:t>
      </w:r>
      <w:r w:rsidR="00DD0280">
        <w:t>25</w:t>
      </w:r>
      <w:r w:rsidR="008572DA">
        <w:t xml:space="preserve">. </w:t>
      </w:r>
      <w:r w:rsidR="00DD0280">
        <w:t>januára</w:t>
      </w:r>
      <w:r>
        <w:t xml:space="preserve"> 201</w:t>
      </w:r>
      <w:r w:rsidR="0025698E">
        <w:t>9</w:t>
      </w:r>
      <w:r w:rsidR="000834D7">
        <w:t xml:space="preserve"> (Obchodný register Okresného súdu Bratislava I.</w:t>
      </w:r>
      <w:r>
        <w:t xml:space="preserve">, oddiel Sro, vložka číslo: </w:t>
      </w:r>
      <w:r w:rsidR="00DD0280">
        <w:t>134433</w:t>
      </w:r>
      <w:r w:rsidR="000834D7">
        <w:t>/B).</w:t>
      </w:r>
      <w:r w:rsidR="004D3B4A" w:rsidRPr="00B50225">
        <w:rPr>
          <w:szCs w:val="18"/>
        </w:rPr>
        <w:t xml:space="preserve"> </w:t>
      </w:r>
    </w:p>
    <w:p w14:paraId="00F4AD6E" w14:textId="77777777" w:rsidR="004D3B4A" w:rsidRPr="00FC603B" w:rsidRDefault="004D3B4A" w:rsidP="004D3B4A">
      <w:pPr>
        <w:rPr>
          <w:sz w:val="18"/>
          <w:szCs w:val="18"/>
        </w:rPr>
      </w:pPr>
    </w:p>
    <w:p w14:paraId="00F4AD6F" w14:textId="77777777" w:rsidR="00B5284E" w:rsidRDefault="00B5284E" w:rsidP="004D3B4A">
      <w:pPr>
        <w:pStyle w:val="Nadpis2"/>
        <w:numPr>
          <w:ilvl w:val="0"/>
          <w:numId w:val="2"/>
        </w:numPr>
        <w:rPr>
          <w:szCs w:val="18"/>
        </w:rPr>
      </w:pPr>
      <w:r>
        <w:rPr>
          <w:szCs w:val="18"/>
        </w:rPr>
        <w:t>Údaje o</w:t>
      </w:r>
      <w:r w:rsidR="009F630B">
        <w:rPr>
          <w:szCs w:val="18"/>
        </w:rPr>
        <w:t> konsolidovanom celku</w:t>
      </w:r>
    </w:p>
    <w:p w14:paraId="00F4AD70" w14:textId="36C69FBB" w:rsidR="00B5284E" w:rsidRPr="00B5284E" w:rsidRDefault="00357CBA" w:rsidP="00B5284E">
      <w:pPr>
        <w:ind w:left="360"/>
        <w:rPr>
          <w:sz w:val="18"/>
        </w:rPr>
      </w:pPr>
      <w:r>
        <w:rPr>
          <w:sz w:val="18"/>
        </w:rPr>
        <w:t xml:space="preserve">Spoločnosť </w:t>
      </w:r>
      <w:r w:rsidR="00DD0280">
        <w:t>I-PHARMA, s.r.o.</w:t>
      </w:r>
      <w:r w:rsidR="00B5284E" w:rsidRPr="00B5284E">
        <w:rPr>
          <w:sz w:val="18"/>
        </w:rPr>
        <w:t xml:space="preserve"> vlastn</w:t>
      </w:r>
      <w:r w:rsidR="00DD0280">
        <w:rPr>
          <w:sz w:val="18"/>
        </w:rPr>
        <w:t>ia</w:t>
      </w:r>
      <w:r w:rsidR="00B5284E" w:rsidRPr="00B5284E">
        <w:rPr>
          <w:sz w:val="18"/>
        </w:rPr>
        <w:t xml:space="preserve"> </w:t>
      </w:r>
      <w:r w:rsidR="00DD0280">
        <w:rPr>
          <w:sz w:val="18"/>
        </w:rPr>
        <w:t>dve</w:t>
      </w:r>
      <w:r w:rsidR="00B5284E" w:rsidRPr="00B5284E">
        <w:rPr>
          <w:sz w:val="18"/>
        </w:rPr>
        <w:t xml:space="preserve"> fyzick</w:t>
      </w:r>
      <w:r w:rsidR="00DD0280">
        <w:rPr>
          <w:sz w:val="18"/>
        </w:rPr>
        <w:t>é</w:t>
      </w:r>
      <w:r w:rsidR="00B5284E" w:rsidRPr="00B5284E">
        <w:rPr>
          <w:sz w:val="18"/>
        </w:rPr>
        <w:t xml:space="preserve"> osob</w:t>
      </w:r>
      <w:r w:rsidR="00DD0280">
        <w:rPr>
          <w:sz w:val="18"/>
        </w:rPr>
        <w:t>y</w:t>
      </w:r>
      <w:r w:rsidR="00B5284E" w:rsidRPr="00B5284E">
        <w:rPr>
          <w:sz w:val="18"/>
        </w:rPr>
        <w:t xml:space="preserve">. Nie je súčasťou inej skupiny. Povinnosť konsolidácie sa nevzťahuje </w:t>
      </w:r>
      <w:r w:rsidR="000834D7">
        <w:rPr>
          <w:sz w:val="18"/>
        </w:rPr>
        <w:t>na Spoločnosť ani jej vlastník</w:t>
      </w:r>
      <w:r w:rsidR="00DD0280">
        <w:rPr>
          <w:sz w:val="18"/>
        </w:rPr>
        <w:t>ov</w:t>
      </w:r>
      <w:r w:rsidR="00B5284E" w:rsidRPr="00B5284E">
        <w:rPr>
          <w:sz w:val="18"/>
        </w:rPr>
        <w:t xml:space="preserve">. </w:t>
      </w:r>
    </w:p>
    <w:p w14:paraId="00F4AD71" w14:textId="77777777" w:rsidR="00B5284E" w:rsidRPr="00B5284E" w:rsidRDefault="00B5284E" w:rsidP="00B5284E">
      <w:pPr>
        <w:ind w:left="360"/>
      </w:pPr>
    </w:p>
    <w:p w14:paraId="00F4AD72" w14:textId="77777777" w:rsidR="004D3B4A" w:rsidRPr="00B50225" w:rsidRDefault="005F5D4F" w:rsidP="004D3B4A">
      <w:pPr>
        <w:pStyle w:val="Nadpis2"/>
        <w:numPr>
          <w:ilvl w:val="0"/>
          <w:numId w:val="2"/>
        </w:numPr>
        <w:rPr>
          <w:szCs w:val="18"/>
        </w:rPr>
      </w:pPr>
      <w:r w:rsidRPr="00B50225">
        <w:rPr>
          <w:szCs w:val="18"/>
        </w:rPr>
        <w:t>P</w:t>
      </w:r>
      <w:r w:rsidR="004D3B4A" w:rsidRPr="00B50225">
        <w:rPr>
          <w:szCs w:val="18"/>
        </w:rPr>
        <w:t xml:space="preserve">očet zamestnancov </w:t>
      </w:r>
    </w:p>
    <w:p w14:paraId="00F4AD73" w14:textId="77777777" w:rsidR="005F5D4F" w:rsidRPr="00B50225" w:rsidRDefault="005F5D4F" w:rsidP="004D3B4A">
      <w:pPr>
        <w:pStyle w:val="Zkladntext"/>
        <w:rPr>
          <w:szCs w:val="18"/>
        </w:rPr>
      </w:pPr>
      <w:r w:rsidRPr="00B50225">
        <w:rPr>
          <w:szCs w:val="18"/>
        </w:rPr>
        <w:t>Údaje o počte zamestnancov za bežné účtovné obdobie a bezprostredne predchádzajúce účtovné obdobie sú uvedené v nasledujúcom prehľade:</w:t>
      </w:r>
    </w:p>
    <w:p w14:paraId="00F4AD74" w14:textId="77777777" w:rsidR="00574527" w:rsidRPr="00FD3474" w:rsidRDefault="00574527" w:rsidP="004D3B4A">
      <w:pPr>
        <w:pStyle w:val="Zkladntext"/>
        <w:rPr>
          <w:szCs w:val="18"/>
        </w:rPr>
      </w:pPr>
    </w:p>
    <w:p w14:paraId="00F4AD75" w14:textId="4FC233E4" w:rsidR="000A1BBA" w:rsidRPr="00B50225" w:rsidRDefault="004C321F" w:rsidP="004D3B4A">
      <w:pPr>
        <w:pStyle w:val="Zkladntext"/>
        <w:rPr>
          <w:szCs w:val="18"/>
        </w:rPr>
      </w:pPr>
      <w:r>
        <w:rPr>
          <w:sz w:val="20"/>
          <w:szCs w:val="18"/>
        </w:rPr>
        <w:object w:dxaOrig="8805" w:dyaOrig="765" w14:anchorId="749694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40.15pt;height:38.2pt" o:ole="" o:preferrelative="f">
            <v:imagedata r:id="rId12" o:title=""/>
            <o:lock v:ext="edit" aspectratio="f"/>
          </v:shape>
          <o:OLEObject Type="Embed" ProgID="Excel.Sheet.12" ShapeID="_x0000_i1027" DrawAspect="Content" ObjectID="_1686122762" r:id="rId13"/>
        </w:object>
      </w:r>
    </w:p>
    <w:p w14:paraId="00F4AD76" w14:textId="77777777" w:rsidR="004D3B4A" w:rsidRPr="00B50225" w:rsidRDefault="004D3B4A" w:rsidP="004D3B4A">
      <w:pPr>
        <w:pStyle w:val="Zkladntext"/>
        <w:rPr>
          <w:szCs w:val="18"/>
        </w:rPr>
      </w:pPr>
    </w:p>
    <w:p w14:paraId="00F4AD77" w14:textId="77777777" w:rsidR="00F751BF" w:rsidRPr="00C7744F" w:rsidRDefault="00F751BF" w:rsidP="00F751BF">
      <w:pPr>
        <w:pStyle w:val="Nadpis1"/>
        <w:numPr>
          <w:ilvl w:val="0"/>
          <w:numId w:val="1"/>
        </w:numPr>
        <w:spacing w:before="120" w:after="60"/>
        <w:ind w:hanging="644"/>
        <w:rPr>
          <w:szCs w:val="18"/>
        </w:rPr>
      </w:pPr>
      <w:r w:rsidRPr="00C7744F">
        <w:rPr>
          <w:szCs w:val="18"/>
        </w:rPr>
        <w:t>I</w:t>
      </w:r>
      <w:r>
        <w:rPr>
          <w:szCs w:val="18"/>
        </w:rPr>
        <w:t>nformácie o účtovných zásadách a účtovných metódach</w:t>
      </w:r>
    </w:p>
    <w:p w14:paraId="00F4AD78" w14:textId="77777777" w:rsidR="004D3B4A" w:rsidRPr="00891481" w:rsidRDefault="004D3B4A" w:rsidP="004D3B4A">
      <w:pPr>
        <w:pStyle w:val="Zkladntext"/>
        <w:rPr>
          <w:szCs w:val="18"/>
        </w:rPr>
      </w:pPr>
    </w:p>
    <w:p w14:paraId="00F4AD79" w14:textId="77777777" w:rsidR="004D3B4A" w:rsidRPr="00B50225" w:rsidRDefault="004D3B4A" w:rsidP="00F751BF">
      <w:pPr>
        <w:pStyle w:val="Pismenka"/>
        <w:numPr>
          <w:ilvl w:val="0"/>
          <w:numId w:val="3"/>
        </w:numPr>
        <w:rPr>
          <w:szCs w:val="18"/>
        </w:rPr>
      </w:pPr>
      <w:r w:rsidRPr="008C0838">
        <w:rPr>
          <w:szCs w:val="18"/>
        </w:rPr>
        <w:t xml:space="preserve">Východiská pre </w:t>
      </w:r>
      <w:r w:rsidRPr="00B50225">
        <w:rPr>
          <w:szCs w:val="18"/>
        </w:rPr>
        <w:t>zostavenie účtovnej závierky</w:t>
      </w:r>
    </w:p>
    <w:p w14:paraId="00F4AD7A" w14:textId="6D2DF20C" w:rsidR="004D3B4A" w:rsidRDefault="004D3B4A" w:rsidP="004D3B4A">
      <w:pPr>
        <w:pStyle w:val="Zkladntext"/>
        <w:ind w:left="450"/>
        <w:rPr>
          <w:szCs w:val="18"/>
        </w:rPr>
      </w:pPr>
      <w:r w:rsidRPr="00B50225">
        <w:rPr>
          <w:szCs w:val="18"/>
        </w:rPr>
        <w:t>Účtovná závierka bola zostavená za predpokladu</w:t>
      </w:r>
      <w:r w:rsidR="008D48E9" w:rsidRPr="00B50225">
        <w:rPr>
          <w:szCs w:val="18"/>
        </w:rPr>
        <w:t>, že Spoločnosť bude</w:t>
      </w:r>
      <w:r w:rsidRPr="00B50225">
        <w:rPr>
          <w:szCs w:val="18"/>
        </w:rPr>
        <w:t xml:space="preserve"> nepretržit</w:t>
      </w:r>
      <w:r w:rsidR="008D48E9" w:rsidRPr="00B50225">
        <w:rPr>
          <w:szCs w:val="18"/>
        </w:rPr>
        <w:t>e pokračovať vo svojej činnosti</w:t>
      </w:r>
      <w:r w:rsidRPr="00B50225">
        <w:rPr>
          <w:szCs w:val="18"/>
        </w:rPr>
        <w:t xml:space="preserve"> (going concern).</w:t>
      </w:r>
    </w:p>
    <w:p w14:paraId="00F4AD7B" w14:textId="77777777" w:rsidR="004D3B4A" w:rsidRPr="00B50225" w:rsidRDefault="004D3B4A" w:rsidP="004D3B4A">
      <w:pPr>
        <w:pStyle w:val="Zkladntext"/>
        <w:ind w:left="450"/>
        <w:rPr>
          <w:szCs w:val="18"/>
        </w:rPr>
      </w:pPr>
    </w:p>
    <w:p w14:paraId="00F4AD7C" w14:textId="77777777" w:rsidR="001D605C" w:rsidRPr="00B50225" w:rsidRDefault="001D605C" w:rsidP="001D605C">
      <w:pPr>
        <w:pStyle w:val="Pismenka"/>
        <w:numPr>
          <w:ilvl w:val="0"/>
          <w:numId w:val="3"/>
        </w:numPr>
        <w:rPr>
          <w:szCs w:val="18"/>
        </w:rPr>
      </w:pPr>
      <w:r>
        <w:rPr>
          <w:szCs w:val="18"/>
        </w:rPr>
        <w:t>Informácia o účtovných zásadách a účtovných metódach</w:t>
      </w:r>
    </w:p>
    <w:p w14:paraId="00F4AD7D" w14:textId="77777777" w:rsidR="00743BAC" w:rsidRPr="00B50225" w:rsidRDefault="00743BAC" w:rsidP="00743BAC">
      <w:pPr>
        <w:pStyle w:val="Zkladntext"/>
        <w:ind w:left="450"/>
        <w:rPr>
          <w:szCs w:val="18"/>
        </w:rPr>
      </w:pPr>
      <w:r>
        <w:rPr>
          <w:szCs w:val="18"/>
        </w:rPr>
        <w:t xml:space="preserve">Účtovná jednotka uplatňuje účtovné metódy a účtovné zásady v súlade s platným zákonom o účtovníctve a s platnými postupmi účtovania pre podnikateľov, ktoré platia v Slovenskej republike. </w:t>
      </w:r>
      <w:r w:rsidRPr="00B50225">
        <w:rPr>
          <w:szCs w:val="18"/>
        </w:rPr>
        <w:t>Účtovné metódy a všeobecné účtovné zásady boli účtovnou jednotkou konzistentne aplikované.</w:t>
      </w:r>
    </w:p>
    <w:p w14:paraId="00F4AD7E" w14:textId="77777777" w:rsidR="00743BAC" w:rsidRDefault="00743BAC" w:rsidP="004D3B4A">
      <w:pPr>
        <w:pStyle w:val="Zkladntext"/>
        <w:ind w:left="450"/>
        <w:rPr>
          <w:szCs w:val="18"/>
        </w:rPr>
      </w:pPr>
      <w:r>
        <w:rPr>
          <w:szCs w:val="18"/>
        </w:rPr>
        <w:t xml:space="preserve">Účtovníctvo sa vedie v peňažných jednotkách v eurách. </w:t>
      </w:r>
    </w:p>
    <w:p w14:paraId="00F4AD7F" w14:textId="77777777" w:rsidR="00743BAC" w:rsidRDefault="00743BAC" w:rsidP="004D3B4A">
      <w:pPr>
        <w:pStyle w:val="Zkladntext"/>
        <w:ind w:left="450"/>
        <w:rPr>
          <w:szCs w:val="18"/>
        </w:rPr>
      </w:pPr>
      <w:r>
        <w:rPr>
          <w:szCs w:val="18"/>
        </w:rPr>
        <w:t>Účtovníctvo sa vedie na základe dodržania časovej a vecnej súvislosti nákladov a výnosov.</w:t>
      </w:r>
    </w:p>
    <w:p w14:paraId="00F4AD80" w14:textId="77777777" w:rsidR="00743BAC" w:rsidRDefault="00743BAC" w:rsidP="004D3B4A">
      <w:pPr>
        <w:pStyle w:val="Zkladntext"/>
        <w:ind w:left="450"/>
        <w:rPr>
          <w:szCs w:val="18"/>
        </w:rPr>
      </w:pPr>
      <w:r>
        <w:rPr>
          <w:szCs w:val="18"/>
        </w:rPr>
        <w:t xml:space="preserve">Pri oceňovaní majetku a záväzkov sa uplatňuje zásada opatrnosti. </w:t>
      </w:r>
    </w:p>
    <w:p w14:paraId="00F4AD81" w14:textId="77777777" w:rsidR="004317F0" w:rsidRPr="00B50225" w:rsidRDefault="004317F0" w:rsidP="004D3B4A">
      <w:pPr>
        <w:pStyle w:val="Zkladntext"/>
        <w:ind w:left="450"/>
        <w:rPr>
          <w:szCs w:val="18"/>
        </w:rPr>
      </w:pPr>
    </w:p>
    <w:p w14:paraId="00F4AD82" w14:textId="77777777" w:rsidR="001D605C" w:rsidRDefault="00E630A7" w:rsidP="001D605C">
      <w:pPr>
        <w:pStyle w:val="Pismenka"/>
        <w:numPr>
          <w:ilvl w:val="0"/>
          <w:numId w:val="3"/>
        </w:numPr>
        <w:rPr>
          <w:szCs w:val="18"/>
        </w:rPr>
      </w:pPr>
      <w:r>
        <w:rPr>
          <w:szCs w:val="18"/>
        </w:rPr>
        <w:t>Ocenenie majetku a záväzkov</w:t>
      </w:r>
    </w:p>
    <w:p w14:paraId="00F4AD83" w14:textId="77777777" w:rsidR="00743BAC" w:rsidRDefault="00743BAC" w:rsidP="00251BF2">
      <w:pPr>
        <w:pStyle w:val="Pismenka"/>
        <w:ind w:left="426"/>
        <w:rPr>
          <w:szCs w:val="18"/>
        </w:rPr>
      </w:pPr>
    </w:p>
    <w:p w14:paraId="00F4AD84" w14:textId="77777777" w:rsidR="004D3B4A" w:rsidRPr="00B50225" w:rsidRDefault="004D3B4A" w:rsidP="00251BF2">
      <w:pPr>
        <w:pStyle w:val="Pismenka"/>
        <w:ind w:left="426"/>
        <w:rPr>
          <w:szCs w:val="18"/>
        </w:rPr>
      </w:pPr>
      <w:r w:rsidRPr="00B50225">
        <w:rPr>
          <w:szCs w:val="18"/>
        </w:rPr>
        <w:t>Dlhodobý nehmotný majetok</w:t>
      </w:r>
    </w:p>
    <w:p w14:paraId="00F4AD85" w14:textId="77777777" w:rsidR="00B0309A" w:rsidRPr="001152CA" w:rsidRDefault="00B0309A" w:rsidP="00B0309A">
      <w:pPr>
        <w:pStyle w:val="Pismenka"/>
        <w:ind w:left="426"/>
        <w:rPr>
          <w:b w:val="0"/>
        </w:rPr>
      </w:pPr>
      <w:r w:rsidRPr="001152CA">
        <w:rPr>
          <w:b w:val="0"/>
        </w:rPr>
        <w:t>Dlhodobý nehmotný majetok nakupovaný sa oceňuje obstarávacou cenou, ktorá zahŕňa cenu obstarania a náklady súvisiace s obstaraním (clo, prepravu, montáž, poistné a pod.).</w:t>
      </w:r>
    </w:p>
    <w:p w14:paraId="00F4AD86" w14:textId="77777777" w:rsidR="00B0309A" w:rsidRPr="001152CA" w:rsidRDefault="00B0309A" w:rsidP="00B0309A">
      <w:pPr>
        <w:pStyle w:val="Pismenka"/>
        <w:ind w:left="426"/>
        <w:rPr>
          <w:b w:val="0"/>
        </w:rPr>
      </w:pPr>
      <w:r w:rsidRPr="001152CA">
        <w:rPr>
          <w:b w:val="0"/>
        </w:rPr>
        <w:t>Súčasťou obstarávacej ceny dlhodobého nehmotného majetku nie sú úroky z cudzích zdrojov ani realizované kurzové rozdiely, ktoré vznikli do momentu uvedenia dlhodobého majetku do používania.</w:t>
      </w:r>
    </w:p>
    <w:p w14:paraId="00F4AD87" w14:textId="5AF6F22E" w:rsidR="00B0309A" w:rsidRPr="001152CA" w:rsidRDefault="004C321F" w:rsidP="00B0309A">
      <w:pPr>
        <w:pStyle w:val="Pismenka"/>
        <w:ind w:left="426"/>
        <w:rPr>
          <w:b w:val="0"/>
        </w:rPr>
      </w:pPr>
      <w:r w:rsidRPr="004C321F">
        <w:rPr>
          <w:b w:val="0"/>
          <w:bCs/>
        </w:rPr>
        <w:t>Spoločnosť v roku 2020 ani v bezprostredne predchádzajúcom účtovnom období</w:t>
      </w:r>
      <w:r>
        <w:t xml:space="preserve"> </w:t>
      </w:r>
      <w:r w:rsidR="00B0309A" w:rsidRPr="001152CA">
        <w:rPr>
          <w:b w:val="0"/>
        </w:rPr>
        <w:t>nevytvorila dlhodobý nehmotný majetok vlastnou činnosťou ani ho neobstarala nijakým iným spôsobom</w:t>
      </w:r>
      <w:r w:rsidR="00B0309A">
        <w:rPr>
          <w:b w:val="0"/>
        </w:rPr>
        <w:t xml:space="preserve"> okrem kúpy. </w:t>
      </w:r>
    </w:p>
    <w:p w14:paraId="00F4AD88" w14:textId="43F4C43D" w:rsidR="00B0309A" w:rsidRPr="001152CA" w:rsidRDefault="004C321F" w:rsidP="00B0309A">
      <w:pPr>
        <w:pStyle w:val="Pismenka"/>
        <w:ind w:left="426"/>
        <w:rPr>
          <w:b w:val="0"/>
        </w:rPr>
      </w:pPr>
      <w:r w:rsidRPr="004C321F">
        <w:rPr>
          <w:b w:val="0"/>
          <w:bCs/>
        </w:rPr>
        <w:t>Spoločnosť v roku 2020 ani v bezprostredne predchádzajúcom účtovnom období</w:t>
      </w:r>
      <w:r w:rsidR="00B0309A" w:rsidRPr="001152CA">
        <w:rPr>
          <w:b w:val="0"/>
        </w:rPr>
        <w:t xml:space="preserve"> neobstarala dlhodobý nehmotný majetok, ktorý by evidovala na účtoch účtovej triedy 0.</w:t>
      </w:r>
    </w:p>
    <w:p w14:paraId="00F4AD89" w14:textId="77777777" w:rsidR="004D3B4A" w:rsidRDefault="00B0309A" w:rsidP="00B0309A">
      <w:pPr>
        <w:pStyle w:val="Zkladntext"/>
      </w:pPr>
      <w:r w:rsidRPr="001152CA">
        <w:t>Dlhodobý nehmotný majetok, ktorého obstarávacia cena je 2 400 EUR a nižšia, sa nezaraďuje do dlhodobého nehmotného majetku, ale účtuje sa priamo do spotreby.</w:t>
      </w:r>
    </w:p>
    <w:p w14:paraId="00F4AD8A" w14:textId="77777777" w:rsidR="00B0309A" w:rsidRDefault="00B0309A" w:rsidP="004D3B4A">
      <w:pPr>
        <w:pStyle w:val="Zkladntext"/>
      </w:pPr>
    </w:p>
    <w:p w14:paraId="00F4AD8B" w14:textId="77777777" w:rsidR="00B0309A" w:rsidRDefault="00B0309A" w:rsidP="00B0309A">
      <w:pPr>
        <w:pStyle w:val="Pismenka"/>
        <w:ind w:left="426"/>
        <w:rPr>
          <w:szCs w:val="18"/>
        </w:rPr>
      </w:pPr>
      <w:r>
        <w:rPr>
          <w:szCs w:val="18"/>
        </w:rPr>
        <w:t>D</w:t>
      </w:r>
      <w:r w:rsidRPr="00B50225">
        <w:rPr>
          <w:szCs w:val="18"/>
        </w:rPr>
        <w:t>lhodobý hmotný majetok</w:t>
      </w:r>
    </w:p>
    <w:p w14:paraId="00F4AD8C" w14:textId="77777777" w:rsidR="00B0309A" w:rsidRPr="00B50225" w:rsidRDefault="00B0309A" w:rsidP="00B0309A">
      <w:pPr>
        <w:pStyle w:val="Zkladntext"/>
        <w:rPr>
          <w:szCs w:val="18"/>
        </w:rPr>
      </w:pPr>
      <w:r w:rsidRPr="00B50225">
        <w:rPr>
          <w:szCs w:val="18"/>
        </w:rPr>
        <w:t xml:space="preserve">Dlhodobý </w:t>
      </w:r>
      <w:r>
        <w:rPr>
          <w:szCs w:val="18"/>
        </w:rPr>
        <w:t xml:space="preserve"> hmotný </w:t>
      </w:r>
      <w:r w:rsidRPr="00B50225">
        <w:rPr>
          <w:szCs w:val="18"/>
        </w:rPr>
        <w:t xml:space="preserve">majetok nakupovaný sa oceňuje obstarávacou cenou, ktorá zahŕňa cenu obstarania a náklady súvisiace s obstaraním (clo, prepravu, montáž, poistné a pod.). </w:t>
      </w:r>
    </w:p>
    <w:p w14:paraId="00F4AD8D" w14:textId="77777777" w:rsidR="00B0309A" w:rsidRPr="00B50225" w:rsidRDefault="00B0309A" w:rsidP="00B0309A">
      <w:pPr>
        <w:pStyle w:val="Zkladntext"/>
        <w:rPr>
          <w:szCs w:val="18"/>
        </w:rPr>
      </w:pPr>
      <w:r w:rsidRPr="00B50225">
        <w:rPr>
          <w:szCs w:val="18"/>
        </w:rPr>
        <w:t>Súčasťou obstarávacej ceny dlhodobého hmotného majetku nie sú úroky z cudzích zdrojov ani realizované kurzové rozdiely, ktoré vznikli do momentu uvedenia dlhodobého majetku do používania.</w:t>
      </w:r>
    </w:p>
    <w:p w14:paraId="00F4AD8E" w14:textId="028E90F1" w:rsidR="00B0309A" w:rsidRPr="00B50225" w:rsidRDefault="004C321F" w:rsidP="00B0309A">
      <w:pPr>
        <w:pStyle w:val="Zkladntext"/>
        <w:rPr>
          <w:szCs w:val="18"/>
        </w:rPr>
      </w:pPr>
      <w:r w:rsidRPr="004C321F">
        <w:t>Spoločnosť v roku 2020 ani v bezprostredne predchádzajúcom účtovnom období</w:t>
      </w:r>
      <w:r w:rsidR="00B0309A">
        <w:rPr>
          <w:szCs w:val="18"/>
        </w:rPr>
        <w:t xml:space="preserve"> nevytvorila dlhodobý hmotný majetok vlastnou činnosťou ani ho neobstarala nijakým iným spôsobom okrem kúpy. </w:t>
      </w:r>
      <w:r w:rsidR="00B0309A" w:rsidRPr="00B50225">
        <w:rPr>
          <w:szCs w:val="18"/>
        </w:rPr>
        <w:t xml:space="preserve"> </w:t>
      </w:r>
    </w:p>
    <w:p w14:paraId="7A54D8C2" w14:textId="6FA21DEE" w:rsidR="008572DA" w:rsidRDefault="004C321F" w:rsidP="00B0309A">
      <w:pPr>
        <w:pStyle w:val="Pismenka"/>
        <w:ind w:left="426"/>
        <w:rPr>
          <w:b w:val="0"/>
          <w:szCs w:val="18"/>
        </w:rPr>
      </w:pPr>
      <w:r w:rsidRPr="004C321F">
        <w:rPr>
          <w:b w:val="0"/>
          <w:bCs/>
        </w:rPr>
        <w:t>Spoločnosť v roku 2020 ani v bezprostredne predchádzajúcom účtovnom období</w:t>
      </w:r>
      <w:r w:rsidR="008572DA" w:rsidRPr="001152CA">
        <w:rPr>
          <w:b w:val="0"/>
        </w:rPr>
        <w:t xml:space="preserve"> </w:t>
      </w:r>
      <w:r w:rsidR="008572DA">
        <w:rPr>
          <w:b w:val="0"/>
        </w:rPr>
        <w:t xml:space="preserve">neobstarala dlhodobý </w:t>
      </w:r>
      <w:r w:rsidR="008572DA" w:rsidRPr="001152CA">
        <w:rPr>
          <w:b w:val="0"/>
        </w:rPr>
        <w:t>hmotný majetok, ktorý by evidovala na účtoch účtovej triedy 0.</w:t>
      </w:r>
    </w:p>
    <w:p w14:paraId="00F4AD8F" w14:textId="1AEFAF12" w:rsidR="00B0309A" w:rsidRDefault="00B0309A" w:rsidP="00B0309A">
      <w:pPr>
        <w:pStyle w:val="Pismenka"/>
        <w:ind w:left="426"/>
        <w:rPr>
          <w:b w:val="0"/>
          <w:szCs w:val="18"/>
        </w:rPr>
      </w:pPr>
      <w:r w:rsidRPr="00B0309A">
        <w:rPr>
          <w:b w:val="0"/>
          <w:szCs w:val="18"/>
        </w:rPr>
        <w:t xml:space="preserve">Drobný dlhodobý hmotný majetok, ktorého obstarávacia cena je 1 700 EUR a nižšia, sa nezaraďuje do dlhodobého hmotného majetku, ale účtuje sa priamo do spotreby. Pozemky sa neodpisujú. </w:t>
      </w:r>
    </w:p>
    <w:p w14:paraId="00F4AD90" w14:textId="1E45ADFA" w:rsidR="00EC7278" w:rsidRDefault="00EC7278" w:rsidP="00B0309A">
      <w:pPr>
        <w:pStyle w:val="Pismenka"/>
        <w:ind w:left="426"/>
        <w:rPr>
          <w:b w:val="0"/>
          <w:szCs w:val="18"/>
        </w:rPr>
      </w:pPr>
    </w:p>
    <w:p w14:paraId="723001F2" w14:textId="36C78E9C" w:rsidR="00EB0416" w:rsidRDefault="00EB0416" w:rsidP="00B0309A">
      <w:pPr>
        <w:pStyle w:val="Pismenka"/>
        <w:ind w:left="426"/>
        <w:rPr>
          <w:b w:val="0"/>
          <w:szCs w:val="18"/>
        </w:rPr>
      </w:pPr>
    </w:p>
    <w:p w14:paraId="20B6CD84" w14:textId="77777777" w:rsidR="00EB0416" w:rsidRDefault="00EB0416" w:rsidP="00B0309A">
      <w:pPr>
        <w:pStyle w:val="Pismenka"/>
        <w:ind w:left="426"/>
        <w:rPr>
          <w:b w:val="0"/>
          <w:szCs w:val="18"/>
        </w:rPr>
      </w:pPr>
    </w:p>
    <w:p w14:paraId="00F4AD91" w14:textId="77777777" w:rsidR="00EC7278" w:rsidRDefault="00EC7278" w:rsidP="00B0309A">
      <w:pPr>
        <w:pStyle w:val="Pismenka"/>
        <w:ind w:left="426"/>
        <w:rPr>
          <w:b w:val="0"/>
          <w:szCs w:val="18"/>
        </w:rPr>
      </w:pPr>
    </w:p>
    <w:p w14:paraId="00F4ADB3" w14:textId="77777777" w:rsidR="004D3B4A" w:rsidRPr="00B50225" w:rsidRDefault="004D3B4A" w:rsidP="00251BF2">
      <w:pPr>
        <w:pStyle w:val="Pismenka"/>
        <w:ind w:left="426"/>
        <w:rPr>
          <w:szCs w:val="18"/>
        </w:rPr>
      </w:pPr>
      <w:r w:rsidRPr="00B50225">
        <w:rPr>
          <w:szCs w:val="18"/>
        </w:rPr>
        <w:lastRenderedPageBreak/>
        <w:t xml:space="preserve">Zásoby </w:t>
      </w:r>
    </w:p>
    <w:p w14:paraId="00F4ADB4" w14:textId="77777777" w:rsidR="00C056AC" w:rsidRPr="00B50225" w:rsidRDefault="00C056AC" w:rsidP="00C056AC">
      <w:pPr>
        <w:pStyle w:val="Zkladntext"/>
        <w:rPr>
          <w:szCs w:val="18"/>
        </w:rPr>
      </w:pPr>
      <w:r w:rsidRPr="00B50225">
        <w:rPr>
          <w:szCs w:val="18"/>
        </w:rPr>
        <w:t>Zásoby sa oceňujú nižšou z nasledujúcich hodnôt: obstarávacou cenou (nakupované zásoby) alebo vlastnými nákladmi (zásoby vytvorené vlastnou činnosťou) alebo čistou realizačnou hodnotou.</w:t>
      </w:r>
    </w:p>
    <w:p w14:paraId="00F4ADB5" w14:textId="77777777" w:rsidR="00C056AC" w:rsidRPr="00B50225" w:rsidRDefault="00C056AC" w:rsidP="00C056AC">
      <w:pPr>
        <w:pStyle w:val="Zkladntext"/>
        <w:rPr>
          <w:szCs w:val="18"/>
        </w:rPr>
      </w:pPr>
    </w:p>
    <w:p w14:paraId="00F4ADB6" w14:textId="77777777" w:rsidR="00C056AC" w:rsidRPr="00B50225" w:rsidRDefault="00C056AC" w:rsidP="00C056AC">
      <w:pPr>
        <w:pStyle w:val="Zkladntext"/>
        <w:rPr>
          <w:szCs w:val="18"/>
        </w:rPr>
      </w:pPr>
      <w:r w:rsidRPr="00B50225">
        <w:rPr>
          <w:szCs w:val="18"/>
        </w:rPr>
        <w:t>Obstarávacia cena zahŕňa cenu zásob a náklady súvisiace s obstaraním (clo, prepravu, poistné, provízie, skonto a pod.). Úroky z cudzích zdrojov nie sú súčasťou obstarávacej ceny. Nakupované zásoby sa oceňujú váženým aritmetickým priemerom z obstarávacích cien.</w:t>
      </w:r>
    </w:p>
    <w:p w14:paraId="00F4ADB7" w14:textId="77777777" w:rsidR="00C056AC" w:rsidRPr="00B50225" w:rsidRDefault="00C056AC" w:rsidP="00C056AC">
      <w:pPr>
        <w:pStyle w:val="Zkladntext"/>
        <w:rPr>
          <w:szCs w:val="18"/>
        </w:rPr>
      </w:pPr>
    </w:p>
    <w:p w14:paraId="00F4ADBA" w14:textId="77777777" w:rsidR="00C056AC" w:rsidRDefault="00C056AC" w:rsidP="00C056AC">
      <w:pPr>
        <w:pStyle w:val="Zkladntext"/>
      </w:pPr>
      <w:r>
        <w:t>O zásobách sa účtuje spôsobom „B“.</w:t>
      </w:r>
    </w:p>
    <w:p w14:paraId="00F4ADBB" w14:textId="77777777" w:rsidR="00C056AC" w:rsidRPr="00B50225" w:rsidRDefault="00C056AC" w:rsidP="00C056AC">
      <w:pPr>
        <w:pStyle w:val="Zkladntext"/>
        <w:rPr>
          <w:szCs w:val="18"/>
        </w:rPr>
      </w:pPr>
    </w:p>
    <w:p w14:paraId="00F4ADBC" w14:textId="77777777" w:rsidR="004D3B4A" w:rsidRDefault="00C056AC" w:rsidP="00C056AC">
      <w:pPr>
        <w:pStyle w:val="Zkladntext"/>
        <w:rPr>
          <w:szCs w:val="18"/>
        </w:rPr>
      </w:pPr>
      <w:r w:rsidRPr="00B50225">
        <w:rPr>
          <w:szCs w:val="18"/>
        </w:rPr>
        <w:t>Zníženie hodnoty zásob sa zohľadňuje vytvorením opravnej položky.</w:t>
      </w:r>
    </w:p>
    <w:p w14:paraId="00F4ADC0" w14:textId="77777777" w:rsidR="00D566E2" w:rsidRPr="00B50225" w:rsidRDefault="00D566E2" w:rsidP="004D3B4A">
      <w:pPr>
        <w:pStyle w:val="Zkladntext"/>
        <w:rPr>
          <w:szCs w:val="18"/>
        </w:rPr>
      </w:pPr>
    </w:p>
    <w:p w14:paraId="00F4ADC1" w14:textId="77777777" w:rsidR="004D3B4A" w:rsidRPr="00B50225" w:rsidRDefault="004D3B4A" w:rsidP="00251BF2">
      <w:pPr>
        <w:pStyle w:val="Pismenka"/>
        <w:ind w:left="426"/>
        <w:rPr>
          <w:szCs w:val="18"/>
        </w:rPr>
      </w:pPr>
      <w:r w:rsidRPr="00B50225">
        <w:rPr>
          <w:szCs w:val="18"/>
        </w:rPr>
        <w:t>Pohľadávky</w:t>
      </w:r>
    </w:p>
    <w:p w14:paraId="00F4ADC2" w14:textId="77777777" w:rsidR="00C056AC" w:rsidRDefault="00C056AC" w:rsidP="004D3B4A">
      <w:pPr>
        <w:pStyle w:val="Zkladntext"/>
        <w:rPr>
          <w:szCs w:val="18"/>
        </w:rPr>
      </w:pPr>
      <w:r w:rsidRPr="00B50225">
        <w:rPr>
          <w:szCs w:val="18"/>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14:paraId="00F4ADC3" w14:textId="07AF4D60" w:rsidR="004D3B4A" w:rsidRDefault="00C056AC" w:rsidP="004D3B4A">
      <w:pPr>
        <w:pStyle w:val="Zkladntext"/>
        <w:rPr>
          <w:szCs w:val="18"/>
        </w:rPr>
      </w:pPr>
      <w:r>
        <w:t>Spoločnosť neúčtovala v priebehu účtovného obdobia 20</w:t>
      </w:r>
      <w:r w:rsidR="004C321F">
        <w:t>20</w:t>
      </w:r>
      <w:r>
        <w:t xml:space="preserve"> o opravných položkách k pohľadávkam.</w:t>
      </w:r>
      <w:r w:rsidR="004D3B4A" w:rsidRPr="00B50225">
        <w:rPr>
          <w:szCs w:val="18"/>
        </w:rPr>
        <w:t xml:space="preserve"> </w:t>
      </w:r>
    </w:p>
    <w:p w14:paraId="00F4ADC4" w14:textId="77777777" w:rsidR="00C056AC" w:rsidRDefault="00C056AC" w:rsidP="004D3B4A">
      <w:pPr>
        <w:pStyle w:val="Zkladntext"/>
        <w:rPr>
          <w:szCs w:val="18"/>
        </w:rPr>
      </w:pPr>
      <w:r>
        <w:t>Spoločnosť nemá pohľadávky zabezpečené záložným právom alebo inou formou zabezpečenia.</w:t>
      </w:r>
    </w:p>
    <w:p w14:paraId="00F4ADC5" w14:textId="77777777" w:rsidR="006A5D9C" w:rsidRPr="00B50225" w:rsidRDefault="006A5D9C" w:rsidP="004D3B4A">
      <w:pPr>
        <w:pStyle w:val="Zkladntext"/>
        <w:rPr>
          <w:szCs w:val="18"/>
        </w:rPr>
      </w:pPr>
    </w:p>
    <w:p w14:paraId="00F4ADC6" w14:textId="77777777" w:rsidR="004D3B4A" w:rsidRPr="00B50225" w:rsidRDefault="004D3B4A" w:rsidP="00251BF2">
      <w:pPr>
        <w:pStyle w:val="Pismenka"/>
        <w:ind w:left="426"/>
        <w:rPr>
          <w:szCs w:val="18"/>
        </w:rPr>
      </w:pPr>
      <w:r w:rsidRPr="00B50225">
        <w:rPr>
          <w:szCs w:val="18"/>
        </w:rPr>
        <w:t>Peňažné prostriedky a ceniny</w:t>
      </w:r>
    </w:p>
    <w:p w14:paraId="00F4ADC7" w14:textId="77777777" w:rsidR="004D3B4A" w:rsidRDefault="004D3B4A" w:rsidP="004D3B4A">
      <w:pPr>
        <w:pStyle w:val="Zkladntext"/>
        <w:rPr>
          <w:szCs w:val="18"/>
        </w:rPr>
      </w:pPr>
      <w:r w:rsidRPr="00B50225">
        <w:rPr>
          <w:szCs w:val="18"/>
        </w:rPr>
        <w:t xml:space="preserve">Peňažné prostriedky a ceniny sa oceňujú ich menovitou hodnotou. </w:t>
      </w:r>
    </w:p>
    <w:p w14:paraId="00F4ADC8" w14:textId="77777777" w:rsidR="006A5D9C" w:rsidRPr="00B50225" w:rsidRDefault="006A5D9C" w:rsidP="004D3B4A">
      <w:pPr>
        <w:pStyle w:val="Zkladntext"/>
        <w:rPr>
          <w:szCs w:val="18"/>
        </w:rPr>
      </w:pPr>
    </w:p>
    <w:p w14:paraId="00F4ADC9" w14:textId="77777777" w:rsidR="004D3B4A" w:rsidRPr="00B50225" w:rsidRDefault="004D3B4A" w:rsidP="00251BF2">
      <w:pPr>
        <w:pStyle w:val="Pismenka"/>
        <w:ind w:left="426"/>
        <w:rPr>
          <w:szCs w:val="18"/>
        </w:rPr>
      </w:pPr>
      <w:r w:rsidRPr="00B50225">
        <w:rPr>
          <w:szCs w:val="18"/>
        </w:rPr>
        <w:t>Náklady budúcich období a príjmy budúcich období</w:t>
      </w:r>
    </w:p>
    <w:p w14:paraId="00F4ADCA" w14:textId="77777777" w:rsidR="004D3B4A" w:rsidRDefault="004D3B4A" w:rsidP="004D3B4A">
      <w:pPr>
        <w:pStyle w:val="Zkladntext"/>
        <w:rPr>
          <w:szCs w:val="18"/>
        </w:rPr>
      </w:pPr>
      <w:r w:rsidRPr="00B50225">
        <w:rPr>
          <w:szCs w:val="18"/>
        </w:rPr>
        <w:t>Náklady budúcich období a príjmy budúcich období sa vykazujú vo výške, ktorá je potrebná na dodržanie zásady vecnej a časovej súvislosti s účtovným obdobím.</w:t>
      </w:r>
    </w:p>
    <w:p w14:paraId="00F4ADCB" w14:textId="77777777" w:rsidR="006A5D9C" w:rsidRPr="00B50225" w:rsidRDefault="00EC7278" w:rsidP="004D3B4A">
      <w:pPr>
        <w:pStyle w:val="Zkladntext"/>
        <w:rPr>
          <w:szCs w:val="18"/>
        </w:rPr>
      </w:pPr>
      <w:r>
        <w:rPr>
          <w:szCs w:val="18"/>
        </w:rPr>
        <w:t>Na účte časového rozlíšenie Náklady budúcich období sa neúčtuje nevýznamný a stále sa opakujúci účtovný prípad medzi dvoma účtovnými obdobiami.</w:t>
      </w:r>
      <w:r w:rsidR="001A4937">
        <w:rPr>
          <w:szCs w:val="18"/>
        </w:rPr>
        <w:t xml:space="preserve"> </w:t>
      </w:r>
    </w:p>
    <w:p w14:paraId="00F4ADCC" w14:textId="77777777" w:rsidR="004D3B4A" w:rsidRPr="00B50225" w:rsidRDefault="004D3B4A" w:rsidP="004D3B4A">
      <w:pPr>
        <w:pStyle w:val="Zkladntext"/>
        <w:rPr>
          <w:szCs w:val="18"/>
        </w:rPr>
      </w:pPr>
    </w:p>
    <w:p w14:paraId="00F4ADCD" w14:textId="77777777" w:rsidR="004D3B4A" w:rsidRPr="00B50225" w:rsidRDefault="004D3B4A" w:rsidP="00251BF2">
      <w:pPr>
        <w:pStyle w:val="Pismenka"/>
        <w:ind w:left="426"/>
        <w:rPr>
          <w:szCs w:val="18"/>
        </w:rPr>
      </w:pPr>
      <w:r w:rsidRPr="00B50225">
        <w:rPr>
          <w:szCs w:val="18"/>
        </w:rPr>
        <w:t>Rezervy</w:t>
      </w:r>
    </w:p>
    <w:p w14:paraId="00F4ADCE" w14:textId="77777777" w:rsidR="004D3B4A" w:rsidRPr="00B50225" w:rsidRDefault="004D3B4A" w:rsidP="004D3B4A">
      <w:pPr>
        <w:pStyle w:val="Zkladntext"/>
        <w:rPr>
          <w:szCs w:val="18"/>
        </w:rPr>
      </w:pPr>
      <w:r w:rsidRPr="00B50225">
        <w:rPr>
          <w:szCs w:val="18"/>
        </w:rPr>
        <w:t>Rezervy sú záväzky s neurčitým časovým vymedzením alebo výškou; tvoria sa na krytie známych rizík alebo strát z podnikania. Oceňujú sa v očakávanej výške záväzku.</w:t>
      </w:r>
    </w:p>
    <w:p w14:paraId="00F4ADCF" w14:textId="77777777" w:rsidR="004D3B4A" w:rsidRPr="00B50225" w:rsidRDefault="004D3B4A" w:rsidP="00251BF2">
      <w:pPr>
        <w:pStyle w:val="Pismenka"/>
        <w:ind w:left="360"/>
        <w:rPr>
          <w:szCs w:val="18"/>
        </w:rPr>
      </w:pPr>
    </w:p>
    <w:p w14:paraId="00F4ADD0" w14:textId="77777777" w:rsidR="004D3B4A" w:rsidRPr="00B50225" w:rsidRDefault="004D3B4A" w:rsidP="00251BF2">
      <w:pPr>
        <w:pStyle w:val="Pismenka"/>
        <w:ind w:left="426"/>
        <w:rPr>
          <w:szCs w:val="18"/>
        </w:rPr>
      </w:pPr>
      <w:r w:rsidRPr="00B50225">
        <w:rPr>
          <w:szCs w:val="18"/>
        </w:rPr>
        <w:t>Záväzky</w:t>
      </w:r>
    </w:p>
    <w:p w14:paraId="00F4ADD1" w14:textId="77777777" w:rsidR="004D3B4A" w:rsidRPr="00B50225" w:rsidRDefault="004D3B4A" w:rsidP="004D3B4A">
      <w:pPr>
        <w:pStyle w:val="Zkladntext"/>
        <w:rPr>
          <w:szCs w:val="18"/>
        </w:rPr>
      </w:pPr>
      <w:r w:rsidRPr="00B50225">
        <w:rPr>
          <w:szCs w:val="18"/>
        </w:rPr>
        <w:t xml:space="preserve">Záväzky pri ich vzniku sa oceňujú menovitou hodnotou. Ak sa pri inventarizácii zistí, že suma záväzkov je iná ako ich výška v účtovníctve, uvedú sa záväzky v účtovníctve a v účtovnej závierke v tomto zistenom ocenení. </w:t>
      </w:r>
    </w:p>
    <w:p w14:paraId="00F4ADD2" w14:textId="77777777" w:rsidR="004D3B4A" w:rsidRPr="00B50225" w:rsidRDefault="004D3B4A">
      <w:pPr>
        <w:pStyle w:val="Pismenka"/>
        <w:rPr>
          <w:b w:val="0"/>
          <w:szCs w:val="18"/>
        </w:rPr>
      </w:pPr>
    </w:p>
    <w:p w14:paraId="00F4ADD3" w14:textId="77777777" w:rsidR="004D3B4A" w:rsidRPr="00B50225" w:rsidRDefault="004D3B4A" w:rsidP="00251BF2">
      <w:pPr>
        <w:pStyle w:val="Pismenka"/>
        <w:ind w:left="426"/>
        <w:rPr>
          <w:szCs w:val="18"/>
        </w:rPr>
      </w:pPr>
      <w:r w:rsidRPr="00B50225">
        <w:rPr>
          <w:szCs w:val="18"/>
        </w:rPr>
        <w:t>Výdavky budúcich období a výnosy budúcich období</w:t>
      </w:r>
    </w:p>
    <w:p w14:paraId="00F4ADD4" w14:textId="77777777" w:rsidR="004D3B4A" w:rsidRDefault="004D3B4A" w:rsidP="004D3B4A">
      <w:pPr>
        <w:pStyle w:val="Zkladntext"/>
        <w:rPr>
          <w:szCs w:val="18"/>
        </w:rPr>
      </w:pPr>
      <w:r w:rsidRPr="00B50225">
        <w:rPr>
          <w:szCs w:val="18"/>
        </w:rPr>
        <w:t>Výdavky budúcich období a výnosy budúcich období sa vykazujú vo výške, ktorá je potrebná na dodržanie zásady vecnej a časovej súvislosti s účtovným obdobím.</w:t>
      </w:r>
    </w:p>
    <w:p w14:paraId="00F4ADD5" w14:textId="77777777" w:rsidR="001A4937" w:rsidRPr="00B50225" w:rsidRDefault="00EC7278" w:rsidP="004D3B4A">
      <w:pPr>
        <w:pStyle w:val="Zkladntext"/>
        <w:rPr>
          <w:szCs w:val="18"/>
        </w:rPr>
      </w:pPr>
      <w:r>
        <w:rPr>
          <w:szCs w:val="18"/>
        </w:rPr>
        <w:t>Na účte časového rozlíšenia Výnosy budúcich období sa neúčtuje nevýznamný a stále sa opakujúci účtovný prípad medzi dvoma účtovnými obdobiami.</w:t>
      </w:r>
    </w:p>
    <w:p w14:paraId="00F4ADD6" w14:textId="77777777" w:rsidR="004007CA" w:rsidRPr="00B50225" w:rsidRDefault="004007CA" w:rsidP="004D3B4A">
      <w:pPr>
        <w:pStyle w:val="Zkladntext"/>
        <w:rPr>
          <w:szCs w:val="18"/>
        </w:rPr>
      </w:pPr>
    </w:p>
    <w:p w14:paraId="00F4ADD7" w14:textId="77777777" w:rsidR="004D3B4A" w:rsidRPr="00891481" w:rsidRDefault="004D3B4A" w:rsidP="00251BF2">
      <w:pPr>
        <w:pStyle w:val="Pismenka"/>
        <w:ind w:left="426"/>
        <w:rPr>
          <w:szCs w:val="18"/>
        </w:rPr>
      </w:pPr>
      <w:r w:rsidRPr="00FD3474">
        <w:rPr>
          <w:szCs w:val="18"/>
        </w:rPr>
        <w:t>Cudzia mena</w:t>
      </w:r>
    </w:p>
    <w:p w14:paraId="00F4ADD8" w14:textId="77777777" w:rsidR="004D3B4A" w:rsidRPr="00B50225" w:rsidRDefault="004D3B4A" w:rsidP="004D3B4A">
      <w:pPr>
        <w:pStyle w:val="Zkladntext"/>
        <w:rPr>
          <w:szCs w:val="18"/>
        </w:rPr>
      </w:pPr>
      <w:r w:rsidRPr="008C0838">
        <w:rPr>
          <w:szCs w:val="18"/>
        </w:rPr>
        <w:t>Majetok a záväzky vyjadrené v cudzej mene sa ku dňu uskutočnenia účtovného prípadu prepočítavajú na menu euro referenčným výmenným kurzom určeným a vyhl</w:t>
      </w:r>
      <w:r w:rsidRPr="00B50225">
        <w:rPr>
          <w:szCs w:val="18"/>
        </w:rPr>
        <w:t xml:space="preserve">áseným Európskou centrálnou bankou alebo Národnou bankou Slovenska v deň predchádzajúci dňu uskutočnenia účtovného prípadu. </w:t>
      </w:r>
    </w:p>
    <w:p w14:paraId="00F4ADD9" w14:textId="77777777" w:rsidR="002724ED" w:rsidRPr="00B50225" w:rsidRDefault="002724ED" w:rsidP="004D3B4A">
      <w:pPr>
        <w:pStyle w:val="Zkladntext"/>
        <w:rPr>
          <w:szCs w:val="18"/>
        </w:rPr>
      </w:pPr>
    </w:p>
    <w:p w14:paraId="00F4ADDA" w14:textId="77777777" w:rsidR="001E27A6" w:rsidRPr="00B50225" w:rsidRDefault="001E27A6" w:rsidP="004D3B4A">
      <w:pPr>
        <w:pStyle w:val="Zkladntext"/>
        <w:rPr>
          <w:szCs w:val="18"/>
        </w:rPr>
      </w:pPr>
      <w:r w:rsidRPr="00B50225">
        <w:rPr>
          <w:szCs w:val="18"/>
        </w:rPr>
        <w:t>Na ocenenie prírastku cudzej meny nakúpenej za euro sa použije kurz, za ktorý bola táto cudzia mena nakúpená.</w:t>
      </w:r>
    </w:p>
    <w:p w14:paraId="00F4ADDB" w14:textId="77777777" w:rsidR="001E27A6" w:rsidRPr="00B50225" w:rsidRDefault="001E27A6" w:rsidP="004D3B4A">
      <w:pPr>
        <w:pStyle w:val="Zkladntext"/>
        <w:rPr>
          <w:szCs w:val="18"/>
        </w:rPr>
      </w:pPr>
    </w:p>
    <w:p w14:paraId="00F4ADDC" w14:textId="77777777" w:rsidR="001E27A6" w:rsidRPr="00B50225" w:rsidRDefault="001E27A6" w:rsidP="004D3B4A">
      <w:pPr>
        <w:pStyle w:val="Zkladntext"/>
        <w:rPr>
          <w:szCs w:val="18"/>
        </w:rPr>
      </w:pPr>
      <w:r w:rsidRPr="00B50225">
        <w:rPr>
          <w:szCs w:val="18"/>
        </w:rPr>
        <w:t xml:space="preserve">Na úbytok rovnakej cudzej meny v hotovosti alebo z devízového účtu sa na prepočet cudzej meny na eurá použije </w:t>
      </w:r>
      <w:r w:rsidR="00B56595" w:rsidRPr="00B50225">
        <w:rPr>
          <w:szCs w:val="18"/>
        </w:rPr>
        <w:t xml:space="preserve">referenčný výmenný kurz určený a vyhlásený Európskou centrálnou bankou alebo Národnou bankou Slovenska v deň predchádzajúci dňu uskutočnenia účtovného prípadu. </w:t>
      </w:r>
    </w:p>
    <w:p w14:paraId="00F4ADDD" w14:textId="77777777" w:rsidR="004D3B4A" w:rsidRPr="00B50225" w:rsidRDefault="004D3B4A" w:rsidP="004D3B4A">
      <w:pPr>
        <w:pStyle w:val="Zkladntext"/>
        <w:rPr>
          <w:szCs w:val="18"/>
        </w:rPr>
      </w:pPr>
    </w:p>
    <w:p w14:paraId="00F4ADDE" w14:textId="77777777" w:rsidR="004D3B4A" w:rsidRPr="00B50225" w:rsidRDefault="004D3B4A" w:rsidP="004D3B4A">
      <w:pPr>
        <w:pStyle w:val="Zkladntext"/>
        <w:rPr>
          <w:szCs w:val="18"/>
        </w:rPr>
      </w:pPr>
      <w:r w:rsidRPr="00B50225">
        <w:rPr>
          <w:szCs w:val="18"/>
        </w:rPr>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14:paraId="00F4ADDF" w14:textId="77777777" w:rsidR="001E27A6" w:rsidRPr="00B50225" w:rsidRDefault="001E27A6" w:rsidP="004D3B4A">
      <w:pPr>
        <w:pStyle w:val="Zkladntext"/>
        <w:rPr>
          <w:szCs w:val="18"/>
        </w:rPr>
      </w:pPr>
    </w:p>
    <w:p w14:paraId="00F4ADE0" w14:textId="77777777" w:rsidR="00E5113F" w:rsidRPr="00B50225" w:rsidRDefault="004D3B4A" w:rsidP="00E5113F">
      <w:pPr>
        <w:pStyle w:val="Zkladntext"/>
        <w:rPr>
          <w:szCs w:val="18"/>
        </w:rPr>
      </w:pPr>
      <w:r w:rsidRPr="00B50225">
        <w:rPr>
          <w:szCs w:val="18"/>
        </w:rPr>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w:t>
      </w:r>
      <w:r w:rsidR="00E5113F" w:rsidRPr="00B50225">
        <w:rPr>
          <w:szCs w:val="18"/>
        </w:rPr>
        <w:t xml:space="preserve">Ku dňu, ku ktorému sa zostavuje účtovná závierka, sa už neprepočítavajú. </w:t>
      </w:r>
    </w:p>
    <w:p w14:paraId="00F4ADE1" w14:textId="77777777" w:rsidR="006E554A" w:rsidRPr="00B50225" w:rsidRDefault="006E554A" w:rsidP="004D3B4A">
      <w:pPr>
        <w:pStyle w:val="Zkladntext"/>
        <w:rPr>
          <w:szCs w:val="18"/>
        </w:rPr>
      </w:pPr>
    </w:p>
    <w:p w14:paraId="00F4ADE2" w14:textId="77777777" w:rsidR="00BB2336" w:rsidRPr="00B50225" w:rsidRDefault="004D3B4A" w:rsidP="004D3B4A">
      <w:pPr>
        <w:pStyle w:val="Zkladntext"/>
        <w:rPr>
          <w:szCs w:val="18"/>
        </w:rPr>
      </w:pPr>
      <w:r w:rsidRPr="00B50225">
        <w:rPr>
          <w:szCs w:val="18"/>
        </w:rPr>
        <w:lastRenderedPageBreak/>
        <w:t>Prijaté a poskytnuté preddavky v cudzej mene na účet zriadený v eurách a z účtu zriadeného v eurách sa prepočítavajú na menu euro kurzom, za ktorý boli tieto hodnoty nakúpené alebo predané.</w:t>
      </w:r>
    </w:p>
    <w:p w14:paraId="00F4ADE3" w14:textId="77777777" w:rsidR="004D3B4A" w:rsidRDefault="004D3B4A" w:rsidP="004D3B4A">
      <w:pPr>
        <w:pStyle w:val="Zkladntext"/>
        <w:rPr>
          <w:szCs w:val="18"/>
        </w:rPr>
      </w:pPr>
    </w:p>
    <w:p w14:paraId="00F4ADE4" w14:textId="77777777" w:rsidR="004D3B4A" w:rsidRPr="00B50225" w:rsidRDefault="004D3B4A" w:rsidP="00251BF2">
      <w:pPr>
        <w:pStyle w:val="Pismenka"/>
        <w:ind w:left="426"/>
        <w:rPr>
          <w:szCs w:val="18"/>
        </w:rPr>
      </w:pPr>
      <w:r w:rsidRPr="00B50225">
        <w:rPr>
          <w:szCs w:val="18"/>
        </w:rPr>
        <w:t>Výnosy</w:t>
      </w:r>
    </w:p>
    <w:p w14:paraId="00F4ADE5" w14:textId="77777777" w:rsidR="004D3B4A" w:rsidRPr="00B50225" w:rsidRDefault="004D3B4A" w:rsidP="004D3B4A">
      <w:pPr>
        <w:pStyle w:val="Zkladntext"/>
        <w:rPr>
          <w:szCs w:val="18"/>
        </w:rPr>
      </w:pPr>
      <w:r w:rsidRPr="00B50225">
        <w:rPr>
          <w:szCs w:val="18"/>
        </w:rPr>
        <w:t>Tržby za vlastné výkony a tovar neobsahujú daň z pridanej hodnoty. Sú tiež znížené o zľavy a zrážky (rabaty, bonusy, skontá, dobropisy a pod.), bez ohľadu na to, či zákazník mal vopred na zľavu nárok, alebo či ide o dodatočne uznanú zľavu.</w:t>
      </w:r>
    </w:p>
    <w:p w14:paraId="00F4ADE6" w14:textId="77777777" w:rsidR="00E630A7" w:rsidRDefault="00E630A7" w:rsidP="004D3B4A">
      <w:pPr>
        <w:pStyle w:val="Nadpis1"/>
        <w:tabs>
          <w:tab w:val="num" w:pos="360"/>
        </w:tabs>
        <w:spacing w:before="120" w:after="60"/>
        <w:ind w:left="360"/>
        <w:rPr>
          <w:szCs w:val="18"/>
        </w:rPr>
      </w:pPr>
      <w:bookmarkStart w:id="1" w:name="_Toc530739900"/>
    </w:p>
    <w:p w14:paraId="00F4ADE7" w14:textId="77777777" w:rsidR="00E630A7" w:rsidRDefault="00E630A7" w:rsidP="00E630A7">
      <w:pPr>
        <w:pStyle w:val="Pismenka"/>
        <w:numPr>
          <w:ilvl w:val="0"/>
          <w:numId w:val="3"/>
        </w:numPr>
        <w:rPr>
          <w:szCs w:val="18"/>
        </w:rPr>
      </w:pPr>
      <w:r>
        <w:rPr>
          <w:szCs w:val="18"/>
        </w:rPr>
        <w:t>Informácia o oprave chýb minulých účtovných období</w:t>
      </w:r>
    </w:p>
    <w:p w14:paraId="00F4ADE8" w14:textId="3B442838" w:rsidR="00E630A7" w:rsidRPr="00B50225" w:rsidRDefault="004C321F" w:rsidP="00E630A7">
      <w:pPr>
        <w:pStyle w:val="Zkladntext"/>
        <w:ind w:left="0" w:firstLine="426"/>
        <w:rPr>
          <w:szCs w:val="18"/>
        </w:rPr>
      </w:pPr>
      <w:r>
        <w:rPr>
          <w:szCs w:val="18"/>
        </w:rPr>
        <w:t>V účtovnom období 2020 Spoločnosť nevykonala žiadne opravy významných chýb minulých účtovných období</w:t>
      </w:r>
      <w:r w:rsidR="00EB0416" w:rsidRPr="00B50225">
        <w:rPr>
          <w:szCs w:val="18"/>
        </w:rPr>
        <w:t>.</w:t>
      </w:r>
      <w:r w:rsidR="00E630A7" w:rsidRPr="00B50225">
        <w:rPr>
          <w:szCs w:val="18"/>
        </w:rPr>
        <w:t xml:space="preserve"> </w:t>
      </w:r>
    </w:p>
    <w:p w14:paraId="00F4ADE9" w14:textId="77777777" w:rsidR="00E630A7" w:rsidRDefault="00E630A7" w:rsidP="00E630A7">
      <w:pPr>
        <w:pStyle w:val="Pismenka"/>
        <w:ind w:left="644"/>
        <w:rPr>
          <w:szCs w:val="18"/>
        </w:rPr>
      </w:pPr>
    </w:p>
    <w:p w14:paraId="00F4ADEA" w14:textId="77777777" w:rsidR="00E630A7" w:rsidRDefault="00E630A7" w:rsidP="00E630A7">
      <w:pPr>
        <w:pStyle w:val="Nadpis1"/>
        <w:numPr>
          <w:ilvl w:val="0"/>
          <w:numId w:val="1"/>
        </w:numPr>
        <w:spacing w:before="120" w:after="60"/>
        <w:ind w:hanging="644"/>
        <w:rPr>
          <w:szCs w:val="18"/>
        </w:rPr>
      </w:pPr>
      <w:r w:rsidRPr="00C7744F">
        <w:rPr>
          <w:szCs w:val="18"/>
        </w:rPr>
        <w:t>I</w:t>
      </w:r>
      <w:r>
        <w:rPr>
          <w:szCs w:val="18"/>
        </w:rPr>
        <w:t>nformácie, ktoré vysvetľujú a dopĺňajú súvahu a výkaz ziskov  a strát</w:t>
      </w:r>
    </w:p>
    <w:p w14:paraId="00F4ADEB" w14:textId="77777777" w:rsidR="00E630A7" w:rsidRPr="00E630A7" w:rsidRDefault="00E630A7" w:rsidP="00E630A7"/>
    <w:p w14:paraId="00F4ADEC" w14:textId="77777777" w:rsidR="00845B0F" w:rsidRDefault="00845B0F" w:rsidP="00845B0F">
      <w:pPr>
        <w:pStyle w:val="Pismenka"/>
        <w:numPr>
          <w:ilvl w:val="0"/>
          <w:numId w:val="17"/>
        </w:numPr>
        <w:rPr>
          <w:szCs w:val="18"/>
        </w:rPr>
      </w:pPr>
      <w:r>
        <w:rPr>
          <w:szCs w:val="18"/>
        </w:rPr>
        <w:t>Informácie o významných položkách nákladov a výnosov</w:t>
      </w:r>
    </w:p>
    <w:p w14:paraId="00F4ADED" w14:textId="77777777" w:rsidR="00E630A7" w:rsidRDefault="00E630A7" w:rsidP="00E630A7">
      <w:pPr>
        <w:pStyle w:val="Zkladntext"/>
        <w:ind w:left="0" w:firstLine="426"/>
        <w:rPr>
          <w:szCs w:val="18"/>
        </w:rPr>
      </w:pPr>
      <w:r>
        <w:rPr>
          <w:szCs w:val="18"/>
        </w:rPr>
        <w:t xml:space="preserve">Bez obsahovej náplne. </w:t>
      </w:r>
    </w:p>
    <w:p w14:paraId="00F4ADEE" w14:textId="77777777" w:rsidR="00E630A7" w:rsidRDefault="00E630A7" w:rsidP="00E630A7">
      <w:pPr>
        <w:pStyle w:val="Zkladntext"/>
        <w:ind w:left="0" w:firstLine="426"/>
        <w:rPr>
          <w:szCs w:val="18"/>
        </w:rPr>
      </w:pPr>
    </w:p>
    <w:p w14:paraId="00F4ADEF" w14:textId="77777777" w:rsidR="00E630A7" w:rsidRDefault="00B525EB" w:rsidP="00E630A7">
      <w:pPr>
        <w:pStyle w:val="Pismenka"/>
        <w:numPr>
          <w:ilvl w:val="0"/>
          <w:numId w:val="17"/>
        </w:numPr>
        <w:rPr>
          <w:szCs w:val="18"/>
        </w:rPr>
      </w:pPr>
      <w:r>
        <w:rPr>
          <w:szCs w:val="18"/>
        </w:rPr>
        <w:t>Informácie o záväzkoch so zostatkovou dobou splatnosti dlhšou ako 5 rokov a o zabezpečených záväzkoch</w:t>
      </w:r>
    </w:p>
    <w:p w14:paraId="00F4ADF2" w14:textId="0D18AC55" w:rsidR="000834D7" w:rsidRDefault="00B7783B" w:rsidP="000834D7">
      <w:pPr>
        <w:pStyle w:val="Zkladntext"/>
        <w:ind w:left="360"/>
        <w:rPr>
          <w:szCs w:val="18"/>
        </w:rPr>
      </w:pPr>
      <w:r>
        <w:rPr>
          <w:szCs w:val="18"/>
        </w:rPr>
        <w:t>Bez obsahovej náplne.</w:t>
      </w:r>
      <w:r w:rsidR="000834D7">
        <w:rPr>
          <w:szCs w:val="18"/>
        </w:rPr>
        <w:t xml:space="preserve"> </w:t>
      </w:r>
    </w:p>
    <w:p w14:paraId="75A1DFEC" w14:textId="77777777" w:rsidR="00AB4DFF" w:rsidRDefault="00AB4DFF" w:rsidP="00D478DE">
      <w:pPr>
        <w:pStyle w:val="Zkladntext"/>
        <w:ind w:left="0" w:firstLine="426"/>
        <w:rPr>
          <w:szCs w:val="18"/>
        </w:rPr>
      </w:pPr>
    </w:p>
    <w:p w14:paraId="00F4ADF4" w14:textId="77777777" w:rsidR="00B26E98" w:rsidRDefault="00B26E98" w:rsidP="00B26E98">
      <w:pPr>
        <w:pStyle w:val="Pismenka"/>
        <w:numPr>
          <w:ilvl w:val="0"/>
          <w:numId w:val="17"/>
        </w:numPr>
        <w:rPr>
          <w:szCs w:val="18"/>
        </w:rPr>
      </w:pPr>
      <w:r>
        <w:rPr>
          <w:szCs w:val="18"/>
        </w:rPr>
        <w:t>Informácie o vlastných akciách</w:t>
      </w:r>
    </w:p>
    <w:p w14:paraId="00F4ADF5" w14:textId="77777777" w:rsidR="00B26E98" w:rsidRDefault="00B26E98" w:rsidP="00B26E98">
      <w:pPr>
        <w:pStyle w:val="Zkladntext"/>
        <w:ind w:left="0" w:firstLine="426"/>
        <w:rPr>
          <w:szCs w:val="18"/>
        </w:rPr>
      </w:pPr>
      <w:r>
        <w:rPr>
          <w:szCs w:val="18"/>
        </w:rPr>
        <w:t xml:space="preserve">Bez obsahovej náplne. </w:t>
      </w:r>
    </w:p>
    <w:p w14:paraId="00F4ADF6" w14:textId="77777777" w:rsidR="00B26E98" w:rsidRDefault="00B26E98" w:rsidP="00B26E98">
      <w:pPr>
        <w:pStyle w:val="Zkladntext"/>
        <w:ind w:left="0" w:firstLine="426"/>
        <w:rPr>
          <w:szCs w:val="18"/>
        </w:rPr>
      </w:pPr>
    </w:p>
    <w:p w14:paraId="35539EA9" w14:textId="543B678F" w:rsidR="00AB4DFF" w:rsidRDefault="00AB4DFF" w:rsidP="00B26E98">
      <w:pPr>
        <w:pStyle w:val="Pismenka"/>
        <w:numPr>
          <w:ilvl w:val="0"/>
          <w:numId w:val="17"/>
        </w:numPr>
        <w:rPr>
          <w:szCs w:val="18"/>
        </w:rPr>
      </w:pPr>
      <w:r>
        <w:rPr>
          <w:szCs w:val="18"/>
        </w:rPr>
        <w:t>Informácia o tom, či účtovná jednotka vytvorila kapitálový fond z príspevkov podľa § 123 ods. 2 a § 217a Obchodného zákonníka</w:t>
      </w:r>
    </w:p>
    <w:p w14:paraId="0600C90C" w14:textId="2175A0EF" w:rsidR="00B06520" w:rsidRPr="00B06520" w:rsidRDefault="00B06520" w:rsidP="00B06520">
      <w:pPr>
        <w:pStyle w:val="Pismenka"/>
        <w:ind w:left="360"/>
        <w:rPr>
          <w:b w:val="0"/>
          <w:szCs w:val="18"/>
        </w:rPr>
      </w:pPr>
      <w:r>
        <w:rPr>
          <w:b w:val="0"/>
          <w:szCs w:val="18"/>
        </w:rPr>
        <w:t xml:space="preserve">  </w:t>
      </w:r>
      <w:r w:rsidRPr="00B06520">
        <w:rPr>
          <w:b w:val="0"/>
          <w:szCs w:val="18"/>
        </w:rPr>
        <w:t>Bez obsahovej náplne</w:t>
      </w:r>
      <w:r>
        <w:rPr>
          <w:b w:val="0"/>
          <w:szCs w:val="18"/>
        </w:rPr>
        <w:t>.</w:t>
      </w:r>
    </w:p>
    <w:p w14:paraId="79A62DFC" w14:textId="77777777" w:rsidR="00AB4DFF" w:rsidRDefault="00AB4DFF" w:rsidP="00AB4DFF">
      <w:pPr>
        <w:pStyle w:val="Pismenka"/>
        <w:rPr>
          <w:szCs w:val="18"/>
        </w:rPr>
      </w:pPr>
    </w:p>
    <w:p w14:paraId="00F4ADF7" w14:textId="7404DD2E" w:rsidR="00B26E98" w:rsidRDefault="00B26E98" w:rsidP="00B26E98">
      <w:pPr>
        <w:pStyle w:val="Pismenka"/>
        <w:numPr>
          <w:ilvl w:val="0"/>
          <w:numId w:val="17"/>
        </w:numPr>
        <w:rPr>
          <w:szCs w:val="18"/>
        </w:rPr>
      </w:pPr>
      <w:r>
        <w:rPr>
          <w:szCs w:val="18"/>
        </w:rPr>
        <w:t>Informácie o</w:t>
      </w:r>
      <w:r w:rsidR="00B525EB">
        <w:rPr>
          <w:szCs w:val="18"/>
        </w:rPr>
        <w:t> orgánoch účtovnej jednotky</w:t>
      </w:r>
    </w:p>
    <w:p w14:paraId="00F4ADF8" w14:textId="755A6FF7" w:rsidR="00B525EB" w:rsidRDefault="00B525EB" w:rsidP="00B26E98">
      <w:pPr>
        <w:pStyle w:val="Zkladntext"/>
        <w:ind w:left="0" w:firstLine="426"/>
        <w:rPr>
          <w:szCs w:val="18"/>
        </w:rPr>
      </w:pPr>
      <w:r w:rsidRPr="00223353">
        <w:rPr>
          <w:szCs w:val="18"/>
        </w:rPr>
        <w:t xml:space="preserve">Spoločnosť neposkytla členom štatutárneho orgánu Spoločnosti záruky, zabezpečenia ani pôžičky. Členovia štatutárneho orgánu Spoločnosti disponujú platobnými prostriedkami Spoločnosti, ktoré môžu používať aj na súkromné účely. Takto využité finančné prostriedky podliehajú vyúčtovaniu, a sú buď členmi štatutárneho orgánu vrátené Spoločnosti, alebo sú zúčtované so záväzkom, ktorý spoločnosť eviduje voči členom štatutárneho orgánu. </w:t>
      </w:r>
    </w:p>
    <w:p w14:paraId="00F4ADFA" w14:textId="77777777" w:rsidR="00E91228" w:rsidRDefault="00E91228" w:rsidP="00B26E98">
      <w:pPr>
        <w:pStyle w:val="Zkladntext"/>
        <w:ind w:left="0" w:firstLine="426"/>
      </w:pPr>
    </w:p>
    <w:p w14:paraId="00F4ADFB" w14:textId="5CD5A902" w:rsidR="00E91228" w:rsidRDefault="00E91228" w:rsidP="00E91228">
      <w:pPr>
        <w:pStyle w:val="Pismenka"/>
        <w:numPr>
          <w:ilvl w:val="0"/>
          <w:numId w:val="17"/>
        </w:numPr>
        <w:rPr>
          <w:szCs w:val="18"/>
        </w:rPr>
      </w:pPr>
      <w:r>
        <w:rPr>
          <w:szCs w:val="18"/>
        </w:rPr>
        <w:t>Informácie o povinnostiach účtovnej jednotky</w:t>
      </w:r>
      <w:r w:rsidR="00B06520">
        <w:rPr>
          <w:szCs w:val="18"/>
        </w:rPr>
        <w:t xml:space="preserve"> a o udelení výlučného alebo osobitného práva</w:t>
      </w:r>
    </w:p>
    <w:p w14:paraId="00F4ADFC" w14:textId="77777777" w:rsidR="00E91228" w:rsidRDefault="00E91228" w:rsidP="00E91228">
      <w:pPr>
        <w:pStyle w:val="Zkladntext"/>
        <w:ind w:left="0" w:firstLine="426"/>
        <w:rPr>
          <w:szCs w:val="18"/>
        </w:rPr>
      </w:pPr>
      <w:r>
        <w:rPr>
          <w:szCs w:val="18"/>
        </w:rPr>
        <w:t xml:space="preserve">Bez obsahovej náplne. </w:t>
      </w:r>
    </w:p>
    <w:p w14:paraId="00F4ADFD" w14:textId="77777777" w:rsidR="00E91228" w:rsidRDefault="00E91228" w:rsidP="00B26E98">
      <w:pPr>
        <w:pStyle w:val="Zkladntext"/>
        <w:ind w:left="0" w:firstLine="426"/>
      </w:pPr>
    </w:p>
    <w:bookmarkEnd w:id="1"/>
    <w:p w14:paraId="00F4AE00" w14:textId="77777777" w:rsidR="00E630A7" w:rsidRDefault="00E630A7" w:rsidP="00E630A7">
      <w:pPr>
        <w:pStyle w:val="Zkladntext"/>
        <w:ind w:left="0" w:firstLine="426"/>
        <w:rPr>
          <w:szCs w:val="18"/>
        </w:rPr>
      </w:pPr>
    </w:p>
    <w:sectPr w:rsidR="00E630A7" w:rsidSect="00E91228">
      <w:headerReference w:type="default" r:id="rId14"/>
      <w:footerReference w:type="default" r:id="rId15"/>
      <w:headerReference w:type="first" r:id="rId16"/>
      <w:footerReference w:type="first" r:id="rId17"/>
      <w:pgSz w:w="11906" w:h="16838" w:code="9"/>
      <w:pgMar w:top="1979" w:right="992" w:bottom="1134" w:left="1673" w:header="675" w:footer="340" w:gutter="0"/>
      <w:pgNumType w:start="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F4AE05" w14:textId="77777777" w:rsidR="00EE6960" w:rsidRDefault="00EE6960" w:rsidP="00E95128">
      <w:r>
        <w:separator/>
      </w:r>
    </w:p>
  </w:endnote>
  <w:endnote w:type="continuationSeparator" w:id="0">
    <w:p w14:paraId="00F4AE06" w14:textId="77777777" w:rsidR="00EE6960" w:rsidRDefault="00EE6960"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 55">
    <w:charset w:val="00"/>
    <w:family w:val="auto"/>
    <w:pitch w:val="variable"/>
    <w:sig w:usb0="8000002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324975"/>
      <w:docPartObj>
        <w:docPartGallery w:val="Page Numbers (Bottom of Page)"/>
        <w:docPartUnique/>
      </w:docPartObj>
    </w:sdtPr>
    <w:sdtEndPr/>
    <w:sdtContent>
      <w:p w14:paraId="00F4AE27" w14:textId="0FE11921" w:rsidR="00743BAC" w:rsidRDefault="00B06520">
        <w:pPr>
          <w:pStyle w:val="Pta"/>
          <w:jc w:val="right"/>
        </w:pPr>
        <w:r>
          <w:fldChar w:fldCharType="begin"/>
        </w:r>
        <w:r>
          <w:instrText xml:space="preserve"> PAGE   \* MERGEFORMAT </w:instrText>
        </w:r>
        <w:r>
          <w:fldChar w:fldCharType="separate"/>
        </w:r>
        <w:r w:rsidR="00B7783B">
          <w:rPr>
            <w:noProof/>
          </w:rPr>
          <w:t>8</w:t>
        </w:r>
        <w:r>
          <w:rPr>
            <w:noProof/>
          </w:rPr>
          <w:fldChar w:fldCharType="end"/>
        </w:r>
      </w:p>
    </w:sdtContent>
  </w:sdt>
  <w:p w14:paraId="00F4AE28" w14:textId="77777777" w:rsidR="00743BAC" w:rsidRDefault="00743BAC">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4AE3B" w14:textId="77777777" w:rsidR="00743BAC" w:rsidRDefault="00743BAC" w:rsidP="00F70C00">
    <w:pPr>
      <w:pStyle w:val="Pta"/>
      <w:tabs>
        <w:tab w:val="clear" w:pos="9072"/>
        <w:tab w:val="right" w:pos="9214"/>
      </w:tabs>
    </w:pPr>
    <w:r w:rsidRPr="00803D2C">
      <w:rPr>
        <w:sz w:val="16"/>
        <w:szCs w:val="16"/>
        <w:lang w:val="en-US"/>
      </w:rPr>
      <w:t xml:space="preserve">© </w:t>
    </w:r>
    <w:r>
      <w:rPr>
        <w:sz w:val="16"/>
        <w:szCs w:val="16"/>
        <w:lang w:val="en-US"/>
      </w:rPr>
      <w:t>2013</w:t>
    </w:r>
    <w:r w:rsidRPr="00803D2C">
      <w:rPr>
        <w:sz w:val="16"/>
        <w:szCs w:val="16"/>
        <w:lang w:val="en-US"/>
      </w:rPr>
      <w:t xml:space="preserve"> KPMG Slovensko, spol. s r. o. V</w:t>
    </w:r>
    <w:r w:rsidRPr="00803D2C">
      <w:rPr>
        <w:sz w:val="16"/>
        <w:szCs w:val="16"/>
      </w:rPr>
      <w:t>šetky práva vyhradené. Vytlačené na Slovensku.</w:t>
    </w:r>
    <w:r w:rsidRPr="00E95128">
      <w:t xml:space="preserve"> </w:t>
    </w:r>
    <w:r>
      <w:tab/>
    </w:r>
    <w:sdt>
      <w:sdtPr>
        <w:id w:val="-197405061"/>
        <w:docPartObj>
          <w:docPartGallery w:val="Page Numbers (Bottom of Page)"/>
          <w:docPartUnique/>
        </w:docPartObj>
      </w:sdtPr>
      <w:sdtEndPr/>
      <w:sdtContent>
        <w:r w:rsidR="00984BDE" w:rsidRPr="00F70C00">
          <w:rPr>
            <w:b/>
          </w:rPr>
          <w:fldChar w:fldCharType="begin"/>
        </w:r>
        <w:r w:rsidRPr="00F70C00">
          <w:rPr>
            <w:b/>
          </w:rPr>
          <w:instrText xml:space="preserve"> PAGE   \* MERGEFORMAT </w:instrText>
        </w:r>
        <w:r w:rsidR="00984BDE" w:rsidRPr="00F70C00">
          <w:rPr>
            <w:b/>
          </w:rPr>
          <w:fldChar w:fldCharType="separate"/>
        </w:r>
        <w:r>
          <w:rPr>
            <w:b/>
            <w:noProof/>
          </w:rPr>
          <w:t>58</w:t>
        </w:r>
        <w:r w:rsidR="00984BDE" w:rsidRPr="00F70C00">
          <w:rPr>
            <w:b/>
          </w:rPr>
          <w:fldChar w:fldCharType="end"/>
        </w:r>
      </w:sdtContent>
    </w:sdt>
  </w:p>
  <w:p w14:paraId="00F4AE3C" w14:textId="77777777" w:rsidR="00743BAC" w:rsidRDefault="00743BAC" w:rsidP="00F70C00">
    <w:pPr>
      <w:pStyle w:val="Pta"/>
      <w:tabs>
        <w:tab w:val="clear" w:pos="9072"/>
        <w:tab w:val="right" w:pos="9214"/>
      </w:tabs>
      <w:rPr>
        <w:sz w:val="16"/>
        <w:szCs w:val="16"/>
      </w:rPr>
    </w:pPr>
  </w:p>
  <w:p w14:paraId="00F4AE3D" w14:textId="77777777" w:rsidR="00743BAC" w:rsidRPr="00F70C00" w:rsidRDefault="00743BAC" w:rsidP="00F70C00">
    <w:pPr>
      <w:pStyle w:val="Pta"/>
      <w:tabs>
        <w:tab w:val="clear" w:pos="9072"/>
        <w:tab w:val="right" w:pos="9214"/>
      </w:tabs>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F4AE03" w14:textId="77777777" w:rsidR="00EE6960" w:rsidRDefault="00EE6960" w:rsidP="00E95128">
      <w:r>
        <w:separator/>
      </w:r>
    </w:p>
  </w:footnote>
  <w:footnote w:type="continuationSeparator" w:id="0">
    <w:p w14:paraId="00F4AE04" w14:textId="77777777" w:rsidR="00EE6960" w:rsidRDefault="00EE6960" w:rsidP="00E95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4AE07" w14:textId="77777777" w:rsidR="00743BAC" w:rsidRPr="00E95128" w:rsidRDefault="00743BAC" w:rsidP="001A4937">
    <w:pPr>
      <w:pStyle w:val="Hlavika"/>
      <w:tabs>
        <w:tab w:val="center" w:pos="4820"/>
        <w:tab w:val="right" w:pos="9214"/>
      </w:tabs>
      <w:jc w:val="right"/>
      <w:rPr>
        <w:sz w:val="18"/>
      </w:rPr>
    </w:pPr>
    <w:r>
      <w:rPr>
        <w:sz w:val="18"/>
        <w:szCs w:val="18"/>
      </w:rPr>
      <w:t>Individuálna</w:t>
    </w:r>
    <w:r w:rsidRPr="008D6361">
      <w:rPr>
        <w:sz w:val="18"/>
        <w:szCs w:val="18"/>
      </w:rPr>
      <w:t xml:space="preserve"> účtovná závierka</w:t>
    </w:r>
  </w:p>
  <w:p w14:paraId="00F4AE08" w14:textId="47322B2E" w:rsidR="00743BAC" w:rsidRPr="00E95128" w:rsidRDefault="000834D7" w:rsidP="001A4937">
    <w:pPr>
      <w:pStyle w:val="Hlavika"/>
      <w:tabs>
        <w:tab w:val="clear" w:pos="4536"/>
        <w:tab w:val="clear" w:pos="9072"/>
        <w:tab w:val="center" w:pos="3969"/>
        <w:tab w:val="right" w:pos="9214"/>
      </w:tabs>
      <w:jc w:val="right"/>
    </w:pPr>
    <w:r>
      <w:rPr>
        <w:b/>
        <w:bCs/>
        <w:sz w:val="18"/>
        <w:szCs w:val="18"/>
      </w:rPr>
      <w:tab/>
    </w:r>
    <w:r w:rsidR="00DD0280">
      <w:rPr>
        <w:b/>
        <w:bCs/>
        <w:sz w:val="18"/>
        <w:szCs w:val="18"/>
      </w:rPr>
      <w:t>I-PHARMA,</w:t>
    </w:r>
    <w:r w:rsidR="00743BAC">
      <w:rPr>
        <w:b/>
        <w:bCs/>
        <w:sz w:val="18"/>
        <w:szCs w:val="18"/>
      </w:rPr>
      <w:t xml:space="preserve"> s.r.o</w:t>
    </w:r>
    <w:r w:rsidR="00743BAC" w:rsidRPr="00E95128">
      <w:rPr>
        <w:b/>
        <w:bCs/>
        <w:sz w:val="18"/>
        <w:szCs w:val="18"/>
      </w:rPr>
      <w:t>.</w:t>
    </w:r>
    <w:r w:rsidR="00743BAC">
      <w:rPr>
        <w:b/>
        <w:bCs/>
        <w:sz w:val="18"/>
        <w:szCs w:val="18"/>
      </w:rPr>
      <w:tab/>
    </w:r>
    <w:r w:rsidR="00743BAC" w:rsidRPr="00E95128">
      <w:rPr>
        <w:b/>
        <w:bCs/>
        <w:sz w:val="18"/>
        <w:szCs w:val="18"/>
      </w:rPr>
      <w:t xml:space="preserve"> </w:t>
    </w:r>
    <w:r w:rsidR="00743BAC" w:rsidRPr="008D6361">
      <w:rPr>
        <w:sz w:val="18"/>
        <w:szCs w:val="18"/>
      </w:rPr>
      <w:t>k</w:t>
    </w:r>
    <w:r w:rsidR="00743BAC">
      <w:rPr>
        <w:b/>
        <w:bCs/>
        <w:sz w:val="18"/>
        <w:szCs w:val="18"/>
      </w:rPr>
      <w:t xml:space="preserve"> </w:t>
    </w:r>
    <w:r w:rsidR="00743BAC" w:rsidRPr="0075768F">
      <w:rPr>
        <w:sz w:val="18"/>
        <w:szCs w:val="18"/>
      </w:rPr>
      <w:t>3</w:t>
    </w:r>
    <w:r w:rsidR="00743BAC" w:rsidRPr="008D6361">
      <w:rPr>
        <w:sz w:val="18"/>
        <w:szCs w:val="18"/>
      </w:rPr>
      <w:t xml:space="preserve">1. decembru </w:t>
    </w:r>
    <w:r w:rsidR="00042817">
      <w:rPr>
        <w:sz w:val="18"/>
        <w:szCs w:val="18"/>
      </w:rPr>
      <w:t>20</w:t>
    </w:r>
    <w:r w:rsidR="004C321F">
      <w:rPr>
        <w:sz w:val="18"/>
        <w:szCs w:val="18"/>
      </w:rPr>
      <w:t>20</w:t>
    </w:r>
  </w:p>
  <w:p w14:paraId="00F4AE09" w14:textId="77777777" w:rsidR="00743BAC" w:rsidRDefault="00743BAC" w:rsidP="001A4937">
    <w:pPr>
      <w:pStyle w:val="Hlavika"/>
      <w:tabs>
        <w:tab w:val="clear" w:pos="4536"/>
        <w:tab w:val="clear" w:pos="9072"/>
        <w:tab w:val="center" w:pos="3969"/>
        <w:tab w:val="left" w:pos="7920"/>
        <w:tab w:val="right" w:pos="9213"/>
      </w:tabs>
      <w:rPr>
        <w:sz w:val="18"/>
        <w:szCs w:val="18"/>
      </w:rPr>
    </w:pPr>
    <w:r>
      <w:rPr>
        <w:sz w:val="18"/>
        <w:szCs w:val="18"/>
      </w:rPr>
      <w:tab/>
    </w:r>
    <w:r>
      <w:rPr>
        <w:sz w:val="18"/>
        <w:szCs w:val="18"/>
      </w:rPr>
      <w:tab/>
    </w:r>
    <w:r>
      <w:rPr>
        <w:sz w:val="18"/>
        <w:szCs w:val="1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62"/>
      <w:gridCol w:w="4317"/>
      <w:gridCol w:w="280"/>
      <w:gridCol w:w="279"/>
      <w:gridCol w:w="283"/>
      <w:gridCol w:w="282"/>
      <w:gridCol w:w="283"/>
      <w:gridCol w:w="282"/>
      <w:gridCol w:w="283"/>
      <w:gridCol w:w="282"/>
      <w:gridCol w:w="283"/>
      <w:gridCol w:w="282"/>
    </w:tblGrid>
    <w:tr w:rsidR="00743BAC" w:rsidRPr="00C14925" w14:paraId="00F4AE16" w14:textId="77777777" w:rsidTr="00F751BF">
      <w:trPr>
        <w:trHeight w:val="126"/>
      </w:trPr>
      <w:tc>
        <w:tcPr>
          <w:tcW w:w="2062" w:type="dxa"/>
          <w:tcBorders>
            <w:top w:val="nil"/>
            <w:left w:val="nil"/>
            <w:bottom w:val="nil"/>
            <w:right w:val="nil"/>
          </w:tcBorders>
          <w:vAlign w:val="center"/>
        </w:tcPr>
        <w:p w14:paraId="00F4AE0A" w14:textId="77777777" w:rsidR="00743BAC" w:rsidRPr="00C14925" w:rsidRDefault="00743BAC" w:rsidP="00F751BF">
          <w:pPr>
            <w:pStyle w:val="Hlavika"/>
            <w:tabs>
              <w:tab w:val="clear" w:pos="4536"/>
              <w:tab w:val="center" w:pos="4253"/>
              <w:tab w:val="right" w:pos="9213"/>
            </w:tabs>
            <w:spacing w:line="276" w:lineRule="auto"/>
            <w:ind w:firstLine="2"/>
            <w:rPr>
              <w:sz w:val="18"/>
              <w:szCs w:val="18"/>
            </w:rPr>
          </w:pPr>
          <w:r w:rsidRPr="00C14925">
            <w:rPr>
              <w:sz w:val="18"/>
              <w:szCs w:val="18"/>
            </w:rPr>
            <w:t>Poznámk</w:t>
          </w:r>
          <w:r w:rsidR="009F630B">
            <w:rPr>
              <w:sz w:val="18"/>
              <w:szCs w:val="18"/>
            </w:rPr>
            <w:t>y Úč MÚJ</w:t>
          </w:r>
          <w:r w:rsidRPr="00C14925">
            <w:rPr>
              <w:sz w:val="18"/>
              <w:szCs w:val="18"/>
            </w:rPr>
            <w:t xml:space="preserve"> 3 - 01</w:t>
          </w:r>
        </w:p>
      </w:tc>
      <w:tc>
        <w:tcPr>
          <w:tcW w:w="4317" w:type="dxa"/>
          <w:tcBorders>
            <w:top w:val="nil"/>
            <w:left w:val="nil"/>
            <w:bottom w:val="nil"/>
            <w:right w:val="nil"/>
          </w:tcBorders>
          <w:vAlign w:val="center"/>
          <w:hideMark/>
        </w:tcPr>
        <w:p w14:paraId="00F4AE0B" w14:textId="77777777" w:rsidR="00743BAC" w:rsidRPr="00C14925" w:rsidRDefault="00743BAC" w:rsidP="00F751BF">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IČO</w:t>
          </w:r>
        </w:p>
      </w:tc>
      <w:tc>
        <w:tcPr>
          <w:tcW w:w="280" w:type="dxa"/>
          <w:tcBorders>
            <w:top w:val="nil"/>
            <w:left w:val="nil"/>
            <w:bottom w:val="nil"/>
            <w:right w:val="nil"/>
          </w:tcBorders>
          <w:vAlign w:val="center"/>
        </w:tcPr>
        <w:p w14:paraId="00F4AE0C" w14:textId="77777777" w:rsidR="00743BAC" w:rsidRPr="00833D0C" w:rsidRDefault="00743BAC" w:rsidP="00F751BF">
          <w:pPr>
            <w:pStyle w:val="Hlavika"/>
            <w:tabs>
              <w:tab w:val="clear" w:pos="4536"/>
              <w:tab w:val="center" w:pos="4253"/>
              <w:tab w:val="right" w:pos="9213"/>
            </w:tabs>
            <w:spacing w:line="276" w:lineRule="auto"/>
            <w:jc w:val="center"/>
            <w:rPr>
              <w:sz w:val="18"/>
              <w:szCs w:val="18"/>
            </w:rPr>
          </w:pPr>
        </w:p>
      </w:tc>
      <w:tc>
        <w:tcPr>
          <w:tcW w:w="279" w:type="dxa"/>
          <w:tcBorders>
            <w:top w:val="nil"/>
            <w:left w:val="nil"/>
            <w:bottom w:val="nil"/>
            <w:right w:val="single" w:sz="4" w:space="0" w:color="auto"/>
          </w:tcBorders>
          <w:vAlign w:val="center"/>
        </w:tcPr>
        <w:p w14:paraId="00F4AE0D" w14:textId="77777777" w:rsidR="00743BAC" w:rsidRPr="00833D0C" w:rsidRDefault="00743BAC" w:rsidP="00F751BF">
          <w:pPr>
            <w:pStyle w:val="Hlavika"/>
            <w:tabs>
              <w:tab w:val="clear" w:pos="4536"/>
              <w:tab w:val="center" w:pos="4253"/>
              <w:tab w:val="right" w:pos="9213"/>
            </w:tabs>
            <w:spacing w:line="276" w:lineRule="auto"/>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hideMark/>
        </w:tcPr>
        <w:p w14:paraId="00F4AE0E" w14:textId="74F0B78C" w:rsidR="00743BAC" w:rsidRPr="00833D0C" w:rsidRDefault="00D8143B" w:rsidP="00F751BF">
          <w:pPr>
            <w:pStyle w:val="Hlavika"/>
            <w:tabs>
              <w:tab w:val="clear" w:pos="4536"/>
              <w:tab w:val="center" w:pos="4253"/>
              <w:tab w:val="right" w:pos="9213"/>
            </w:tabs>
            <w:spacing w:line="276" w:lineRule="auto"/>
            <w:jc w:val="center"/>
            <w:rPr>
              <w:sz w:val="18"/>
              <w:szCs w:val="18"/>
            </w:rPr>
          </w:pPr>
          <w:r>
            <w:rPr>
              <w:sz w:val="18"/>
              <w:szCs w:val="18"/>
            </w:rPr>
            <w:t>5</w:t>
          </w:r>
        </w:p>
      </w:tc>
      <w:tc>
        <w:tcPr>
          <w:tcW w:w="282" w:type="dxa"/>
          <w:tcBorders>
            <w:top w:val="single" w:sz="4" w:space="0" w:color="auto"/>
            <w:left w:val="single" w:sz="4" w:space="0" w:color="auto"/>
            <w:bottom w:val="single" w:sz="4" w:space="0" w:color="auto"/>
            <w:right w:val="single" w:sz="4" w:space="0" w:color="auto"/>
          </w:tcBorders>
          <w:vAlign w:val="center"/>
          <w:hideMark/>
        </w:tcPr>
        <w:p w14:paraId="00F4AE0F" w14:textId="5F55A436" w:rsidR="00743BAC" w:rsidRPr="00833D0C" w:rsidRDefault="0025698E" w:rsidP="00F751BF">
          <w:pPr>
            <w:pStyle w:val="Hlavika"/>
            <w:tabs>
              <w:tab w:val="clear" w:pos="4536"/>
              <w:tab w:val="center" w:pos="4253"/>
              <w:tab w:val="right" w:pos="9213"/>
            </w:tabs>
            <w:spacing w:line="276" w:lineRule="auto"/>
            <w:jc w:val="center"/>
            <w:rPr>
              <w:sz w:val="18"/>
              <w:szCs w:val="18"/>
            </w:rPr>
          </w:pPr>
          <w:r>
            <w:rPr>
              <w:sz w:val="18"/>
              <w:szCs w:val="18"/>
            </w:rPr>
            <w:t>2</w:t>
          </w:r>
        </w:p>
      </w:tc>
      <w:tc>
        <w:tcPr>
          <w:tcW w:w="283" w:type="dxa"/>
          <w:tcBorders>
            <w:top w:val="single" w:sz="4" w:space="0" w:color="auto"/>
            <w:left w:val="single" w:sz="4" w:space="0" w:color="auto"/>
            <w:bottom w:val="single" w:sz="4" w:space="0" w:color="auto"/>
            <w:right w:val="single" w:sz="4" w:space="0" w:color="auto"/>
          </w:tcBorders>
          <w:vAlign w:val="center"/>
          <w:hideMark/>
        </w:tcPr>
        <w:p w14:paraId="00F4AE10" w14:textId="47085852" w:rsidR="00743BAC" w:rsidRPr="00833D0C" w:rsidRDefault="00DD0280" w:rsidP="00F751BF">
          <w:pPr>
            <w:pStyle w:val="Hlavika"/>
            <w:tabs>
              <w:tab w:val="clear" w:pos="4536"/>
              <w:tab w:val="center" w:pos="4253"/>
              <w:tab w:val="right" w:pos="9213"/>
            </w:tabs>
            <w:spacing w:line="276" w:lineRule="auto"/>
            <w:jc w:val="center"/>
            <w:rPr>
              <w:sz w:val="18"/>
              <w:szCs w:val="18"/>
            </w:rPr>
          </w:pPr>
          <w:r>
            <w:rPr>
              <w:sz w:val="18"/>
              <w:szCs w:val="18"/>
            </w:rPr>
            <w:t>1</w:t>
          </w:r>
        </w:p>
      </w:tc>
      <w:tc>
        <w:tcPr>
          <w:tcW w:w="282" w:type="dxa"/>
          <w:tcBorders>
            <w:top w:val="single" w:sz="4" w:space="0" w:color="auto"/>
            <w:left w:val="single" w:sz="4" w:space="0" w:color="auto"/>
            <w:bottom w:val="single" w:sz="4" w:space="0" w:color="auto"/>
            <w:right w:val="single" w:sz="4" w:space="0" w:color="auto"/>
          </w:tcBorders>
          <w:vAlign w:val="center"/>
          <w:hideMark/>
        </w:tcPr>
        <w:p w14:paraId="00F4AE11" w14:textId="43CD0EDE" w:rsidR="00743BAC" w:rsidRPr="00833D0C" w:rsidRDefault="00DD0280" w:rsidP="00F751BF">
          <w:pPr>
            <w:pStyle w:val="Hlavika"/>
            <w:tabs>
              <w:tab w:val="clear" w:pos="4536"/>
              <w:tab w:val="center" w:pos="4253"/>
              <w:tab w:val="right" w:pos="9213"/>
            </w:tabs>
            <w:spacing w:line="276" w:lineRule="auto"/>
            <w:jc w:val="center"/>
            <w:rPr>
              <w:sz w:val="18"/>
              <w:szCs w:val="18"/>
            </w:rPr>
          </w:pPr>
          <w:r>
            <w:rPr>
              <w:sz w:val="18"/>
              <w:szCs w:val="18"/>
            </w:rPr>
            <w:t>6</w:t>
          </w:r>
        </w:p>
      </w:tc>
      <w:tc>
        <w:tcPr>
          <w:tcW w:w="283" w:type="dxa"/>
          <w:tcBorders>
            <w:top w:val="single" w:sz="4" w:space="0" w:color="auto"/>
            <w:left w:val="single" w:sz="4" w:space="0" w:color="auto"/>
            <w:bottom w:val="single" w:sz="4" w:space="0" w:color="auto"/>
            <w:right w:val="single" w:sz="4" w:space="0" w:color="auto"/>
          </w:tcBorders>
          <w:vAlign w:val="center"/>
          <w:hideMark/>
        </w:tcPr>
        <w:p w14:paraId="00F4AE12" w14:textId="66D25840" w:rsidR="00743BAC" w:rsidRPr="00833D0C" w:rsidRDefault="00DD0280" w:rsidP="00F751BF">
          <w:pPr>
            <w:pStyle w:val="Hlavika"/>
            <w:tabs>
              <w:tab w:val="clear" w:pos="4536"/>
              <w:tab w:val="center" w:pos="4253"/>
              <w:tab w:val="right" w:pos="9213"/>
            </w:tabs>
            <w:spacing w:line="276" w:lineRule="auto"/>
            <w:jc w:val="center"/>
            <w:rPr>
              <w:sz w:val="18"/>
              <w:szCs w:val="18"/>
            </w:rPr>
          </w:pPr>
          <w:r>
            <w:rPr>
              <w:sz w:val="18"/>
              <w:szCs w:val="18"/>
            </w:rPr>
            <w:t>8</w:t>
          </w:r>
        </w:p>
      </w:tc>
      <w:tc>
        <w:tcPr>
          <w:tcW w:w="282" w:type="dxa"/>
          <w:tcBorders>
            <w:top w:val="single" w:sz="4" w:space="0" w:color="auto"/>
            <w:left w:val="single" w:sz="4" w:space="0" w:color="auto"/>
            <w:bottom w:val="single" w:sz="4" w:space="0" w:color="auto"/>
            <w:right w:val="single" w:sz="4" w:space="0" w:color="auto"/>
          </w:tcBorders>
          <w:vAlign w:val="center"/>
          <w:hideMark/>
        </w:tcPr>
        <w:p w14:paraId="00F4AE13" w14:textId="773310F8" w:rsidR="00743BAC" w:rsidRPr="00833D0C" w:rsidRDefault="00DD0280" w:rsidP="00F751BF">
          <w:pPr>
            <w:pStyle w:val="Hlavika"/>
            <w:tabs>
              <w:tab w:val="clear" w:pos="4536"/>
              <w:tab w:val="center" w:pos="4253"/>
              <w:tab w:val="right" w:pos="9213"/>
            </w:tabs>
            <w:spacing w:line="276" w:lineRule="auto"/>
            <w:jc w:val="center"/>
            <w:rPr>
              <w:sz w:val="18"/>
              <w:szCs w:val="18"/>
            </w:rPr>
          </w:pPr>
          <w:r>
            <w:rPr>
              <w:sz w:val="18"/>
              <w:szCs w:val="18"/>
            </w:rPr>
            <w:t>5</w:t>
          </w:r>
        </w:p>
      </w:tc>
      <w:tc>
        <w:tcPr>
          <w:tcW w:w="283" w:type="dxa"/>
          <w:tcBorders>
            <w:top w:val="single" w:sz="4" w:space="0" w:color="auto"/>
            <w:left w:val="single" w:sz="4" w:space="0" w:color="auto"/>
            <w:bottom w:val="single" w:sz="4" w:space="0" w:color="auto"/>
            <w:right w:val="single" w:sz="4" w:space="0" w:color="auto"/>
          </w:tcBorders>
          <w:vAlign w:val="center"/>
          <w:hideMark/>
        </w:tcPr>
        <w:p w14:paraId="00F4AE14" w14:textId="288086D7" w:rsidR="00743BAC" w:rsidRPr="00833D0C" w:rsidRDefault="00DD0280" w:rsidP="00F751BF">
          <w:pPr>
            <w:pStyle w:val="Hlavika"/>
            <w:tabs>
              <w:tab w:val="clear" w:pos="4536"/>
              <w:tab w:val="center" w:pos="4253"/>
              <w:tab w:val="right" w:pos="9213"/>
            </w:tabs>
            <w:spacing w:line="276" w:lineRule="auto"/>
            <w:jc w:val="center"/>
            <w:rPr>
              <w:sz w:val="18"/>
              <w:szCs w:val="18"/>
            </w:rPr>
          </w:pPr>
          <w:r>
            <w:rPr>
              <w:sz w:val="18"/>
              <w:szCs w:val="18"/>
            </w:rPr>
            <w:t>4</w:t>
          </w:r>
        </w:p>
      </w:tc>
      <w:tc>
        <w:tcPr>
          <w:tcW w:w="282" w:type="dxa"/>
          <w:tcBorders>
            <w:top w:val="single" w:sz="4" w:space="0" w:color="auto"/>
            <w:left w:val="single" w:sz="4" w:space="0" w:color="auto"/>
            <w:bottom w:val="single" w:sz="4" w:space="0" w:color="auto"/>
            <w:right w:val="single" w:sz="4" w:space="0" w:color="auto"/>
          </w:tcBorders>
          <w:vAlign w:val="center"/>
          <w:hideMark/>
        </w:tcPr>
        <w:p w14:paraId="00F4AE15" w14:textId="537209A8" w:rsidR="00743BAC" w:rsidRPr="00833D0C" w:rsidRDefault="00DD0280" w:rsidP="00F751BF">
          <w:pPr>
            <w:pStyle w:val="Hlavika"/>
            <w:tabs>
              <w:tab w:val="clear" w:pos="4536"/>
              <w:tab w:val="center" w:pos="4253"/>
              <w:tab w:val="right" w:pos="9213"/>
            </w:tabs>
            <w:spacing w:line="276" w:lineRule="auto"/>
            <w:jc w:val="center"/>
            <w:rPr>
              <w:sz w:val="18"/>
              <w:szCs w:val="18"/>
            </w:rPr>
          </w:pPr>
          <w:r>
            <w:rPr>
              <w:sz w:val="18"/>
              <w:szCs w:val="18"/>
            </w:rPr>
            <w:t>9</w:t>
          </w:r>
        </w:p>
      </w:tc>
    </w:tr>
  </w:tbl>
  <w:p w14:paraId="00F4AE17" w14:textId="77777777" w:rsidR="00743BAC" w:rsidRPr="00833D0C" w:rsidRDefault="00743BAC" w:rsidP="001A4937">
    <w:pPr>
      <w:pStyle w:val="Hlavika"/>
      <w:tabs>
        <w:tab w:val="center" w:pos="4962"/>
        <w:tab w:val="right" w:pos="9213"/>
      </w:tabs>
      <w:ind w:right="-1"/>
      <w:jc w:val="right"/>
      <w:rPr>
        <w:sz w:val="18"/>
        <w:szCs w:val="18"/>
        <w:lang w:val="en-GB"/>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12"/>
      <w:gridCol w:w="4162"/>
      <w:gridCol w:w="279"/>
      <w:gridCol w:w="280"/>
      <w:gridCol w:w="279"/>
      <w:gridCol w:w="287"/>
      <w:gridCol w:w="279"/>
      <w:gridCol w:w="278"/>
      <w:gridCol w:w="279"/>
      <w:gridCol w:w="278"/>
      <w:gridCol w:w="279"/>
      <w:gridCol w:w="278"/>
    </w:tblGrid>
    <w:tr w:rsidR="00743BAC" w:rsidRPr="00C14925" w14:paraId="00F4AE24" w14:textId="77777777" w:rsidTr="00F751BF">
      <w:trPr>
        <w:trHeight w:val="127"/>
      </w:trPr>
      <w:tc>
        <w:tcPr>
          <w:tcW w:w="2012" w:type="dxa"/>
          <w:tcBorders>
            <w:top w:val="nil"/>
            <w:left w:val="nil"/>
            <w:bottom w:val="nil"/>
            <w:right w:val="nil"/>
          </w:tcBorders>
          <w:vAlign w:val="center"/>
          <w:hideMark/>
        </w:tcPr>
        <w:p w14:paraId="00F4AE18" w14:textId="77777777" w:rsidR="00743BAC" w:rsidRPr="00C14925" w:rsidRDefault="00743BAC" w:rsidP="00F751BF">
          <w:pPr>
            <w:pStyle w:val="Hlavika"/>
            <w:tabs>
              <w:tab w:val="clear" w:pos="4536"/>
              <w:tab w:val="center" w:pos="4253"/>
              <w:tab w:val="right" w:pos="9213"/>
            </w:tabs>
            <w:spacing w:line="276" w:lineRule="auto"/>
            <w:rPr>
              <w:sz w:val="18"/>
              <w:szCs w:val="18"/>
            </w:rPr>
          </w:pPr>
        </w:p>
      </w:tc>
      <w:tc>
        <w:tcPr>
          <w:tcW w:w="4162" w:type="dxa"/>
          <w:tcBorders>
            <w:top w:val="nil"/>
            <w:left w:val="nil"/>
            <w:bottom w:val="nil"/>
            <w:right w:val="single" w:sz="4" w:space="0" w:color="auto"/>
          </w:tcBorders>
          <w:vAlign w:val="center"/>
          <w:hideMark/>
        </w:tcPr>
        <w:p w14:paraId="00F4AE19" w14:textId="77777777" w:rsidR="00743BAC" w:rsidRPr="00C14925" w:rsidRDefault="00743BAC" w:rsidP="00F751BF">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DIČ</w:t>
          </w:r>
        </w:p>
      </w:tc>
      <w:tc>
        <w:tcPr>
          <w:tcW w:w="279" w:type="dxa"/>
          <w:tcBorders>
            <w:top w:val="single" w:sz="4" w:space="0" w:color="auto"/>
            <w:left w:val="single" w:sz="4" w:space="0" w:color="auto"/>
            <w:bottom w:val="single" w:sz="4" w:space="0" w:color="auto"/>
            <w:right w:val="single" w:sz="4" w:space="0" w:color="auto"/>
          </w:tcBorders>
          <w:vAlign w:val="center"/>
          <w:hideMark/>
        </w:tcPr>
        <w:p w14:paraId="00F4AE1A" w14:textId="77777777" w:rsidR="00743BAC" w:rsidRPr="00833D0C" w:rsidRDefault="00743BAC" w:rsidP="00F751BF">
          <w:pPr>
            <w:pStyle w:val="Hlavika"/>
            <w:tabs>
              <w:tab w:val="clear" w:pos="4536"/>
              <w:tab w:val="center" w:pos="4253"/>
              <w:tab w:val="right" w:pos="9213"/>
            </w:tabs>
            <w:spacing w:line="276" w:lineRule="auto"/>
            <w:jc w:val="center"/>
            <w:rPr>
              <w:sz w:val="18"/>
              <w:szCs w:val="18"/>
            </w:rPr>
          </w:pPr>
          <w:r>
            <w:rPr>
              <w:sz w:val="18"/>
              <w:szCs w:val="18"/>
            </w:rPr>
            <w:t>2</w:t>
          </w:r>
        </w:p>
      </w:tc>
      <w:tc>
        <w:tcPr>
          <w:tcW w:w="280" w:type="dxa"/>
          <w:tcBorders>
            <w:top w:val="single" w:sz="4" w:space="0" w:color="auto"/>
            <w:left w:val="single" w:sz="4" w:space="0" w:color="auto"/>
            <w:bottom w:val="single" w:sz="4" w:space="0" w:color="auto"/>
            <w:right w:val="single" w:sz="4" w:space="0" w:color="auto"/>
          </w:tcBorders>
          <w:vAlign w:val="center"/>
          <w:hideMark/>
        </w:tcPr>
        <w:p w14:paraId="00F4AE1B" w14:textId="67D54643" w:rsidR="00743BAC" w:rsidRPr="00833D0C" w:rsidRDefault="00D8143B" w:rsidP="00F751BF">
          <w:pPr>
            <w:pStyle w:val="Hlavika"/>
            <w:tabs>
              <w:tab w:val="clear" w:pos="4536"/>
              <w:tab w:val="center" w:pos="4253"/>
              <w:tab w:val="right" w:pos="9213"/>
            </w:tabs>
            <w:spacing w:line="276" w:lineRule="auto"/>
            <w:jc w:val="center"/>
            <w:rPr>
              <w:sz w:val="18"/>
              <w:szCs w:val="18"/>
            </w:rPr>
          </w:pPr>
          <w:r>
            <w:rPr>
              <w:sz w:val="18"/>
              <w:szCs w:val="18"/>
            </w:rPr>
            <w:t>1</w:t>
          </w:r>
        </w:p>
      </w:tc>
      <w:tc>
        <w:tcPr>
          <w:tcW w:w="279" w:type="dxa"/>
          <w:tcBorders>
            <w:top w:val="single" w:sz="4" w:space="0" w:color="auto"/>
            <w:left w:val="single" w:sz="4" w:space="0" w:color="auto"/>
            <w:bottom w:val="single" w:sz="4" w:space="0" w:color="auto"/>
            <w:right w:val="single" w:sz="4" w:space="0" w:color="auto"/>
          </w:tcBorders>
          <w:vAlign w:val="center"/>
          <w:hideMark/>
        </w:tcPr>
        <w:p w14:paraId="00F4AE1C" w14:textId="041A5A5E" w:rsidR="00743BAC" w:rsidRPr="00833D0C" w:rsidRDefault="00D8143B" w:rsidP="00F751BF">
          <w:pPr>
            <w:pStyle w:val="Hlavika"/>
            <w:tabs>
              <w:tab w:val="clear" w:pos="4536"/>
              <w:tab w:val="center" w:pos="4253"/>
              <w:tab w:val="right" w:pos="9213"/>
            </w:tabs>
            <w:spacing w:line="276" w:lineRule="auto"/>
            <w:jc w:val="center"/>
            <w:rPr>
              <w:sz w:val="18"/>
              <w:szCs w:val="18"/>
            </w:rPr>
          </w:pPr>
          <w:r>
            <w:rPr>
              <w:sz w:val="18"/>
              <w:szCs w:val="18"/>
            </w:rPr>
            <w:t>2</w:t>
          </w:r>
        </w:p>
      </w:tc>
      <w:tc>
        <w:tcPr>
          <w:tcW w:w="287" w:type="dxa"/>
          <w:tcBorders>
            <w:top w:val="single" w:sz="4" w:space="0" w:color="auto"/>
            <w:left w:val="single" w:sz="4" w:space="0" w:color="auto"/>
            <w:bottom w:val="single" w:sz="4" w:space="0" w:color="auto"/>
            <w:right w:val="single" w:sz="4" w:space="0" w:color="auto"/>
          </w:tcBorders>
          <w:vAlign w:val="center"/>
          <w:hideMark/>
        </w:tcPr>
        <w:p w14:paraId="00F4AE1D" w14:textId="0A07B091" w:rsidR="00743BAC" w:rsidRPr="00833D0C" w:rsidRDefault="00DD0280" w:rsidP="00F751BF">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14:paraId="00F4AE1E" w14:textId="6E71E064" w:rsidR="00743BAC" w:rsidRPr="00833D0C" w:rsidRDefault="00DD0280" w:rsidP="009F630B">
          <w:pPr>
            <w:pStyle w:val="Hlavika"/>
            <w:tabs>
              <w:tab w:val="clear" w:pos="4536"/>
              <w:tab w:val="center" w:pos="4253"/>
              <w:tab w:val="right" w:pos="9213"/>
            </w:tabs>
            <w:spacing w:line="276" w:lineRule="auto"/>
            <w:jc w:val="center"/>
            <w:rPr>
              <w:sz w:val="18"/>
              <w:szCs w:val="18"/>
            </w:rPr>
          </w:pPr>
          <w:r>
            <w:rPr>
              <w:sz w:val="18"/>
              <w:szCs w:val="18"/>
            </w:rPr>
            <w:t>9</w:t>
          </w:r>
        </w:p>
      </w:tc>
      <w:tc>
        <w:tcPr>
          <w:tcW w:w="278" w:type="dxa"/>
          <w:tcBorders>
            <w:top w:val="single" w:sz="4" w:space="0" w:color="auto"/>
            <w:left w:val="single" w:sz="4" w:space="0" w:color="auto"/>
            <w:bottom w:val="single" w:sz="4" w:space="0" w:color="auto"/>
            <w:right w:val="single" w:sz="4" w:space="0" w:color="auto"/>
          </w:tcBorders>
          <w:vAlign w:val="center"/>
          <w:hideMark/>
        </w:tcPr>
        <w:p w14:paraId="00F4AE1F" w14:textId="03FB707D" w:rsidR="00743BAC" w:rsidRPr="00833D0C" w:rsidRDefault="00DD0280" w:rsidP="00F751BF">
          <w:pPr>
            <w:pStyle w:val="Hlavika"/>
            <w:tabs>
              <w:tab w:val="clear" w:pos="4536"/>
              <w:tab w:val="center" w:pos="4253"/>
              <w:tab w:val="right" w:pos="9213"/>
            </w:tabs>
            <w:spacing w:line="276" w:lineRule="auto"/>
            <w:jc w:val="center"/>
            <w:rPr>
              <w:sz w:val="18"/>
              <w:szCs w:val="18"/>
            </w:rPr>
          </w:pPr>
          <w:r>
            <w:rPr>
              <w:sz w:val="18"/>
              <w:szCs w:val="18"/>
            </w:rPr>
            <w:t>1</w:t>
          </w:r>
        </w:p>
      </w:tc>
      <w:tc>
        <w:tcPr>
          <w:tcW w:w="279" w:type="dxa"/>
          <w:tcBorders>
            <w:top w:val="single" w:sz="4" w:space="0" w:color="auto"/>
            <w:left w:val="single" w:sz="4" w:space="0" w:color="auto"/>
            <w:bottom w:val="single" w:sz="4" w:space="0" w:color="auto"/>
            <w:right w:val="single" w:sz="4" w:space="0" w:color="auto"/>
          </w:tcBorders>
          <w:vAlign w:val="center"/>
          <w:hideMark/>
        </w:tcPr>
        <w:p w14:paraId="00F4AE20" w14:textId="6F87B8F9" w:rsidR="00743BAC" w:rsidRPr="00833D0C" w:rsidRDefault="00DD0280" w:rsidP="00F751BF">
          <w:pPr>
            <w:pStyle w:val="Hlavika"/>
            <w:tabs>
              <w:tab w:val="clear" w:pos="4536"/>
              <w:tab w:val="center" w:pos="4253"/>
              <w:tab w:val="right" w:pos="9213"/>
            </w:tabs>
            <w:spacing w:line="276" w:lineRule="auto"/>
            <w:jc w:val="center"/>
            <w:rPr>
              <w:sz w:val="18"/>
              <w:szCs w:val="18"/>
            </w:rPr>
          </w:pPr>
          <w:r>
            <w:rPr>
              <w:sz w:val="18"/>
              <w:szCs w:val="18"/>
            </w:rPr>
            <w:t>8</w:t>
          </w:r>
        </w:p>
      </w:tc>
      <w:tc>
        <w:tcPr>
          <w:tcW w:w="278" w:type="dxa"/>
          <w:tcBorders>
            <w:top w:val="single" w:sz="4" w:space="0" w:color="auto"/>
            <w:left w:val="single" w:sz="4" w:space="0" w:color="auto"/>
            <w:bottom w:val="single" w:sz="4" w:space="0" w:color="auto"/>
            <w:right w:val="single" w:sz="4" w:space="0" w:color="auto"/>
          </w:tcBorders>
          <w:vAlign w:val="center"/>
          <w:hideMark/>
        </w:tcPr>
        <w:p w14:paraId="00F4AE21" w14:textId="006150F9" w:rsidR="00743BAC" w:rsidRPr="00833D0C" w:rsidRDefault="00DD0280" w:rsidP="00F751BF">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14:paraId="00F4AE22" w14:textId="3A34CCCE" w:rsidR="00743BAC" w:rsidRPr="00833D0C" w:rsidRDefault="00DD0280" w:rsidP="00F751BF">
          <w:pPr>
            <w:pStyle w:val="Hlavika"/>
            <w:tabs>
              <w:tab w:val="clear" w:pos="4536"/>
              <w:tab w:val="center" w:pos="4253"/>
              <w:tab w:val="right" w:pos="9213"/>
            </w:tabs>
            <w:spacing w:line="276" w:lineRule="auto"/>
            <w:jc w:val="center"/>
            <w:rPr>
              <w:sz w:val="18"/>
              <w:szCs w:val="18"/>
            </w:rPr>
          </w:pPr>
          <w:r>
            <w:rPr>
              <w:sz w:val="18"/>
              <w:szCs w:val="18"/>
            </w:rPr>
            <w:t>0</w:t>
          </w:r>
        </w:p>
      </w:tc>
      <w:tc>
        <w:tcPr>
          <w:tcW w:w="278" w:type="dxa"/>
          <w:tcBorders>
            <w:top w:val="single" w:sz="4" w:space="0" w:color="auto"/>
            <w:left w:val="single" w:sz="4" w:space="0" w:color="auto"/>
            <w:bottom w:val="single" w:sz="4" w:space="0" w:color="auto"/>
            <w:right w:val="single" w:sz="4" w:space="0" w:color="auto"/>
          </w:tcBorders>
          <w:vAlign w:val="center"/>
          <w:hideMark/>
        </w:tcPr>
        <w:p w14:paraId="00F4AE23" w14:textId="579FB715" w:rsidR="00743BAC" w:rsidRPr="00833D0C" w:rsidRDefault="00DD0280" w:rsidP="00F751BF">
          <w:pPr>
            <w:pStyle w:val="Hlavika"/>
            <w:tabs>
              <w:tab w:val="clear" w:pos="4536"/>
              <w:tab w:val="center" w:pos="4253"/>
              <w:tab w:val="right" w:pos="9213"/>
            </w:tabs>
            <w:spacing w:line="276" w:lineRule="auto"/>
            <w:jc w:val="center"/>
            <w:rPr>
              <w:sz w:val="18"/>
              <w:szCs w:val="18"/>
            </w:rPr>
          </w:pPr>
          <w:r>
            <w:rPr>
              <w:sz w:val="18"/>
              <w:szCs w:val="18"/>
            </w:rPr>
            <w:t>8</w:t>
          </w:r>
        </w:p>
      </w:tc>
    </w:tr>
  </w:tbl>
  <w:p w14:paraId="00F4AE25" w14:textId="77777777" w:rsidR="00743BAC" w:rsidRDefault="00743BAC" w:rsidP="00B50225">
    <w:pPr>
      <w:pStyle w:val="Hlavika"/>
      <w:tabs>
        <w:tab w:val="clear" w:pos="4536"/>
        <w:tab w:val="clear" w:pos="9072"/>
        <w:tab w:val="center" w:pos="3969"/>
        <w:tab w:val="right" w:pos="9214"/>
      </w:tabs>
    </w:pPr>
  </w:p>
  <w:p w14:paraId="00F4AE26" w14:textId="77777777" w:rsidR="00743BAC" w:rsidRPr="00E95128" w:rsidRDefault="00743BAC" w:rsidP="00B50225">
    <w:pPr>
      <w:pStyle w:val="Hlavika"/>
      <w:tabs>
        <w:tab w:val="clear" w:pos="4536"/>
        <w:tab w:val="clear" w:pos="9072"/>
        <w:tab w:val="center" w:pos="3969"/>
        <w:tab w:val="right" w:pos="9214"/>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4AE29" w14:textId="77777777" w:rsidR="00743BAC" w:rsidRDefault="00743BAC" w:rsidP="008A2D79">
    <w:pPr>
      <w:pStyle w:val="Hlavika"/>
      <w:tabs>
        <w:tab w:val="center" w:pos="4820"/>
        <w:tab w:val="right" w:pos="9214"/>
      </w:tabs>
      <w:jc w:val="right"/>
      <w:rPr>
        <w:sz w:val="18"/>
      </w:rPr>
    </w:pPr>
  </w:p>
  <w:p w14:paraId="00F4AE2A" w14:textId="77777777" w:rsidR="00743BAC" w:rsidRPr="00E95128" w:rsidRDefault="00743BAC" w:rsidP="008A2D79">
    <w:pPr>
      <w:pStyle w:val="Hlavika"/>
      <w:tabs>
        <w:tab w:val="center" w:pos="4820"/>
        <w:tab w:val="right" w:pos="9214"/>
      </w:tabs>
      <w:jc w:val="right"/>
      <w:rPr>
        <w:sz w:val="18"/>
      </w:rPr>
    </w:pPr>
    <w:r>
      <w:rPr>
        <w:rFonts w:eastAsiaTheme="minorHAnsi"/>
        <w:noProof/>
        <w:lang w:eastAsia="sk-SK"/>
      </w:rPr>
      <w:drawing>
        <wp:anchor distT="0" distB="0" distL="114300" distR="114300" simplePos="0" relativeHeight="251668480" behindDoc="1" locked="0" layoutInCell="1" allowOverlap="1" wp14:anchorId="00F4AE3E" wp14:editId="00F4AE3F">
          <wp:simplePos x="0" y="0"/>
          <wp:positionH relativeFrom="column">
            <wp:align>left</wp:align>
          </wp:positionH>
          <wp:positionV relativeFrom="page">
            <wp:posOffset>561975</wp:posOffset>
          </wp:positionV>
          <wp:extent cx="629920" cy="243840"/>
          <wp:effectExtent l="19050" t="0" r="0" b="0"/>
          <wp:wrapNone/>
          <wp:docPr id="19" name="Picture 1" descr="KPMG_20mm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MG_20mm56"/>
                  <pic:cNvPicPr>
                    <a:picLocks noChangeAspect="1" noChangeArrowheads="1"/>
                  </pic:cNvPicPr>
                </pic:nvPicPr>
                <pic:blipFill>
                  <a:blip r:embed="rId1"/>
                  <a:srcRect/>
                  <a:stretch>
                    <a:fillRect/>
                  </a:stretch>
                </pic:blipFill>
                <pic:spPr bwMode="auto">
                  <a:xfrm>
                    <a:off x="0" y="0"/>
                    <a:ext cx="629920" cy="243840"/>
                  </a:xfrm>
                  <a:prstGeom prst="rect">
                    <a:avLst/>
                  </a:prstGeom>
                  <a:noFill/>
                  <a:ln w="9525">
                    <a:noFill/>
                    <a:miter lim="800000"/>
                    <a:headEnd/>
                    <a:tailEnd/>
                  </a:ln>
                </pic:spPr>
              </pic:pic>
            </a:graphicData>
          </a:graphic>
        </wp:anchor>
      </w:drawing>
    </w:r>
    <w:r w:rsidRPr="008648B4">
      <w:rPr>
        <w:sz w:val="18"/>
        <w:szCs w:val="18"/>
      </w:rPr>
      <w:t xml:space="preserve"> </w:t>
    </w:r>
    <w:r w:rsidRPr="008D6361">
      <w:rPr>
        <w:sz w:val="18"/>
        <w:szCs w:val="18"/>
      </w:rPr>
      <w:t>Vzorová účtovná závierka</w:t>
    </w:r>
  </w:p>
  <w:p w14:paraId="00F4AE2B" w14:textId="77777777" w:rsidR="00743BAC" w:rsidRDefault="00743BAC" w:rsidP="008A2D79">
    <w:pPr>
      <w:pStyle w:val="Hlavika"/>
      <w:tabs>
        <w:tab w:val="clear" w:pos="4536"/>
        <w:tab w:val="clear" w:pos="9072"/>
        <w:tab w:val="center" w:pos="3969"/>
        <w:tab w:val="right" w:pos="9214"/>
      </w:tabs>
      <w:jc w:val="right"/>
      <w:rPr>
        <w:sz w:val="18"/>
        <w:szCs w:val="18"/>
      </w:rPr>
    </w:pPr>
    <w:r>
      <w:rPr>
        <w:b/>
        <w:bCs/>
        <w:sz w:val="18"/>
        <w:szCs w:val="18"/>
      </w:rPr>
      <w:tab/>
    </w:r>
    <w:r w:rsidRPr="00E95128">
      <w:rPr>
        <w:b/>
        <w:bCs/>
        <w:sz w:val="18"/>
        <w:szCs w:val="18"/>
      </w:rPr>
      <w:t>ABC Slovenská výroba, spol. s r. o.</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Pr>
        <w:sz w:val="18"/>
        <w:szCs w:val="18"/>
      </w:rPr>
      <w:t>2013</w:t>
    </w:r>
  </w:p>
  <w:p w14:paraId="00F4AE2C" w14:textId="77777777" w:rsidR="00743BAC" w:rsidRPr="00E95128" w:rsidRDefault="00743BAC" w:rsidP="008A2D79">
    <w:pPr>
      <w:pStyle w:val="Hlavika"/>
      <w:tabs>
        <w:tab w:val="clear" w:pos="4536"/>
        <w:tab w:val="clear" w:pos="9072"/>
        <w:tab w:val="center" w:pos="3969"/>
        <w:tab w:val="right" w:pos="9214"/>
      </w:tabs>
      <w:jc w:val="right"/>
    </w:pPr>
  </w:p>
  <w:tbl>
    <w:tblPr>
      <w:tblW w:w="0" w:type="auto"/>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39"/>
      <w:gridCol w:w="4221"/>
      <w:gridCol w:w="283"/>
      <w:gridCol w:w="282"/>
      <w:gridCol w:w="283"/>
      <w:gridCol w:w="282"/>
      <w:gridCol w:w="283"/>
      <w:gridCol w:w="282"/>
      <w:gridCol w:w="283"/>
      <w:gridCol w:w="282"/>
      <w:gridCol w:w="283"/>
      <w:gridCol w:w="282"/>
    </w:tblGrid>
    <w:tr w:rsidR="00743BAC" w14:paraId="00F4AE39" w14:textId="77777777" w:rsidTr="00D34B3E">
      <w:trPr>
        <w:trHeight w:val="299"/>
      </w:trPr>
      <w:tc>
        <w:tcPr>
          <w:tcW w:w="2251" w:type="dxa"/>
          <w:vAlign w:val="center"/>
        </w:tcPr>
        <w:p w14:paraId="00F4AE2D" w14:textId="77777777" w:rsidR="00743BAC" w:rsidRDefault="00743BAC" w:rsidP="00D34B3E">
          <w:pPr>
            <w:pStyle w:val="Hlavika"/>
            <w:tabs>
              <w:tab w:val="clear" w:pos="4536"/>
              <w:tab w:val="center" w:pos="4253"/>
              <w:tab w:val="right" w:pos="9214"/>
            </w:tabs>
            <w:jc w:val="center"/>
            <w:rPr>
              <w:sz w:val="22"/>
            </w:rPr>
          </w:pPr>
          <w:r>
            <w:rPr>
              <w:rFonts w:cs="Arial"/>
              <w:szCs w:val="22"/>
              <w:lang w:eastAsia="sk-SK"/>
            </w:rPr>
            <w:t>Poznámky Úč POD 3 - 04</w:t>
          </w:r>
        </w:p>
      </w:tc>
      <w:tc>
        <w:tcPr>
          <w:tcW w:w="4252" w:type="dxa"/>
          <w:tcBorders>
            <w:top w:val="nil"/>
            <w:bottom w:val="nil"/>
          </w:tcBorders>
          <w:vAlign w:val="center"/>
        </w:tcPr>
        <w:p w14:paraId="00F4AE2E" w14:textId="77777777" w:rsidR="00743BAC" w:rsidRDefault="00743BAC" w:rsidP="00D34B3E">
          <w:pPr>
            <w:pStyle w:val="Hlavika"/>
            <w:tabs>
              <w:tab w:val="clear" w:pos="4536"/>
              <w:tab w:val="center" w:pos="4253"/>
              <w:tab w:val="right" w:pos="9214"/>
            </w:tabs>
            <w:jc w:val="right"/>
            <w:rPr>
              <w:sz w:val="22"/>
            </w:rPr>
          </w:pPr>
          <w:r>
            <w:rPr>
              <w:sz w:val="22"/>
            </w:rPr>
            <w:t>DIČ</w:t>
          </w:r>
        </w:p>
      </w:tc>
      <w:tc>
        <w:tcPr>
          <w:tcW w:w="284" w:type="dxa"/>
          <w:vAlign w:val="center"/>
        </w:tcPr>
        <w:p w14:paraId="00F4AE2F" w14:textId="77777777" w:rsidR="00743BAC" w:rsidRDefault="00743BAC" w:rsidP="00D34B3E">
          <w:pPr>
            <w:pStyle w:val="Hlavika"/>
            <w:tabs>
              <w:tab w:val="clear" w:pos="4536"/>
              <w:tab w:val="center" w:pos="4253"/>
              <w:tab w:val="right" w:pos="9214"/>
            </w:tabs>
            <w:jc w:val="center"/>
            <w:rPr>
              <w:sz w:val="22"/>
            </w:rPr>
          </w:pPr>
        </w:p>
      </w:tc>
      <w:tc>
        <w:tcPr>
          <w:tcW w:w="283" w:type="dxa"/>
          <w:vAlign w:val="center"/>
        </w:tcPr>
        <w:p w14:paraId="00F4AE30" w14:textId="77777777" w:rsidR="00743BAC" w:rsidRDefault="00743BAC" w:rsidP="00D34B3E">
          <w:pPr>
            <w:pStyle w:val="Hlavika"/>
            <w:tabs>
              <w:tab w:val="clear" w:pos="4536"/>
              <w:tab w:val="center" w:pos="4253"/>
              <w:tab w:val="right" w:pos="9214"/>
            </w:tabs>
            <w:jc w:val="center"/>
            <w:rPr>
              <w:sz w:val="22"/>
            </w:rPr>
          </w:pPr>
        </w:p>
      </w:tc>
      <w:tc>
        <w:tcPr>
          <w:tcW w:w="284" w:type="dxa"/>
          <w:vAlign w:val="center"/>
        </w:tcPr>
        <w:p w14:paraId="00F4AE31" w14:textId="77777777" w:rsidR="00743BAC" w:rsidRDefault="00743BAC" w:rsidP="00D34B3E">
          <w:pPr>
            <w:pStyle w:val="Hlavika"/>
            <w:tabs>
              <w:tab w:val="clear" w:pos="4536"/>
              <w:tab w:val="center" w:pos="4253"/>
              <w:tab w:val="right" w:pos="9214"/>
            </w:tabs>
            <w:jc w:val="center"/>
            <w:rPr>
              <w:sz w:val="22"/>
            </w:rPr>
          </w:pPr>
        </w:p>
      </w:tc>
      <w:tc>
        <w:tcPr>
          <w:tcW w:w="283" w:type="dxa"/>
          <w:vAlign w:val="center"/>
        </w:tcPr>
        <w:p w14:paraId="00F4AE32" w14:textId="77777777" w:rsidR="00743BAC" w:rsidRDefault="00743BAC" w:rsidP="00D34B3E">
          <w:pPr>
            <w:pStyle w:val="Hlavika"/>
            <w:tabs>
              <w:tab w:val="clear" w:pos="4536"/>
              <w:tab w:val="center" w:pos="4253"/>
              <w:tab w:val="right" w:pos="9214"/>
            </w:tabs>
            <w:jc w:val="center"/>
            <w:rPr>
              <w:sz w:val="22"/>
            </w:rPr>
          </w:pPr>
        </w:p>
      </w:tc>
      <w:tc>
        <w:tcPr>
          <w:tcW w:w="284" w:type="dxa"/>
          <w:vAlign w:val="center"/>
        </w:tcPr>
        <w:p w14:paraId="00F4AE33" w14:textId="77777777" w:rsidR="00743BAC" w:rsidRDefault="00743BAC" w:rsidP="00D34B3E">
          <w:pPr>
            <w:pStyle w:val="Hlavika"/>
            <w:tabs>
              <w:tab w:val="clear" w:pos="4536"/>
              <w:tab w:val="center" w:pos="4253"/>
              <w:tab w:val="right" w:pos="9214"/>
            </w:tabs>
            <w:jc w:val="center"/>
            <w:rPr>
              <w:sz w:val="22"/>
            </w:rPr>
          </w:pPr>
        </w:p>
      </w:tc>
      <w:tc>
        <w:tcPr>
          <w:tcW w:w="283" w:type="dxa"/>
          <w:vAlign w:val="center"/>
        </w:tcPr>
        <w:p w14:paraId="00F4AE34" w14:textId="77777777" w:rsidR="00743BAC" w:rsidRDefault="00743BAC" w:rsidP="00D34B3E">
          <w:pPr>
            <w:pStyle w:val="Hlavika"/>
            <w:tabs>
              <w:tab w:val="clear" w:pos="4536"/>
              <w:tab w:val="center" w:pos="4253"/>
              <w:tab w:val="right" w:pos="9214"/>
            </w:tabs>
            <w:jc w:val="center"/>
            <w:rPr>
              <w:sz w:val="22"/>
            </w:rPr>
          </w:pPr>
        </w:p>
      </w:tc>
      <w:tc>
        <w:tcPr>
          <w:tcW w:w="284" w:type="dxa"/>
          <w:vAlign w:val="center"/>
        </w:tcPr>
        <w:p w14:paraId="00F4AE35" w14:textId="77777777" w:rsidR="00743BAC" w:rsidRDefault="00743BAC" w:rsidP="00D34B3E">
          <w:pPr>
            <w:pStyle w:val="Hlavika"/>
            <w:tabs>
              <w:tab w:val="clear" w:pos="4536"/>
              <w:tab w:val="center" w:pos="4253"/>
              <w:tab w:val="right" w:pos="9214"/>
            </w:tabs>
            <w:jc w:val="center"/>
            <w:rPr>
              <w:sz w:val="22"/>
            </w:rPr>
          </w:pPr>
        </w:p>
      </w:tc>
      <w:tc>
        <w:tcPr>
          <w:tcW w:w="283" w:type="dxa"/>
          <w:vAlign w:val="center"/>
        </w:tcPr>
        <w:p w14:paraId="00F4AE36" w14:textId="77777777" w:rsidR="00743BAC" w:rsidRDefault="00743BAC" w:rsidP="00D34B3E">
          <w:pPr>
            <w:pStyle w:val="Hlavika"/>
            <w:tabs>
              <w:tab w:val="clear" w:pos="4536"/>
              <w:tab w:val="center" w:pos="4253"/>
              <w:tab w:val="right" w:pos="9214"/>
            </w:tabs>
            <w:jc w:val="center"/>
            <w:rPr>
              <w:sz w:val="22"/>
            </w:rPr>
          </w:pPr>
        </w:p>
      </w:tc>
      <w:tc>
        <w:tcPr>
          <w:tcW w:w="284" w:type="dxa"/>
          <w:vAlign w:val="center"/>
        </w:tcPr>
        <w:p w14:paraId="00F4AE37" w14:textId="77777777" w:rsidR="00743BAC" w:rsidRDefault="00743BAC" w:rsidP="00D34B3E">
          <w:pPr>
            <w:pStyle w:val="Hlavika"/>
            <w:tabs>
              <w:tab w:val="clear" w:pos="4536"/>
              <w:tab w:val="center" w:pos="4253"/>
              <w:tab w:val="right" w:pos="9214"/>
            </w:tabs>
            <w:jc w:val="center"/>
            <w:rPr>
              <w:sz w:val="22"/>
            </w:rPr>
          </w:pPr>
        </w:p>
      </w:tc>
      <w:tc>
        <w:tcPr>
          <w:tcW w:w="283" w:type="dxa"/>
          <w:vAlign w:val="center"/>
        </w:tcPr>
        <w:p w14:paraId="00F4AE38" w14:textId="77777777" w:rsidR="00743BAC" w:rsidRDefault="00743BAC" w:rsidP="00D34B3E">
          <w:pPr>
            <w:pStyle w:val="Hlavika"/>
            <w:tabs>
              <w:tab w:val="clear" w:pos="4536"/>
              <w:tab w:val="center" w:pos="4253"/>
              <w:tab w:val="right" w:pos="9214"/>
            </w:tabs>
            <w:jc w:val="center"/>
            <w:rPr>
              <w:sz w:val="22"/>
            </w:rPr>
          </w:pPr>
        </w:p>
      </w:tc>
    </w:tr>
  </w:tbl>
  <w:p w14:paraId="00F4AE3A" w14:textId="77777777" w:rsidR="00743BAC" w:rsidRPr="00E95128" w:rsidRDefault="00743BAC" w:rsidP="008648B4">
    <w:pPr>
      <w:pStyle w:val="Hlavika"/>
      <w:tabs>
        <w:tab w:val="clear" w:pos="4536"/>
        <w:tab w:val="center" w:pos="4253"/>
        <w:tab w:val="right" w:pos="9214"/>
      </w:tabs>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BE61C3"/>
    <w:multiLevelType w:val="singleLevel"/>
    <w:tmpl w:val="E6BC554C"/>
    <w:lvl w:ilvl="0">
      <w:start w:val="1"/>
      <w:numFmt w:val="decimal"/>
      <w:pStyle w:val="Nadpis2"/>
      <w:lvlText w:val="%1."/>
      <w:lvlJc w:val="left"/>
      <w:pPr>
        <w:tabs>
          <w:tab w:val="num" w:pos="360"/>
        </w:tabs>
        <w:ind w:left="360" w:hanging="360"/>
      </w:pPr>
      <w:rPr>
        <w:rFonts w:cs="Times New Roman" w:hint="default"/>
      </w:rPr>
    </w:lvl>
  </w:abstractNum>
  <w:abstractNum w:abstractNumId="1" w15:restartNumberingAfterBreak="0">
    <w:nsid w:val="47CF0601"/>
    <w:multiLevelType w:val="hybridMultilevel"/>
    <w:tmpl w:val="14928E1A"/>
    <w:lvl w:ilvl="0" w:tplc="6BF64930">
      <w:numFmt w:val="bullet"/>
      <w:lvlText w:val="-"/>
      <w:lvlJc w:val="left"/>
      <w:pPr>
        <w:ind w:left="786" w:hanging="360"/>
      </w:pPr>
      <w:rPr>
        <w:rFonts w:ascii="Times New Roman" w:eastAsia="Times New Roman" w:hAnsi="Times New Roman" w:cs="Times New Roman"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2" w15:restartNumberingAfterBreak="0">
    <w:nsid w:val="67586817"/>
    <w:multiLevelType w:val="hybridMultilevel"/>
    <w:tmpl w:val="32D0E19E"/>
    <w:lvl w:ilvl="0" w:tplc="FFFFFFFF">
      <w:start w:val="1"/>
      <w:numFmt w:val="bullet"/>
      <w:lvlText w:val="-"/>
      <w:lvlJc w:val="left"/>
      <w:pPr>
        <w:ind w:left="720" w:hanging="360"/>
      </w:p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73473C13"/>
    <w:multiLevelType w:val="singleLevel"/>
    <w:tmpl w:val="041B0013"/>
    <w:lvl w:ilvl="0">
      <w:start w:val="1"/>
      <w:numFmt w:val="upperRoman"/>
      <w:lvlText w:val="%1."/>
      <w:lvlJc w:val="right"/>
      <w:pPr>
        <w:ind w:left="644" w:hanging="360"/>
      </w:pPr>
      <w:rPr>
        <w:rFonts w:hint="default"/>
      </w:rPr>
    </w:lvl>
  </w:abstractNum>
  <w:abstractNum w:abstractNumId="4" w15:restartNumberingAfterBreak="0">
    <w:nsid w:val="78CD316A"/>
    <w:multiLevelType w:val="singleLevel"/>
    <w:tmpl w:val="041B000F"/>
    <w:lvl w:ilvl="0">
      <w:start w:val="1"/>
      <w:numFmt w:val="decimal"/>
      <w:lvlText w:val="%1."/>
      <w:lvlJc w:val="left"/>
      <w:pPr>
        <w:ind w:left="360" w:hanging="360"/>
      </w:pPr>
      <w:rPr>
        <w:rFonts w:hint="default"/>
      </w:rPr>
    </w:lvl>
  </w:abstractNum>
  <w:abstractNum w:abstractNumId="5" w15:restartNumberingAfterBreak="0">
    <w:nsid w:val="7BF00A7E"/>
    <w:multiLevelType w:val="singleLevel"/>
    <w:tmpl w:val="041B000F"/>
    <w:lvl w:ilvl="0">
      <w:start w:val="1"/>
      <w:numFmt w:val="decimal"/>
      <w:lvlText w:val="%1."/>
      <w:lvlJc w:val="left"/>
      <w:pPr>
        <w:ind w:left="360" w:hanging="360"/>
      </w:pPr>
      <w:rPr>
        <w:rFonts w:hint="default"/>
      </w:rPr>
    </w:lvl>
  </w:abstractNum>
  <w:num w:numId="1">
    <w:abstractNumId w:val="3"/>
  </w:num>
  <w:num w:numId="2">
    <w:abstractNumId w:val="0"/>
  </w:num>
  <w:num w:numId="3">
    <w:abstractNumId w:val="4"/>
  </w:num>
  <w:num w:numId="4">
    <w:abstractNumId w:val="0"/>
  </w:num>
  <w:num w:numId="5">
    <w:abstractNumId w:val="0"/>
    <w:lvlOverride w:ilvl="0">
      <w:startOverride w:val="1"/>
    </w:lvlOverride>
  </w:num>
  <w:num w:numId="6">
    <w:abstractNumId w:val="0"/>
    <w:lvlOverride w:ilvl="0">
      <w:startOverride w:val="1"/>
    </w:lvlOverride>
  </w:num>
  <w:num w:numId="7">
    <w:abstractNumId w:val="0"/>
    <w:lvlOverride w:ilvl="0">
      <w:startOverride w:val="1"/>
    </w:lvlOverride>
  </w:num>
  <w:num w:numId="8">
    <w:abstractNumId w:val="0"/>
    <w:lvlOverride w:ilvl="0">
      <w:startOverride w:val="1"/>
    </w:lvlOverride>
  </w:num>
  <w:num w:numId="9">
    <w:abstractNumId w:val="0"/>
    <w:lvlOverride w:ilvl="0">
      <w:startOverride w:val="1"/>
    </w:lvlOverride>
  </w:num>
  <w:num w:numId="10">
    <w:abstractNumId w:val="0"/>
    <w:lvlOverride w:ilvl="0">
      <w:startOverride w:val="2"/>
    </w:lvlOverride>
  </w:num>
  <w:num w:numId="11">
    <w:abstractNumId w:val="2"/>
  </w:num>
  <w:num w:numId="12">
    <w:abstractNumId w:val="3"/>
    <w:lvlOverride w:ilvl="0">
      <w:startOverride w:val="3"/>
    </w:lvlOverride>
  </w:num>
  <w:num w:numId="13">
    <w:abstractNumId w:val="3"/>
    <w:lvlOverride w:ilvl="0">
      <w:startOverride w:val="6"/>
    </w:lvlOverride>
  </w:num>
  <w:num w:numId="14">
    <w:abstractNumId w:val="3"/>
    <w:lvlOverride w:ilvl="0">
      <w:startOverride w:val="9"/>
    </w:lvlOverride>
  </w:num>
  <w:num w:numId="15">
    <w:abstractNumId w:val="3"/>
    <w:lvlOverride w:ilvl="0">
      <w:startOverride w:val="15"/>
    </w:lvlOverride>
  </w:num>
  <w:num w:numId="16">
    <w:abstractNumId w:val="1"/>
  </w:num>
  <w:num w:numId="17">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drawingGridHorizontalSpacing w:val="100"/>
  <w:displayHorizontalDrawingGridEvery w:val="2"/>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128"/>
    <w:rsid w:val="00000EBD"/>
    <w:rsid w:val="0000290B"/>
    <w:rsid w:val="00002921"/>
    <w:rsid w:val="00003C63"/>
    <w:rsid w:val="000040F5"/>
    <w:rsid w:val="00004F99"/>
    <w:rsid w:val="00006F02"/>
    <w:rsid w:val="00010822"/>
    <w:rsid w:val="00010C2A"/>
    <w:rsid w:val="000172DD"/>
    <w:rsid w:val="00017791"/>
    <w:rsid w:val="00025561"/>
    <w:rsid w:val="000324E1"/>
    <w:rsid w:val="000331E6"/>
    <w:rsid w:val="000338A2"/>
    <w:rsid w:val="0003793C"/>
    <w:rsid w:val="000422E9"/>
    <w:rsid w:val="000425A6"/>
    <w:rsid w:val="00042817"/>
    <w:rsid w:val="00042A09"/>
    <w:rsid w:val="00043393"/>
    <w:rsid w:val="00045A17"/>
    <w:rsid w:val="000470EC"/>
    <w:rsid w:val="000517AC"/>
    <w:rsid w:val="00052495"/>
    <w:rsid w:val="00052B4D"/>
    <w:rsid w:val="00054859"/>
    <w:rsid w:val="00062334"/>
    <w:rsid w:val="00062DCD"/>
    <w:rsid w:val="000658BA"/>
    <w:rsid w:val="00067E22"/>
    <w:rsid w:val="0007097A"/>
    <w:rsid w:val="00073853"/>
    <w:rsid w:val="000738DF"/>
    <w:rsid w:val="000739AC"/>
    <w:rsid w:val="00075B41"/>
    <w:rsid w:val="00076486"/>
    <w:rsid w:val="00077153"/>
    <w:rsid w:val="000812CD"/>
    <w:rsid w:val="00082DB2"/>
    <w:rsid w:val="000834D7"/>
    <w:rsid w:val="0008425B"/>
    <w:rsid w:val="00085012"/>
    <w:rsid w:val="00085A3A"/>
    <w:rsid w:val="00086A82"/>
    <w:rsid w:val="00092C39"/>
    <w:rsid w:val="00093CC4"/>
    <w:rsid w:val="00093E41"/>
    <w:rsid w:val="00095A95"/>
    <w:rsid w:val="000965D0"/>
    <w:rsid w:val="000A1BBA"/>
    <w:rsid w:val="000A246E"/>
    <w:rsid w:val="000A3BBB"/>
    <w:rsid w:val="000A4ACF"/>
    <w:rsid w:val="000A5AA5"/>
    <w:rsid w:val="000A6FBA"/>
    <w:rsid w:val="000B4629"/>
    <w:rsid w:val="000B6195"/>
    <w:rsid w:val="000B7957"/>
    <w:rsid w:val="000C17C3"/>
    <w:rsid w:val="000C2022"/>
    <w:rsid w:val="000C2309"/>
    <w:rsid w:val="000C2D66"/>
    <w:rsid w:val="000C2E5F"/>
    <w:rsid w:val="000C3422"/>
    <w:rsid w:val="000C68B3"/>
    <w:rsid w:val="000D22FF"/>
    <w:rsid w:val="000D479C"/>
    <w:rsid w:val="000D4824"/>
    <w:rsid w:val="000E4B8D"/>
    <w:rsid w:val="000E4D12"/>
    <w:rsid w:val="000E6FA7"/>
    <w:rsid w:val="000F038C"/>
    <w:rsid w:val="000F0A6B"/>
    <w:rsid w:val="000F1306"/>
    <w:rsid w:val="000F27A2"/>
    <w:rsid w:val="000F40C4"/>
    <w:rsid w:val="000F5666"/>
    <w:rsid w:val="000F66C2"/>
    <w:rsid w:val="00102C1A"/>
    <w:rsid w:val="00103B71"/>
    <w:rsid w:val="00104E7E"/>
    <w:rsid w:val="00107FAD"/>
    <w:rsid w:val="0011133F"/>
    <w:rsid w:val="00111DFD"/>
    <w:rsid w:val="00113259"/>
    <w:rsid w:val="001139DB"/>
    <w:rsid w:val="00116DD8"/>
    <w:rsid w:val="001176F5"/>
    <w:rsid w:val="00117C0F"/>
    <w:rsid w:val="00120034"/>
    <w:rsid w:val="00120F3A"/>
    <w:rsid w:val="0012205A"/>
    <w:rsid w:val="00122E14"/>
    <w:rsid w:val="00122FD4"/>
    <w:rsid w:val="00125E19"/>
    <w:rsid w:val="00126CAA"/>
    <w:rsid w:val="00126EB9"/>
    <w:rsid w:val="00127D9C"/>
    <w:rsid w:val="0013160B"/>
    <w:rsid w:val="00134145"/>
    <w:rsid w:val="00134FB7"/>
    <w:rsid w:val="00135187"/>
    <w:rsid w:val="00136273"/>
    <w:rsid w:val="00136A4A"/>
    <w:rsid w:val="0013788A"/>
    <w:rsid w:val="00141691"/>
    <w:rsid w:val="00141832"/>
    <w:rsid w:val="00142529"/>
    <w:rsid w:val="00142DDE"/>
    <w:rsid w:val="001438AC"/>
    <w:rsid w:val="0014486E"/>
    <w:rsid w:val="00146904"/>
    <w:rsid w:val="00147FB3"/>
    <w:rsid w:val="0015039D"/>
    <w:rsid w:val="00150D3F"/>
    <w:rsid w:val="00151067"/>
    <w:rsid w:val="0015114A"/>
    <w:rsid w:val="00152DFF"/>
    <w:rsid w:val="00153603"/>
    <w:rsid w:val="00156231"/>
    <w:rsid w:val="0015674B"/>
    <w:rsid w:val="00156885"/>
    <w:rsid w:val="00160AAA"/>
    <w:rsid w:val="001612EC"/>
    <w:rsid w:val="00163B7A"/>
    <w:rsid w:val="00166FA8"/>
    <w:rsid w:val="001712A8"/>
    <w:rsid w:val="0017194C"/>
    <w:rsid w:val="0017267A"/>
    <w:rsid w:val="00172D44"/>
    <w:rsid w:val="001733C5"/>
    <w:rsid w:val="0017651F"/>
    <w:rsid w:val="00177051"/>
    <w:rsid w:val="00177897"/>
    <w:rsid w:val="00177BCA"/>
    <w:rsid w:val="00177C59"/>
    <w:rsid w:val="001824D2"/>
    <w:rsid w:val="001837C4"/>
    <w:rsid w:val="001844A9"/>
    <w:rsid w:val="00184E52"/>
    <w:rsid w:val="00193EE6"/>
    <w:rsid w:val="00194A39"/>
    <w:rsid w:val="001A14AF"/>
    <w:rsid w:val="001A1C39"/>
    <w:rsid w:val="001A4937"/>
    <w:rsid w:val="001A4977"/>
    <w:rsid w:val="001A566C"/>
    <w:rsid w:val="001A5F9F"/>
    <w:rsid w:val="001A6CC5"/>
    <w:rsid w:val="001A7CD7"/>
    <w:rsid w:val="001B5156"/>
    <w:rsid w:val="001B5855"/>
    <w:rsid w:val="001C0A6A"/>
    <w:rsid w:val="001C6938"/>
    <w:rsid w:val="001D06F0"/>
    <w:rsid w:val="001D181E"/>
    <w:rsid w:val="001D3160"/>
    <w:rsid w:val="001D3DCB"/>
    <w:rsid w:val="001D4E8A"/>
    <w:rsid w:val="001D507C"/>
    <w:rsid w:val="001D5F78"/>
    <w:rsid w:val="001D605C"/>
    <w:rsid w:val="001E03E6"/>
    <w:rsid w:val="001E1815"/>
    <w:rsid w:val="001E27A6"/>
    <w:rsid w:val="001E3EC9"/>
    <w:rsid w:val="001E4714"/>
    <w:rsid w:val="001E6A82"/>
    <w:rsid w:val="001E7DAF"/>
    <w:rsid w:val="001F0648"/>
    <w:rsid w:val="001F338B"/>
    <w:rsid w:val="001F340D"/>
    <w:rsid w:val="001F4E5F"/>
    <w:rsid w:val="00204925"/>
    <w:rsid w:val="00205631"/>
    <w:rsid w:val="00205E14"/>
    <w:rsid w:val="002074F0"/>
    <w:rsid w:val="002112DA"/>
    <w:rsid w:val="0021293B"/>
    <w:rsid w:val="002130D8"/>
    <w:rsid w:val="00214198"/>
    <w:rsid w:val="00214924"/>
    <w:rsid w:val="0021533B"/>
    <w:rsid w:val="00216E9E"/>
    <w:rsid w:val="0021757D"/>
    <w:rsid w:val="00221F76"/>
    <w:rsid w:val="00223446"/>
    <w:rsid w:val="00225398"/>
    <w:rsid w:val="0023026F"/>
    <w:rsid w:val="002303A4"/>
    <w:rsid w:val="002304B6"/>
    <w:rsid w:val="002311B6"/>
    <w:rsid w:val="00232D0A"/>
    <w:rsid w:val="0023562B"/>
    <w:rsid w:val="00236308"/>
    <w:rsid w:val="00237825"/>
    <w:rsid w:val="002414BC"/>
    <w:rsid w:val="002418D5"/>
    <w:rsid w:val="00243B5A"/>
    <w:rsid w:val="0024584A"/>
    <w:rsid w:val="00245B3F"/>
    <w:rsid w:val="00246542"/>
    <w:rsid w:val="002513D6"/>
    <w:rsid w:val="00251BF2"/>
    <w:rsid w:val="00254418"/>
    <w:rsid w:val="0025662A"/>
    <w:rsid w:val="0025698E"/>
    <w:rsid w:val="002609BB"/>
    <w:rsid w:val="00260C4C"/>
    <w:rsid w:val="00262CD4"/>
    <w:rsid w:val="00262E33"/>
    <w:rsid w:val="00271316"/>
    <w:rsid w:val="002724ED"/>
    <w:rsid w:val="0027298D"/>
    <w:rsid w:val="002761B2"/>
    <w:rsid w:val="00280D5B"/>
    <w:rsid w:val="00283139"/>
    <w:rsid w:val="002861DB"/>
    <w:rsid w:val="00286A3D"/>
    <w:rsid w:val="00286D2A"/>
    <w:rsid w:val="00290A84"/>
    <w:rsid w:val="00290F83"/>
    <w:rsid w:val="00294BAE"/>
    <w:rsid w:val="002977CC"/>
    <w:rsid w:val="002A264B"/>
    <w:rsid w:val="002A338E"/>
    <w:rsid w:val="002A597C"/>
    <w:rsid w:val="002A6673"/>
    <w:rsid w:val="002A7CDF"/>
    <w:rsid w:val="002B0FE5"/>
    <w:rsid w:val="002B2E36"/>
    <w:rsid w:val="002B4000"/>
    <w:rsid w:val="002B4A67"/>
    <w:rsid w:val="002B6120"/>
    <w:rsid w:val="002C191C"/>
    <w:rsid w:val="002C1FED"/>
    <w:rsid w:val="002C341E"/>
    <w:rsid w:val="002C36AA"/>
    <w:rsid w:val="002C4BC0"/>
    <w:rsid w:val="002C59EE"/>
    <w:rsid w:val="002D4AEE"/>
    <w:rsid w:val="002D535C"/>
    <w:rsid w:val="002D69FB"/>
    <w:rsid w:val="002D79A9"/>
    <w:rsid w:val="002E0DE7"/>
    <w:rsid w:val="002E0E7B"/>
    <w:rsid w:val="002E31E7"/>
    <w:rsid w:val="002E35FC"/>
    <w:rsid w:val="002F033C"/>
    <w:rsid w:val="002F05C7"/>
    <w:rsid w:val="002F2C69"/>
    <w:rsid w:val="002F3429"/>
    <w:rsid w:val="002F3C09"/>
    <w:rsid w:val="002F5513"/>
    <w:rsid w:val="002F626C"/>
    <w:rsid w:val="002F770F"/>
    <w:rsid w:val="00301031"/>
    <w:rsid w:val="00301C73"/>
    <w:rsid w:val="00302B7A"/>
    <w:rsid w:val="00307540"/>
    <w:rsid w:val="003147AA"/>
    <w:rsid w:val="003226A5"/>
    <w:rsid w:val="00331FD6"/>
    <w:rsid w:val="00332136"/>
    <w:rsid w:val="00334301"/>
    <w:rsid w:val="00335C04"/>
    <w:rsid w:val="00340CB1"/>
    <w:rsid w:val="0034119B"/>
    <w:rsid w:val="00342E08"/>
    <w:rsid w:val="003434C5"/>
    <w:rsid w:val="00345D2D"/>
    <w:rsid w:val="00352453"/>
    <w:rsid w:val="00354B2F"/>
    <w:rsid w:val="00357CBA"/>
    <w:rsid w:val="00361248"/>
    <w:rsid w:val="003642CE"/>
    <w:rsid w:val="0036502B"/>
    <w:rsid w:val="003654E8"/>
    <w:rsid w:val="00367A6E"/>
    <w:rsid w:val="00370F56"/>
    <w:rsid w:val="00373215"/>
    <w:rsid w:val="00374CFA"/>
    <w:rsid w:val="00375AB4"/>
    <w:rsid w:val="003762B9"/>
    <w:rsid w:val="003846B1"/>
    <w:rsid w:val="0039097A"/>
    <w:rsid w:val="003911FC"/>
    <w:rsid w:val="003A0F96"/>
    <w:rsid w:val="003A1A88"/>
    <w:rsid w:val="003A2AE6"/>
    <w:rsid w:val="003A4862"/>
    <w:rsid w:val="003A5476"/>
    <w:rsid w:val="003A6049"/>
    <w:rsid w:val="003A6371"/>
    <w:rsid w:val="003B03F8"/>
    <w:rsid w:val="003B1FF2"/>
    <w:rsid w:val="003B2948"/>
    <w:rsid w:val="003B2A5D"/>
    <w:rsid w:val="003B591C"/>
    <w:rsid w:val="003B762E"/>
    <w:rsid w:val="003B7C90"/>
    <w:rsid w:val="003C0DE9"/>
    <w:rsid w:val="003C233B"/>
    <w:rsid w:val="003C3FDF"/>
    <w:rsid w:val="003C4B78"/>
    <w:rsid w:val="003C6B7B"/>
    <w:rsid w:val="003D140B"/>
    <w:rsid w:val="003D2067"/>
    <w:rsid w:val="003D5127"/>
    <w:rsid w:val="003D5784"/>
    <w:rsid w:val="003E0FA2"/>
    <w:rsid w:val="003E149A"/>
    <w:rsid w:val="003E1D5F"/>
    <w:rsid w:val="003E25DD"/>
    <w:rsid w:val="003E4261"/>
    <w:rsid w:val="003F28D5"/>
    <w:rsid w:val="003F4C92"/>
    <w:rsid w:val="003F7ADD"/>
    <w:rsid w:val="004007CA"/>
    <w:rsid w:val="00401912"/>
    <w:rsid w:val="00401F9E"/>
    <w:rsid w:val="004027CF"/>
    <w:rsid w:val="00403FF5"/>
    <w:rsid w:val="0040614D"/>
    <w:rsid w:val="00407243"/>
    <w:rsid w:val="004108AD"/>
    <w:rsid w:val="00411D88"/>
    <w:rsid w:val="004145EE"/>
    <w:rsid w:val="00416A0F"/>
    <w:rsid w:val="00420D87"/>
    <w:rsid w:val="00423AFA"/>
    <w:rsid w:val="00424C34"/>
    <w:rsid w:val="004262D7"/>
    <w:rsid w:val="00426669"/>
    <w:rsid w:val="00430148"/>
    <w:rsid w:val="004313A2"/>
    <w:rsid w:val="004317F0"/>
    <w:rsid w:val="00432AE6"/>
    <w:rsid w:val="004330B3"/>
    <w:rsid w:val="00435C31"/>
    <w:rsid w:val="0043618D"/>
    <w:rsid w:val="00436388"/>
    <w:rsid w:val="004401E3"/>
    <w:rsid w:val="004409F5"/>
    <w:rsid w:val="00442157"/>
    <w:rsid w:val="004430B4"/>
    <w:rsid w:val="00444033"/>
    <w:rsid w:val="00446423"/>
    <w:rsid w:val="004465CA"/>
    <w:rsid w:val="0044737A"/>
    <w:rsid w:val="004508CD"/>
    <w:rsid w:val="00452C96"/>
    <w:rsid w:val="0045465E"/>
    <w:rsid w:val="0046024D"/>
    <w:rsid w:val="00460337"/>
    <w:rsid w:val="00460A08"/>
    <w:rsid w:val="0046138C"/>
    <w:rsid w:val="00461D2D"/>
    <w:rsid w:val="00462D57"/>
    <w:rsid w:val="00464F45"/>
    <w:rsid w:val="00483A16"/>
    <w:rsid w:val="00485C1F"/>
    <w:rsid w:val="00490ED4"/>
    <w:rsid w:val="00491AF0"/>
    <w:rsid w:val="00491C69"/>
    <w:rsid w:val="00494B7D"/>
    <w:rsid w:val="00496A4E"/>
    <w:rsid w:val="00497423"/>
    <w:rsid w:val="004A045E"/>
    <w:rsid w:val="004A085B"/>
    <w:rsid w:val="004A4D80"/>
    <w:rsid w:val="004A591E"/>
    <w:rsid w:val="004A5E5B"/>
    <w:rsid w:val="004A64A5"/>
    <w:rsid w:val="004A6C40"/>
    <w:rsid w:val="004B0930"/>
    <w:rsid w:val="004B0BBB"/>
    <w:rsid w:val="004B0F19"/>
    <w:rsid w:val="004B1B38"/>
    <w:rsid w:val="004B233F"/>
    <w:rsid w:val="004B2651"/>
    <w:rsid w:val="004B3FDA"/>
    <w:rsid w:val="004B4663"/>
    <w:rsid w:val="004B4940"/>
    <w:rsid w:val="004B599A"/>
    <w:rsid w:val="004B69E1"/>
    <w:rsid w:val="004C0B85"/>
    <w:rsid w:val="004C0D06"/>
    <w:rsid w:val="004C154B"/>
    <w:rsid w:val="004C1C27"/>
    <w:rsid w:val="004C321F"/>
    <w:rsid w:val="004C540D"/>
    <w:rsid w:val="004C587E"/>
    <w:rsid w:val="004D1815"/>
    <w:rsid w:val="004D25F3"/>
    <w:rsid w:val="004D3B14"/>
    <w:rsid w:val="004D3B4A"/>
    <w:rsid w:val="004D68AC"/>
    <w:rsid w:val="004E0168"/>
    <w:rsid w:val="004E0BAA"/>
    <w:rsid w:val="004E0C8C"/>
    <w:rsid w:val="004E7FC9"/>
    <w:rsid w:val="004F1F45"/>
    <w:rsid w:val="004F3DD3"/>
    <w:rsid w:val="004F78BE"/>
    <w:rsid w:val="00500B7D"/>
    <w:rsid w:val="00503C90"/>
    <w:rsid w:val="00506E0F"/>
    <w:rsid w:val="00507B8B"/>
    <w:rsid w:val="00507CB4"/>
    <w:rsid w:val="005131C0"/>
    <w:rsid w:val="005138B1"/>
    <w:rsid w:val="00515879"/>
    <w:rsid w:val="005213F9"/>
    <w:rsid w:val="00522617"/>
    <w:rsid w:val="005245CA"/>
    <w:rsid w:val="00530F38"/>
    <w:rsid w:val="0054025F"/>
    <w:rsid w:val="00540718"/>
    <w:rsid w:val="00540852"/>
    <w:rsid w:val="00541789"/>
    <w:rsid w:val="00542006"/>
    <w:rsid w:val="005422A4"/>
    <w:rsid w:val="0054259E"/>
    <w:rsid w:val="005450B9"/>
    <w:rsid w:val="00545B77"/>
    <w:rsid w:val="00546BD3"/>
    <w:rsid w:val="0054786F"/>
    <w:rsid w:val="0055329C"/>
    <w:rsid w:val="00553566"/>
    <w:rsid w:val="00553AFB"/>
    <w:rsid w:val="00564B72"/>
    <w:rsid w:val="00565ABC"/>
    <w:rsid w:val="00566389"/>
    <w:rsid w:val="00567765"/>
    <w:rsid w:val="00571627"/>
    <w:rsid w:val="0057382A"/>
    <w:rsid w:val="00574527"/>
    <w:rsid w:val="0057480F"/>
    <w:rsid w:val="005826E3"/>
    <w:rsid w:val="0058479C"/>
    <w:rsid w:val="005852DC"/>
    <w:rsid w:val="005918F5"/>
    <w:rsid w:val="00592616"/>
    <w:rsid w:val="00592B74"/>
    <w:rsid w:val="00594529"/>
    <w:rsid w:val="005A11B4"/>
    <w:rsid w:val="005A2556"/>
    <w:rsid w:val="005A25EA"/>
    <w:rsid w:val="005A38F9"/>
    <w:rsid w:val="005A5552"/>
    <w:rsid w:val="005A76F0"/>
    <w:rsid w:val="005A7FDD"/>
    <w:rsid w:val="005B3059"/>
    <w:rsid w:val="005B316E"/>
    <w:rsid w:val="005B4970"/>
    <w:rsid w:val="005B508D"/>
    <w:rsid w:val="005B70DE"/>
    <w:rsid w:val="005C50FC"/>
    <w:rsid w:val="005C6657"/>
    <w:rsid w:val="005C7637"/>
    <w:rsid w:val="005D25E4"/>
    <w:rsid w:val="005D26A6"/>
    <w:rsid w:val="005D2A89"/>
    <w:rsid w:val="005D330E"/>
    <w:rsid w:val="005D4842"/>
    <w:rsid w:val="005D614C"/>
    <w:rsid w:val="005E020D"/>
    <w:rsid w:val="005E042A"/>
    <w:rsid w:val="005E07C9"/>
    <w:rsid w:val="005E09B4"/>
    <w:rsid w:val="005E0DD6"/>
    <w:rsid w:val="005E22BB"/>
    <w:rsid w:val="005E3ACC"/>
    <w:rsid w:val="005E4178"/>
    <w:rsid w:val="005E7AC3"/>
    <w:rsid w:val="005F0BED"/>
    <w:rsid w:val="005F2BC8"/>
    <w:rsid w:val="005F54A3"/>
    <w:rsid w:val="005F5D4F"/>
    <w:rsid w:val="005F6E8B"/>
    <w:rsid w:val="005F6EE4"/>
    <w:rsid w:val="005F7FDE"/>
    <w:rsid w:val="00600330"/>
    <w:rsid w:val="0060236A"/>
    <w:rsid w:val="0060256B"/>
    <w:rsid w:val="00603EFB"/>
    <w:rsid w:val="00605372"/>
    <w:rsid w:val="006063E8"/>
    <w:rsid w:val="006069D3"/>
    <w:rsid w:val="0060790D"/>
    <w:rsid w:val="00611027"/>
    <w:rsid w:val="006261D1"/>
    <w:rsid w:val="00627B6C"/>
    <w:rsid w:val="00630386"/>
    <w:rsid w:val="00632FB0"/>
    <w:rsid w:val="006339DC"/>
    <w:rsid w:val="00637D68"/>
    <w:rsid w:val="00641554"/>
    <w:rsid w:val="00642387"/>
    <w:rsid w:val="00644449"/>
    <w:rsid w:val="0064520D"/>
    <w:rsid w:val="006470D0"/>
    <w:rsid w:val="00647862"/>
    <w:rsid w:val="00650498"/>
    <w:rsid w:val="006510AA"/>
    <w:rsid w:val="00651689"/>
    <w:rsid w:val="00651C5D"/>
    <w:rsid w:val="00656AD7"/>
    <w:rsid w:val="006575EA"/>
    <w:rsid w:val="0066152D"/>
    <w:rsid w:val="00662C25"/>
    <w:rsid w:val="0066346C"/>
    <w:rsid w:val="00663D17"/>
    <w:rsid w:val="00663DFD"/>
    <w:rsid w:val="0066618F"/>
    <w:rsid w:val="00671BB4"/>
    <w:rsid w:val="00674FDB"/>
    <w:rsid w:val="006750FE"/>
    <w:rsid w:val="00676CB7"/>
    <w:rsid w:val="00676D74"/>
    <w:rsid w:val="0068537D"/>
    <w:rsid w:val="00694931"/>
    <w:rsid w:val="006957CC"/>
    <w:rsid w:val="00696C90"/>
    <w:rsid w:val="00697F7C"/>
    <w:rsid w:val="006A3C75"/>
    <w:rsid w:val="006A5D9C"/>
    <w:rsid w:val="006A737C"/>
    <w:rsid w:val="006B2D3C"/>
    <w:rsid w:val="006B3E8C"/>
    <w:rsid w:val="006B5FCC"/>
    <w:rsid w:val="006B74EA"/>
    <w:rsid w:val="006C0296"/>
    <w:rsid w:val="006C0F4D"/>
    <w:rsid w:val="006C27AA"/>
    <w:rsid w:val="006C3FDF"/>
    <w:rsid w:val="006C7E90"/>
    <w:rsid w:val="006D0D95"/>
    <w:rsid w:val="006D36EA"/>
    <w:rsid w:val="006D3989"/>
    <w:rsid w:val="006D3C83"/>
    <w:rsid w:val="006D3D0B"/>
    <w:rsid w:val="006D4AE5"/>
    <w:rsid w:val="006D7585"/>
    <w:rsid w:val="006E26E5"/>
    <w:rsid w:val="006E36A2"/>
    <w:rsid w:val="006E4804"/>
    <w:rsid w:val="006E554A"/>
    <w:rsid w:val="006E575D"/>
    <w:rsid w:val="006E6B24"/>
    <w:rsid w:val="006E7A01"/>
    <w:rsid w:val="006F056A"/>
    <w:rsid w:val="006F2860"/>
    <w:rsid w:val="006F28DA"/>
    <w:rsid w:val="006F2B34"/>
    <w:rsid w:val="006F53C7"/>
    <w:rsid w:val="006F5D26"/>
    <w:rsid w:val="006F7B65"/>
    <w:rsid w:val="007019A7"/>
    <w:rsid w:val="00701F03"/>
    <w:rsid w:val="00703344"/>
    <w:rsid w:val="00703D6F"/>
    <w:rsid w:val="00705108"/>
    <w:rsid w:val="007118E1"/>
    <w:rsid w:val="00714597"/>
    <w:rsid w:val="0072695D"/>
    <w:rsid w:val="00726991"/>
    <w:rsid w:val="00726DDA"/>
    <w:rsid w:val="0073065F"/>
    <w:rsid w:val="00732CCB"/>
    <w:rsid w:val="007336EE"/>
    <w:rsid w:val="00734BF4"/>
    <w:rsid w:val="00741092"/>
    <w:rsid w:val="00742680"/>
    <w:rsid w:val="007432E7"/>
    <w:rsid w:val="007434A2"/>
    <w:rsid w:val="00743BAC"/>
    <w:rsid w:val="00744DA2"/>
    <w:rsid w:val="00746C9E"/>
    <w:rsid w:val="00746F6B"/>
    <w:rsid w:val="00750259"/>
    <w:rsid w:val="00750629"/>
    <w:rsid w:val="007508D8"/>
    <w:rsid w:val="0075139D"/>
    <w:rsid w:val="00751E25"/>
    <w:rsid w:val="00756D0D"/>
    <w:rsid w:val="0076129D"/>
    <w:rsid w:val="007616D8"/>
    <w:rsid w:val="00761D76"/>
    <w:rsid w:val="00761E3B"/>
    <w:rsid w:val="007658EA"/>
    <w:rsid w:val="0077399F"/>
    <w:rsid w:val="00775D22"/>
    <w:rsid w:val="007760BC"/>
    <w:rsid w:val="00777324"/>
    <w:rsid w:val="00781875"/>
    <w:rsid w:val="00783CA6"/>
    <w:rsid w:val="007859A6"/>
    <w:rsid w:val="0078754C"/>
    <w:rsid w:val="007902B7"/>
    <w:rsid w:val="007903B8"/>
    <w:rsid w:val="0079191F"/>
    <w:rsid w:val="00793FFB"/>
    <w:rsid w:val="007A005F"/>
    <w:rsid w:val="007A1781"/>
    <w:rsid w:val="007A1E20"/>
    <w:rsid w:val="007A220B"/>
    <w:rsid w:val="007A491D"/>
    <w:rsid w:val="007B2031"/>
    <w:rsid w:val="007B2E7A"/>
    <w:rsid w:val="007B314C"/>
    <w:rsid w:val="007B396C"/>
    <w:rsid w:val="007B3A69"/>
    <w:rsid w:val="007C00E6"/>
    <w:rsid w:val="007C3B50"/>
    <w:rsid w:val="007C6A37"/>
    <w:rsid w:val="007D3E38"/>
    <w:rsid w:val="007D4590"/>
    <w:rsid w:val="007D6502"/>
    <w:rsid w:val="007D7B37"/>
    <w:rsid w:val="007E04F1"/>
    <w:rsid w:val="007E47FA"/>
    <w:rsid w:val="007E4E9F"/>
    <w:rsid w:val="007E57D5"/>
    <w:rsid w:val="007E594B"/>
    <w:rsid w:val="007F0C3F"/>
    <w:rsid w:val="007F232A"/>
    <w:rsid w:val="007F4606"/>
    <w:rsid w:val="007F4631"/>
    <w:rsid w:val="007F6CF4"/>
    <w:rsid w:val="0080190B"/>
    <w:rsid w:val="00804AFA"/>
    <w:rsid w:val="00805075"/>
    <w:rsid w:val="0080548E"/>
    <w:rsid w:val="00805AB5"/>
    <w:rsid w:val="00806CE9"/>
    <w:rsid w:val="00806EE2"/>
    <w:rsid w:val="008073F8"/>
    <w:rsid w:val="00812AA4"/>
    <w:rsid w:val="00812D28"/>
    <w:rsid w:val="00815894"/>
    <w:rsid w:val="00815A32"/>
    <w:rsid w:val="00816C5F"/>
    <w:rsid w:val="00817165"/>
    <w:rsid w:val="008227D4"/>
    <w:rsid w:val="0082704D"/>
    <w:rsid w:val="0083201C"/>
    <w:rsid w:val="008323FB"/>
    <w:rsid w:val="0083467A"/>
    <w:rsid w:val="00835222"/>
    <w:rsid w:val="008355A6"/>
    <w:rsid w:val="00837B46"/>
    <w:rsid w:val="00844796"/>
    <w:rsid w:val="00845B0F"/>
    <w:rsid w:val="0085044B"/>
    <w:rsid w:val="0085196C"/>
    <w:rsid w:val="008543BA"/>
    <w:rsid w:val="00854DEA"/>
    <w:rsid w:val="0085539F"/>
    <w:rsid w:val="00857145"/>
    <w:rsid w:val="008572DA"/>
    <w:rsid w:val="00857559"/>
    <w:rsid w:val="00861749"/>
    <w:rsid w:val="00863C60"/>
    <w:rsid w:val="008648B4"/>
    <w:rsid w:val="00864CBA"/>
    <w:rsid w:val="0086513F"/>
    <w:rsid w:val="008669C1"/>
    <w:rsid w:val="00867FB4"/>
    <w:rsid w:val="0087053C"/>
    <w:rsid w:val="00870FD1"/>
    <w:rsid w:val="00871463"/>
    <w:rsid w:val="00871D6F"/>
    <w:rsid w:val="00874443"/>
    <w:rsid w:val="0087477C"/>
    <w:rsid w:val="00875528"/>
    <w:rsid w:val="00881EF9"/>
    <w:rsid w:val="00883B1F"/>
    <w:rsid w:val="00885349"/>
    <w:rsid w:val="0088588A"/>
    <w:rsid w:val="0088729A"/>
    <w:rsid w:val="00887301"/>
    <w:rsid w:val="00887683"/>
    <w:rsid w:val="00887C84"/>
    <w:rsid w:val="00891481"/>
    <w:rsid w:val="008925D9"/>
    <w:rsid w:val="00893756"/>
    <w:rsid w:val="0089652C"/>
    <w:rsid w:val="00896DD3"/>
    <w:rsid w:val="008A0EA1"/>
    <w:rsid w:val="008A1C0E"/>
    <w:rsid w:val="008A22AF"/>
    <w:rsid w:val="008A2D79"/>
    <w:rsid w:val="008A4A75"/>
    <w:rsid w:val="008A4F86"/>
    <w:rsid w:val="008A5C84"/>
    <w:rsid w:val="008A6149"/>
    <w:rsid w:val="008A65AC"/>
    <w:rsid w:val="008A6D28"/>
    <w:rsid w:val="008A724F"/>
    <w:rsid w:val="008B1245"/>
    <w:rsid w:val="008B1B50"/>
    <w:rsid w:val="008B206F"/>
    <w:rsid w:val="008B439F"/>
    <w:rsid w:val="008B54F1"/>
    <w:rsid w:val="008B6694"/>
    <w:rsid w:val="008C0838"/>
    <w:rsid w:val="008C19C4"/>
    <w:rsid w:val="008C2ED0"/>
    <w:rsid w:val="008C7812"/>
    <w:rsid w:val="008D0944"/>
    <w:rsid w:val="008D2F11"/>
    <w:rsid w:val="008D347E"/>
    <w:rsid w:val="008D48E9"/>
    <w:rsid w:val="008D4A2B"/>
    <w:rsid w:val="008D4EAD"/>
    <w:rsid w:val="008D5046"/>
    <w:rsid w:val="008D5C0A"/>
    <w:rsid w:val="008D7145"/>
    <w:rsid w:val="008D763E"/>
    <w:rsid w:val="008E04AE"/>
    <w:rsid w:val="008E3DB7"/>
    <w:rsid w:val="008E5275"/>
    <w:rsid w:val="008E68A4"/>
    <w:rsid w:val="008E7463"/>
    <w:rsid w:val="008F0030"/>
    <w:rsid w:val="008F2A36"/>
    <w:rsid w:val="008F49A3"/>
    <w:rsid w:val="008F5559"/>
    <w:rsid w:val="00900696"/>
    <w:rsid w:val="0090078A"/>
    <w:rsid w:val="009068AD"/>
    <w:rsid w:val="0091081D"/>
    <w:rsid w:val="00913B04"/>
    <w:rsid w:val="009145D4"/>
    <w:rsid w:val="00915C15"/>
    <w:rsid w:val="00916A1E"/>
    <w:rsid w:val="009226CD"/>
    <w:rsid w:val="00923139"/>
    <w:rsid w:val="00923813"/>
    <w:rsid w:val="009257EB"/>
    <w:rsid w:val="0093153F"/>
    <w:rsid w:val="00931E37"/>
    <w:rsid w:val="00935FE3"/>
    <w:rsid w:val="00940D06"/>
    <w:rsid w:val="009441EB"/>
    <w:rsid w:val="00944984"/>
    <w:rsid w:val="009458E0"/>
    <w:rsid w:val="0095003F"/>
    <w:rsid w:val="00951A64"/>
    <w:rsid w:val="00953F9F"/>
    <w:rsid w:val="00954399"/>
    <w:rsid w:val="00966BB7"/>
    <w:rsid w:val="00970D96"/>
    <w:rsid w:val="00972988"/>
    <w:rsid w:val="00973324"/>
    <w:rsid w:val="009738C3"/>
    <w:rsid w:val="009743BF"/>
    <w:rsid w:val="009748D7"/>
    <w:rsid w:val="00977B3B"/>
    <w:rsid w:val="0098136C"/>
    <w:rsid w:val="00981A10"/>
    <w:rsid w:val="00984BDE"/>
    <w:rsid w:val="0098537D"/>
    <w:rsid w:val="00985D23"/>
    <w:rsid w:val="0098647C"/>
    <w:rsid w:val="009904D9"/>
    <w:rsid w:val="00991C72"/>
    <w:rsid w:val="00994D41"/>
    <w:rsid w:val="00995B8C"/>
    <w:rsid w:val="00996D2F"/>
    <w:rsid w:val="00996D6A"/>
    <w:rsid w:val="00996FFB"/>
    <w:rsid w:val="009A024D"/>
    <w:rsid w:val="009A1CEB"/>
    <w:rsid w:val="009A22F8"/>
    <w:rsid w:val="009A457C"/>
    <w:rsid w:val="009A57FC"/>
    <w:rsid w:val="009A7168"/>
    <w:rsid w:val="009B2573"/>
    <w:rsid w:val="009B2884"/>
    <w:rsid w:val="009B2D72"/>
    <w:rsid w:val="009B43A6"/>
    <w:rsid w:val="009B46BC"/>
    <w:rsid w:val="009B56FC"/>
    <w:rsid w:val="009B60B7"/>
    <w:rsid w:val="009B7215"/>
    <w:rsid w:val="009B7785"/>
    <w:rsid w:val="009D02E9"/>
    <w:rsid w:val="009D0700"/>
    <w:rsid w:val="009D2ECF"/>
    <w:rsid w:val="009D56BB"/>
    <w:rsid w:val="009E1555"/>
    <w:rsid w:val="009E16EA"/>
    <w:rsid w:val="009E4740"/>
    <w:rsid w:val="009E5E66"/>
    <w:rsid w:val="009E736D"/>
    <w:rsid w:val="009E7CC2"/>
    <w:rsid w:val="009F14F2"/>
    <w:rsid w:val="009F2D9A"/>
    <w:rsid w:val="009F3759"/>
    <w:rsid w:val="009F614A"/>
    <w:rsid w:val="009F630B"/>
    <w:rsid w:val="009F6927"/>
    <w:rsid w:val="00A0137D"/>
    <w:rsid w:val="00A02942"/>
    <w:rsid w:val="00A02F71"/>
    <w:rsid w:val="00A03823"/>
    <w:rsid w:val="00A0389B"/>
    <w:rsid w:val="00A04D47"/>
    <w:rsid w:val="00A05FBA"/>
    <w:rsid w:val="00A07873"/>
    <w:rsid w:val="00A13E99"/>
    <w:rsid w:val="00A2012A"/>
    <w:rsid w:val="00A209D2"/>
    <w:rsid w:val="00A20D49"/>
    <w:rsid w:val="00A20DD0"/>
    <w:rsid w:val="00A21B29"/>
    <w:rsid w:val="00A2269B"/>
    <w:rsid w:val="00A25722"/>
    <w:rsid w:val="00A26359"/>
    <w:rsid w:val="00A26C17"/>
    <w:rsid w:val="00A31DFF"/>
    <w:rsid w:val="00A355CC"/>
    <w:rsid w:val="00A40EFF"/>
    <w:rsid w:val="00A41EC6"/>
    <w:rsid w:val="00A443B1"/>
    <w:rsid w:val="00A453C3"/>
    <w:rsid w:val="00A45660"/>
    <w:rsid w:val="00A45D4C"/>
    <w:rsid w:val="00A4637B"/>
    <w:rsid w:val="00A52311"/>
    <w:rsid w:val="00A5391E"/>
    <w:rsid w:val="00A558FF"/>
    <w:rsid w:val="00A5618F"/>
    <w:rsid w:val="00A56B4E"/>
    <w:rsid w:val="00A61B19"/>
    <w:rsid w:val="00A61FB3"/>
    <w:rsid w:val="00A639F4"/>
    <w:rsid w:val="00A65191"/>
    <w:rsid w:val="00A6527B"/>
    <w:rsid w:val="00A65AED"/>
    <w:rsid w:val="00A70B8E"/>
    <w:rsid w:val="00A7144F"/>
    <w:rsid w:val="00A72805"/>
    <w:rsid w:val="00A73577"/>
    <w:rsid w:val="00A7672A"/>
    <w:rsid w:val="00A76984"/>
    <w:rsid w:val="00A777E1"/>
    <w:rsid w:val="00A8108C"/>
    <w:rsid w:val="00A8551E"/>
    <w:rsid w:val="00A86EC1"/>
    <w:rsid w:val="00A9048F"/>
    <w:rsid w:val="00A91E48"/>
    <w:rsid w:val="00A94356"/>
    <w:rsid w:val="00A947C7"/>
    <w:rsid w:val="00A94FFF"/>
    <w:rsid w:val="00A95312"/>
    <w:rsid w:val="00AA0675"/>
    <w:rsid w:val="00AA08EC"/>
    <w:rsid w:val="00AA0EE4"/>
    <w:rsid w:val="00AA14FA"/>
    <w:rsid w:val="00AA159B"/>
    <w:rsid w:val="00AA2AAB"/>
    <w:rsid w:val="00AA4A34"/>
    <w:rsid w:val="00AA51D1"/>
    <w:rsid w:val="00AA5D23"/>
    <w:rsid w:val="00AA6473"/>
    <w:rsid w:val="00AB3FDB"/>
    <w:rsid w:val="00AB4DFF"/>
    <w:rsid w:val="00AB572C"/>
    <w:rsid w:val="00AB58B6"/>
    <w:rsid w:val="00AB5BA9"/>
    <w:rsid w:val="00AB6B04"/>
    <w:rsid w:val="00AC12B2"/>
    <w:rsid w:val="00AC63EC"/>
    <w:rsid w:val="00AD0575"/>
    <w:rsid w:val="00AD26D8"/>
    <w:rsid w:val="00AD43BD"/>
    <w:rsid w:val="00AD4FCA"/>
    <w:rsid w:val="00AD6758"/>
    <w:rsid w:val="00AD7880"/>
    <w:rsid w:val="00AE0C13"/>
    <w:rsid w:val="00AE4AC7"/>
    <w:rsid w:val="00AE5250"/>
    <w:rsid w:val="00AE5E4B"/>
    <w:rsid w:val="00AF29D2"/>
    <w:rsid w:val="00AF337F"/>
    <w:rsid w:val="00AF4EF4"/>
    <w:rsid w:val="00B02E20"/>
    <w:rsid w:val="00B0309A"/>
    <w:rsid w:val="00B03577"/>
    <w:rsid w:val="00B0368E"/>
    <w:rsid w:val="00B06520"/>
    <w:rsid w:val="00B11DB4"/>
    <w:rsid w:val="00B12204"/>
    <w:rsid w:val="00B12629"/>
    <w:rsid w:val="00B12F56"/>
    <w:rsid w:val="00B146E6"/>
    <w:rsid w:val="00B16868"/>
    <w:rsid w:val="00B2245B"/>
    <w:rsid w:val="00B24BBD"/>
    <w:rsid w:val="00B26E98"/>
    <w:rsid w:val="00B30E53"/>
    <w:rsid w:val="00B345EE"/>
    <w:rsid w:val="00B36A47"/>
    <w:rsid w:val="00B37382"/>
    <w:rsid w:val="00B41461"/>
    <w:rsid w:val="00B417AF"/>
    <w:rsid w:val="00B419D9"/>
    <w:rsid w:val="00B42033"/>
    <w:rsid w:val="00B433AF"/>
    <w:rsid w:val="00B50225"/>
    <w:rsid w:val="00B525EB"/>
    <w:rsid w:val="00B5284E"/>
    <w:rsid w:val="00B55A09"/>
    <w:rsid w:val="00B55B0A"/>
    <w:rsid w:val="00B564FF"/>
    <w:rsid w:val="00B56595"/>
    <w:rsid w:val="00B56CBE"/>
    <w:rsid w:val="00B6076C"/>
    <w:rsid w:val="00B62963"/>
    <w:rsid w:val="00B6520C"/>
    <w:rsid w:val="00B67573"/>
    <w:rsid w:val="00B71C86"/>
    <w:rsid w:val="00B720C9"/>
    <w:rsid w:val="00B723D4"/>
    <w:rsid w:val="00B72DCB"/>
    <w:rsid w:val="00B765D9"/>
    <w:rsid w:val="00B77494"/>
    <w:rsid w:val="00B7783B"/>
    <w:rsid w:val="00B80383"/>
    <w:rsid w:val="00B808C6"/>
    <w:rsid w:val="00B825EB"/>
    <w:rsid w:val="00B84860"/>
    <w:rsid w:val="00B848A8"/>
    <w:rsid w:val="00B85924"/>
    <w:rsid w:val="00B866AF"/>
    <w:rsid w:val="00B914CA"/>
    <w:rsid w:val="00B92CE0"/>
    <w:rsid w:val="00B94837"/>
    <w:rsid w:val="00B96BFB"/>
    <w:rsid w:val="00BA0E18"/>
    <w:rsid w:val="00BA11AF"/>
    <w:rsid w:val="00BA20C9"/>
    <w:rsid w:val="00BA2537"/>
    <w:rsid w:val="00BA3FB7"/>
    <w:rsid w:val="00BA456F"/>
    <w:rsid w:val="00BA4957"/>
    <w:rsid w:val="00BB0327"/>
    <w:rsid w:val="00BB218F"/>
    <w:rsid w:val="00BB2336"/>
    <w:rsid w:val="00BB7A40"/>
    <w:rsid w:val="00BC09C5"/>
    <w:rsid w:val="00BC0C8D"/>
    <w:rsid w:val="00BC590B"/>
    <w:rsid w:val="00BC6157"/>
    <w:rsid w:val="00BC631F"/>
    <w:rsid w:val="00BD04D9"/>
    <w:rsid w:val="00BD5EE7"/>
    <w:rsid w:val="00BD7181"/>
    <w:rsid w:val="00BE075E"/>
    <w:rsid w:val="00BE23DF"/>
    <w:rsid w:val="00BE5FAF"/>
    <w:rsid w:val="00BE679A"/>
    <w:rsid w:val="00BF1727"/>
    <w:rsid w:val="00BF255E"/>
    <w:rsid w:val="00BF425D"/>
    <w:rsid w:val="00BF4685"/>
    <w:rsid w:val="00BF4BD8"/>
    <w:rsid w:val="00BF54D0"/>
    <w:rsid w:val="00BF5CA9"/>
    <w:rsid w:val="00C0257D"/>
    <w:rsid w:val="00C02C96"/>
    <w:rsid w:val="00C03840"/>
    <w:rsid w:val="00C03B46"/>
    <w:rsid w:val="00C0443B"/>
    <w:rsid w:val="00C056AC"/>
    <w:rsid w:val="00C12F2A"/>
    <w:rsid w:val="00C13216"/>
    <w:rsid w:val="00C14925"/>
    <w:rsid w:val="00C22B63"/>
    <w:rsid w:val="00C22C68"/>
    <w:rsid w:val="00C235CB"/>
    <w:rsid w:val="00C2402A"/>
    <w:rsid w:val="00C24B6B"/>
    <w:rsid w:val="00C30B33"/>
    <w:rsid w:val="00C3356B"/>
    <w:rsid w:val="00C3571D"/>
    <w:rsid w:val="00C42031"/>
    <w:rsid w:val="00C43092"/>
    <w:rsid w:val="00C430B3"/>
    <w:rsid w:val="00C43A59"/>
    <w:rsid w:val="00C43B83"/>
    <w:rsid w:val="00C44120"/>
    <w:rsid w:val="00C4486C"/>
    <w:rsid w:val="00C459DC"/>
    <w:rsid w:val="00C460D7"/>
    <w:rsid w:val="00C462F1"/>
    <w:rsid w:val="00C47E49"/>
    <w:rsid w:val="00C520AC"/>
    <w:rsid w:val="00C53DAC"/>
    <w:rsid w:val="00C540FB"/>
    <w:rsid w:val="00C55C56"/>
    <w:rsid w:val="00C56D14"/>
    <w:rsid w:val="00C57290"/>
    <w:rsid w:val="00C575CA"/>
    <w:rsid w:val="00C60BFD"/>
    <w:rsid w:val="00C6261A"/>
    <w:rsid w:val="00C672BA"/>
    <w:rsid w:val="00C712A3"/>
    <w:rsid w:val="00C71577"/>
    <w:rsid w:val="00C7293F"/>
    <w:rsid w:val="00C72986"/>
    <w:rsid w:val="00C730D3"/>
    <w:rsid w:val="00C73946"/>
    <w:rsid w:val="00C74505"/>
    <w:rsid w:val="00C76D6A"/>
    <w:rsid w:val="00C7744F"/>
    <w:rsid w:val="00C823DD"/>
    <w:rsid w:val="00C834C8"/>
    <w:rsid w:val="00C83FF3"/>
    <w:rsid w:val="00C854EE"/>
    <w:rsid w:val="00C854FD"/>
    <w:rsid w:val="00C87E09"/>
    <w:rsid w:val="00C9243F"/>
    <w:rsid w:val="00C93259"/>
    <w:rsid w:val="00C94614"/>
    <w:rsid w:val="00C94FB8"/>
    <w:rsid w:val="00CA0147"/>
    <w:rsid w:val="00CA1CFF"/>
    <w:rsid w:val="00CA3116"/>
    <w:rsid w:val="00CA441D"/>
    <w:rsid w:val="00CA6FE3"/>
    <w:rsid w:val="00CA79CF"/>
    <w:rsid w:val="00CB000E"/>
    <w:rsid w:val="00CB0CD3"/>
    <w:rsid w:val="00CB18D7"/>
    <w:rsid w:val="00CB2D07"/>
    <w:rsid w:val="00CB3140"/>
    <w:rsid w:val="00CB4ED5"/>
    <w:rsid w:val="00CB6A54"/>
    <w:rsid w:val="00CB774F"/>
    <w:rsid w:val="00CC153E"/>
    <w:rsid w:val="00CC3798"/>
    <w:rsid w:val="00CC3F89"/>
    <w:rsid w:val="00CD0B6A"/>
    <w:rsid w:val="00CD2EFC"/>
    <w:rsid w:val="00CD302E"/>
    <w:rsid w:val="00CD3A8A"/>
    <w:rsid w:val="00CD4F6B"/>
    <w:rsid w:val="00CD6446"/>
    <w:rsid w:val="00CE376C"/>
    <w:rsid w:val="00CE44AF"/>
    <w:rsid w:val="00CE612B"/>
    <w:rsid w:val="00CF2329"/>
    <w:rsid w:val="00CF2A67"/>
    <w:rsid w:val="00CF2FC7"/>
    <w:rsid w:val="00CF414F"/>
    <w:rsid w:val="00CF7C4C"/>
    <w:rsid w:val="00D00810"/>
    <w:rsid w:val="00D02B99"/>
    <w:rsid w:val="00D04670"/>
    <w:rsid w:val="00D04D91"/>
    <w:rsid w:val="00D1180C"/>
    <w:rsid w:val="00D15838"/>
    <w:rsid w:val="00D1786B"/>
    <w:rsid w:val="00D17EBD"/>
    <w:rsid w:val="00D21626"/>
    <w:rsid w:val="00D21E5B"/>
    <w:rsid w:val="00D240BD"/>
    <w:rsid w:val="00D247C0"/>
    <w:rsid w:val="00D24870"/>
    <w:rsid w:val="00D31DEF"/>
    <w:rsid w:val="00D3260D"/>
    <w:rsid w:val="00D33F88"/>
    <w:rsid w:val="00D34932"/>
    <w:rsid w:val="00D34B3E"/>
    <w:rsid w:val="00D37FCF"/>
    <w:rsid w:val="00D422DB"/>
    <w:rsid w:val="00D4302D"/>
    <w:rsid w:val="00D4557E"/>
    <w:rsid w:val="00D4583E"/>
    <w:rsid w:val="00D4614E"/>
    <w:rsid w:val="00D478DE"/>
    <w:rsid w:val="00D51F9E"/>
    <w:rsid w:val="00D529F9"/>
    <w:rsid w:val="00D54563"/>
    <w:rsid w:val="00D551EB"/>
    <w:rsid w:val="00D566E2"/>
    <w:rsid w:val="00D56E62"/>
    <w:rsid w:val="00D57044"/>
    <w:rsid w:val="00D572A9"/>
    <w:rsid w:val="00D66184"/>
    <w:rsid w:val="00D70C7D"/>
    <w:rsid w:val="00D72087"/>
    <w:rsid w:val="00D74289"/>
    <w:rsid w:val="00D75116"/>
    <w:rsid w:val="00D75C9B"/>
    <w:rsid w:val="00D81072"/>
    <w:rsid w:val="00D8143B"/>
    <w:rsid w:val="00D826D3"/>
    <w:rsid w:val="00D85454"/>
    <w:rsid w:val="00D85970"/>
    <w:rsid w:val="00D8645F"/>
    <w:rsid w:val="00D90AF1"/>
    <w:rsid w:val="00D91A08"/>
    <w:rsid w:val="00D91BEC"/>
    <w:rsid w:val="00D922AE"/>
    <w:rsid w:val="00D933FB"/>
    <w:rsid w:val="00D94821"/>
    <w:rsid w:val="00D9628A"/>
    <w:rsid w:val="00D9677E"/>
    <w:rsid w:val="00DA0D3E"/>
    <w:rsid w:val="00DA1B0B"/>
    <w:rsid w:val="00DA2806"/>
    <w:rsid w:val="00DA69AE"/>
    <w:rsid w:val="00DA6F92"/>
    <w:rsid w:val="00DB1FDB"/>
    <w:rsid w:val="00DB4BB7"/>
    <w:rsid w:val="00DB54CB"/>
    <w:rsid w:val="00DB78CF"/>
    <w:rsid w:val="00DC2A64"/>
    <w:rsid w:val="00DC68C3"/>
    <w:rsid w:val="00DD0280"/>
    <w:rsid w:val="00DD0F1E"/>
    <w:rsid w:val="00DD1CC9"/>
    <w:rsid w:val="00DD23C0"/>
    <w:rsid w:val="00DD5774"/>
    <w:rsid w:val="00DE16DE"/>
    <w:rsid w:val="00DE1D1A"/>
    <w:rsid w:val="00DE358C"/>
    <w:rsid w:val="00DE5898"/>
    <w:rsid w:val="00DE7959"/>
    <w:rsid w:val="00DF434E"/>
    <w:rsid w:val="00E00A08"/>
    <w:rsid w:val="00E02FF0"/>
    <w:rsid w:val="00E03B57"/>
    <w:rsid w:val="00E10B8A"/>
    <w:rsid w:val="00E1390D"/>
    <w:rsid w:val="00E1728C"/>
    <w:rsid w:val="00E22AD2"/>
    <w:rsid w:val="00E231BA"/>
    <w:rsid w:val="00E23359"/>
    <w:rsid w:val="00E2794A"/>
    <w:rsid w:val="00E33387"/>
    <w:rsid w:val="00E33B9D"/>
    <w:rsid w:val="00E34872"/>
    <w:rsid w:val="00E34CEF"/>
    <w:rsid w:val="00E34DCA"/>
    <w:rsid w:val="00E34E5E"/>
    <w:rsid w:val="00E3652A"/>
    <w:rsid w:val="00E41FA2"/>
    <w:rsid w:val="00E44B03"/>
    <w:rsid w:val="00E45084"/>
    <w:rsid w:val="00E45765"/>
    <w:rsid w:val="00E45B32"/>
    <w:rsid w:val="00E45D99"/>
    <w:rsid w:val="00E46C27"/>
    <w:rsid w:val="00E5113F"/>
    <w:rsid w:val="00E52FC0"/>
    <w:rsid w:val="00E5385A"/>
    <w:rsid w:val="00E56466"/>
    <w:rsid w:val="00E5726F"/>
    <w:rsid w:val="00E608DB"/>
    <w:rsid w:val="00E6166E"/>
    <w:rsid w:val="00E619AF"/>
    <w:rsid w:val="00E62183"/>
    <w:rsid w:val="00E626B1"/>
    <w:rsid w:val="00E627BF"/>
    <w:rsid w:val="00E630A7"/>
    <w:rsid w:val="00E64317"/>
    <w:rsid w:val="00E677EF"/>
    <w:rsid w:val="00E718F5"/>
    <w:rsid w:val="00E72295"/>
    <w:rsid w:val="00E72C65"/>
    <w:rsid w:val="00E76EF1"/>
    <w:rsid w:val="00E77BCF"/>
    <w:rsid w:val="00E80605"/>
    <w:rsid w:val="00E830DA"/>
    <w:rsid w:val="00E84C69"/>
    <w:rsid w:val="00E854B4"/>
    <w:rsid w:val="00E8786C"/>
    <w:rsid w:val="00E91228"/>
    <w:rsid w:val="00E95128"/>
    <w:rsid w:val="00E95493"/>
    <w:rsid w:val="00E9768B"/>
    <w:rsid w:val="00E97810"/>
    <w:rsid w:val="00EA0B3F"/>
    <w:rsid w:val="00EA71DF"/>
    <w:rsid w:val="00EA71F4"/>
    <w:rsid w:val="00EA7B8D"/>
    <w:rsid w:val="00EB0416"/>
    <w:rsid w:val="00EB0931"/>
    <w:rsid w:val="00EC0820"/>
    <w:rsid w:val="00EC13B1"/>
    <w:rsid w:val="00EC24D3"/>
    <w:rsid w:val="00EC5C0B"/>
    <w:rsid w:val="00EC7278"/>
    <w:rsid w:val="00EC73DC"/>
    <w:rsid w:val="00EC7527"/>
    <w:rsid w:val="00ED1E98"/>
    <w:rsid w:val="00ED3AA1"/>
    <w:rsid w:val="00ED51F0"/>
    <w:rsid w:val="00ED5F95"/>
    <w:rsid w:val="00ED67D4"/>
    <w:rsid w:val="00ED715D"/>
    <w:rsid w:val="00ED7A56"/>
    <w:rsid w:val="00EE0E21"/>
    <w:rsid w:val="00EE21A1"/>
    <w:rsid w:val="00EE2450"/>
    <w:rsid w:val="00EE6960"/>
    <w:rsid w:val="00EE7047"/>
    <w:rsid w:val="00EF09FD"/>
    <w:rsid w:val="00EF0B01"/>
    <w:rsid w:val="00EF0F13"/>
    <w:rsid w:val="00EF34AE"/>
    <w:rsid w:val="00EF495B"/>
    <w:rsid w:val="00EF4E72"/>
    <w:rsid w:val="00EF4FC7"/>
    <w:rsid w:val="00EF578D"/>
    <w:rsid w:val="00EF5A22"/>
    <w:rsid w:val="00EF688C"/>
    <w:rsid w:val="00F00603"/>
    <w:rsid w:val="00F07829"/>
    <w:rsid w:val="00F1032E"/>
    <w:rsid w:val="00F10E0E"/>
    <w:rsid w:val="00F11B5D"/>
    <w:rsid w:val="00F12594"/>
    <w:rsid w:val="00F12BF1"/>
    <w:rsid w:val="00F12EFB"/>
    <w:rsid w:val="00F13D08"/>
    <w:rsid w:val="00F150F1"/>
    <w:rsid w:val="00F16237"/>
    <w:rsid w:val="00F16F26"/>
    <w:rsid w:val="00F17012"/>
    <w:rsid w:val="00F20205"/>
    <w:rsid w:val="00F208D4"/>
    <w:rsid w:val="00F20AB3"/>
    <w:rsid w:val="00F21B02"/>
    <w:rsid w:val="00F23139"/>
    <w:rsid w:val="00F263E0"/>
    <w:rsid w:val="00F26B99"/>
    <w:rsid w:val="00F27004"/>
    <w:rsid w:val="00F40350"/>
    <w:rsid w:val="00F4385F"/>
    <w:rsid w:val="00F4619A"/>
    <w:rsid w:val="00F46C6C"/>
    <w:rsid w:val="00F501FB"/>
    <w:rsid w:val="00F51DF6"/>
    <w:rsid w:val="00F544A7"/>
    <w:rsid w:val="00F54864"/>
    <w:rsid w:val="00F60D47"/>
    <w:rsid w:val="00F612DD"/>
    <w:rsid w:val="00F620AA"/>
    <w:rsid w:val="00F660C0"/>
    <w:rsid w:val="00F709E2"/>
    <w:rsid w:val="00F70C00"/>
    <w:rsid w:val="00F70E82"/>
    <w:rsid w:val="00F71552"/>
    <w:rsid w:val="00F751BF"/>
    <w:rsid w:val="00F75DF5"/>
    <w:rsid w:val="00F77ADF"/>
    <w:rsid w:val="00F802C8"/>
    <w:rsid w:val="00F80E5F"/>
    <w:rsid w:val="00F82153"/>
    <w:rsid w:val="00F838BE"/>
    <w:rsid w:val="00F83A95"/>
    <w:rsid w:val="00F85872"/>
    <w:rsid w:val="00F85895"/>
    <w:rsid w:val="00F859F1"/>
    <w:rsid w:val="00F865E8"/>
    <w:rsid w:val="00F904D5"/>
    <w:rsid w:val="00F91913"/>
    <w:rsid w:val="00F9359C"/>
    <w:rsid w:val="00F9506A"/>
    <w:rsid w:val="00FA01BC"/>
    <w:rsid w:val="00FA1EF8"/>
    <w:rsid w:val="00FA2A9D"/>
    <w:rsid w:val="00FA44BB"/>
    <w:rsid w:val="00FA6ADD"/>
    <w:rsid w:val="00FA6C5D"/>
    <w:rsid w:val="00FA6D0F"/>
    <w:rsid w:val="00FA704F"/>
    <w:rsid w:val="00FB0C8B"/>
    <w:rsid w:val="00FB1326"/>
    <w:rsid w:val="00FB2525"/>
    <w:rsid w:val="00FB5521"/>
    <w:rsid w:val="00FC156B"/>
    <w:rsid w:val="00FC1D72"/>
    <w:rsid w:val="00FC2135"/>
    <w:rsid w:val="00FC4E3E"/>
    <w:rsid w:val="00FC603B"/>
    <w:rsid w:val="00FD085E"/>
    <w:rsid w:val="00FD0E89"/>
    <w:rsid w:val="00FD3474"/>
    <w:rsid w:val="00FD44E7"/>
    <w:rsid w:val="00FD4736"/>
    <w:rsid w:val="00FD477B"/>
    <w:rsid w:val="00FE0172"/>
    <w:rsid w:val="00FE057E"/>
    <w:rsid w:val="00FE2CC6"/>
    <w:rsid w:val="00FE3AB4"/>
    <w:rsid w:val="00FF0E24"/>
    <w:rsid w:val="00FF14A1"/>
    <w:rsid w:val="00FF3376"/>
    <w:rsid w:val="00FF46D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00F4AD6A"/>
  <w15:docId w15:val="{E1C69786-877A-437D-8F9E-C5D02E396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95128"/>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qFormat/>
    <w:rsid w:val="00E95128"/>
    <w:pPr>
      <w:keepNext/>
      <w:outlineLvl w:val="0"/>
    </w:pPr>
    <w:rPr>
      <w:b/>
      <w:caps/>
      <w:sz w:val="18"/>
    </w:rPr>
  </w:style>
  <w:style w:type="paragraph" w:styleId="Nadpis2">
    <w:name w:val="heading 2"/>
    <w:basedOn w:val="Normlny"/>
    <w:next w:val="Normlny"/>
    <w:link w:val="Nadpis2Char"/>
    <w:qFormat/>
    <w:rsid w:val="00E95128"/>
    <w:pPr>
      <w:keepNext/>
      <w:numPr>
        <w:numId w:val="4"/>
      </w:numPr>
      <w:outlineLvl w:val="1"/>
    </w:pPr>
    <w:rPr>
      <w:b/>
      <w:sz w:val="18"/>
    </w:rPr>
  </w:style>
  <w:style w:type="paragraph" w:styleId="Nadpis6">
    <w:name w:val="heading 6"/>
    <w:basedOn w:val="Normlny"/>
    <w:next w:val="Normlny"/>
    <w:link w:val="Nadpis6Char"/>
    <w:qFormat/>
    <w:rsid w:val="00E95128"/>
    <w:pPr>
      <w:keepNext/>
      <w:outlineLvl w:val="5"/>
    </w:pPr>
    <w:rPr>
      <w:b/>
      <w:caps/>
      <w:sz w:val="32"/>
    </w:rPr>
  </w:style>
  <w:style w:type="paragraph" w:styleId="Nadpis9">
    <w:name w:val="heading 9"/>
    <w:basedOn w:val="Normlny"/>
    <w:next w:val="Normlny"/>
    <w:link w:val="Nadpis9Char"/>
    <w:uiPriority w:val="9"/>
    <w:semiHidden/>
    <w:unhideWhenUsed/>
    <w:qFormat/>
    <w:rsid w:val="003E0FA2"/>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95128"/>
    <w:pPr>
      <w:tabs>
        <w:tab w:val="center" w:pos="4536"/>
        <w:tab w:val="right" w:pos="9072"/>
      </w:tabs>
    </w:pPr>
  </w:style>
  <w:style w:type="character" w:customStyle="1" w:styleId="HlavikaChar">
    <w:name w:val="Hlavička Char"/>
    <w:basedOn w:val="Predvolenpsmoodseku"/>
    <w:link w:val="Hlavika"/>
    <w:uiPriority w:val="99"/>
    <w:rsid w:val="00E95128"/>
  </w:style>
  <w:style w:type="paragraph" w:styleId="Pta">
    <w:name w:val="footer"/>
    <w:basedOn w:val="Normlny"/>
    <w:link w:val="PtaChar"/>
    <w:uiPriority w:val="99"/>
    <w:unhideWhenUsed/>
    <w:rsid w:val="00E95128"/>
    <w:pPr>
      <w:tabs>
        <w:tab w:val="center" w:pos="4536"/>
        <w:tab w:val="right" w:pos="9072"/>
      </w:tabs>
    </w:pPr>
  </w:style>
  <w:style w:type="character" w:customStyle="1" w:styleId="PtaChar">
    <w:name w:val="Päta Char"/>
    <w:basedOn w:val="Predvolenpsmoodseku"/>
    <w:link w:val="Pta"/>
    <w:uiPriority w:val="99"/>
    <w:rsid w:val="00E95128"/>
  </w:style>
  <w:style w:type="character" w:styleId="slostrany">
    <w:name w:val="page number"/>
    <w:basedOn w:val="Predvolenpsmoodseku"/>
    <w:rsid w:val="00E95128"/>
    <w:rPr>
      <w:rFonts w:cs="Times New Roman"/>
    </w:rPr>
  </w:style>
  <w:style w:type="character" w:customStyle="1" w:styleId="Nadpis1Char">
    <w:name w:val="Nadpis 1 Char"/>
    <w:basedOn w:val="Predvolenpsmoodseku"/>
    <w:link w:val="Nadpis1"/>
    <w:rsid w:val="00E95128"/>
    <w:rPr>
      <w:rFonts w:ascii="Times New Roman" w:eastAsia="Times New Roman" w:hAnsi="Times New Roman" w:cs="Times New Roman"/>
      <w:b/>
      <w:caps/>
      <w:sz w:val="18"/>
      <w:szCs w:val="20"/>
    </w:rPr>
  </w:style>
  <w:style w:type="character" w:customStyle="1" w:styleId="Nadpis2Char">
    <w:name w:val="Nadpis 2 Char"/>
    <w:basedOn w:val="Predvolenpsmoodseku"/>
    <w:link w:val="Nadpis2"/>
    <w:rsid w:val="00E95128"/>
    <w:rPr>
      <w:rFonts w:ascii="Times New Roman" w:eastAsia="Times New Roman" w:hAnsi="Times New Roman" w:cs="Times New Roman"/>
      <w:b/>
      <w:sz w:val="18"/>
      <w:szCs w:val="20"/>
    </w:rPr>
  </w:style>
  <w:style w:type="character" w:customStyle="1" w:styleId="Nadpis6Char">
    <w:name w:val="Nadpis 6 Char"/>
    <w:basedOn w:val="Predvolenpsmoodseku"/>
    <w:link w:val="Nadpis6"/>
    <w:rsid w:val="00E95128"/>
    <w:rPr>
      <w:rFonts w:ascii="Times New Roman" w:eastAsia="Times New Roman" w:hAnsi="Times New Roman" w:cs="Times New Roman"/>
      <w:b/>
      <w:caps/>
      <w:sz w:val="32"/>
      <w:szCs w:val="20"/>
    </w:rPr>
  </w:style>
  <w:style w:type="paragraph" w:styleId="Zkladntext">
    <w:name w:val="Body Text"/>
    <w:basedOn w:val="Normlny"/>
    <w:link w:val="ZkladntextChar"/>
    <w:rsid w:val="00E95128"/>
    <w:pPr>
      <w:ind w:left="426"/>
      <w:jc w:val="both"/>
    </w:pPr>
    <w:rPr>
      <w:sz w:val="18"/>
    </w:rPr>
  </w:style>
  <w:style w:type="character" w:customStyle="1" w:styleId="ZkladntextChar">
    <w:name w:val="Základný text Char"/>
    <w:basedOn w:val="Predvolenpsmoodseku"/>
    <w:link w:val="Zkladntext"/>
    <w:rsid w:val="00E95128"/>
    <w:rPr>
      <w:rFonts w:ascii="Times New Roman" w:eastAsia="Times New Roman" w:hAnsi="Times New Roman" w:cs="Times New Roman"/>
      <w:sz w:val="18"/>
      <w:szCs w:val="20"/>
    </w:rPr>
  </w:style>
  <w:style w:type="paragraph" w:customStyle="1" w:styleId="Uvod">
    <w:name w:val="Uvod"/>
    <w:basedOn w:val="Normlny"/>
    <w:rsid w:val="00E95128"/>
    <w:pPr>
      <w:ind w:left="284" w:hanging="284"/>
      <w:jc w:val="both"/>
    </w:pPr>
    <w:rPr>
      <w:sz w:val="22"/>
    </w:rPr>
  </w:style>
  <w:style w:type="character" w:styleId="Odkaznapoznmkupodiarou">
    <w:name w:val="footnote reference"/>
    <w:basedOn w:val="Predvolenpsmoodseku"/>
    <w:semiHidden/>
    <w:rsid w:val="00E95128"/>
    <w:rPr>
      <w:rFonts w:cs="Times New Roman"/>
      <w:position w:val="6"/>
      <w:sz w:val="16"/>
      <w:szCs w:val="16"/>
    </w:rPr>
  </w:style>
  <w:style w:type="paragraph" w:customStyle="1" w:styleId="lita">
    <w:name w:val="lit_a"/>
    <w:basedOn w:val="Normlny"/>
    <w:rsid w:val="00E95128"/>
    <w:pPr>
      <w:spacing w:after="20"/>
      <w:ind w:left="624" w:hanging="340"/>
      <w:jc w:val="both"/>
    </w:pPr>
    <w:rPr>
      <w:rFonts w:ascii="Times" w:hAnsi="Times"/>
      <w:lang w:val="en-US"/>
    </w:rPr>
  </w:style>
  <w:style w:type="paragraph" w:customStyle="1" w:styleId="zif">
    <w:name w:val="zif"/>
    <w:basedOn w:val="Normlny"/>
    <w:link w:val="zifChar"/>
    <w:rsid w:val="00E95128"/>
    <w:pPr>
      <w:tabs>
        <w:tab w:val="left" w:pos="620"/>
      </w:tabs>
      <w:spacing w:after="80"/>
      <w:jc w:val="both"/>
    </w:pPr>
    <w:rPr>
      <w:rFonts w:ascii="Times" w:hAnsi="Times"/>
      <w:lang w:val="en-US"/>
    </w:rPr>
  </w:style>
  <w:style w:type="character" w:customStyle="1" w:styleId="zifChar">
    <w:name w:val="zif Char"/>
    <w:basedOn w:val="Predvolenpsmoodseku"/>
    <w:link w:val="zif"/>
    <w:locked/>
    <w:rsid w:val="00E95128"/>
    <w:rPr>
      <w:rFonts w:ascii="Times" w:eastAsia="Times New Roman" w:hAnsi="Times" w:cs="Times New Roman"/>
      <w:sz w:val="20"/>
      <w:szCs w:val="20"/>
      <w:lang w:val="en-US"/>
    </w:rPr>
  </w:style>
  <w:style w:type="paragraph" w:styleId="Odsekzoznamu">
    <w:name w:val="List Paragraph"/>
    <w:basedOn w:val="Normlny"/>
    <w:uiPriority w:val="34"/>
    <w:qFormat/>
    <w:rsid w:val="00E95128"/>
    <w:pPr>
      <w:ind w:left="708"/>
    </w:pPr>
  </w:style>
  <w:style w:type="paragraph" w:customStyle="1" w:styleId="Tabulka">
    <w:name w:val="Tabulka"/>
    <w:basedOn w:val="Normlny"/>
    <w:rsid w:val="00160AAA"/>
    <w:rPr>
      <w:color w:val="000000"/>
      <w:sz w:val="18"/>
    </w:rPr>
  </w:style>
  <w:style w:type="paragraph" w:customStyle="1" w:styleId="Pismenka">
    <w:name w:val="Pismenka"/>
    <w:basedOn w:val="Zkladntext"/>
    <w:rsid w:val="00160AAA"/>
    <w:pPr>
      <w:ind w:left="0"/>
    </w:pPr>
    <w:rPr>
      <w:b/>
    </w:rPr>
  </w:style>
  <w:style w:type="character" w:customStyle="1" w:styleId="Nadpis9Char">
    <w:name w:val="Nadpis 9 Char"/>
    <w:basedOn w:val="Predvolenpsmoodseku"/>
    <w:link w:val="Nadpis9"/>
    <w:semiHidden/>
    <w:rsid w:val="003E0FA2"/>
    <w:rPr>
      <w:rFonts w:asciiTheme="majorHAnsi" w:eastAsiaTheme="majorEastAsia" w:hAnsiTheme="majorHAnsi" w:cstheme="majorBidi"/>
      <w:i/>
      <w:iCs/>
      <w:color w:val="404040" w:themeColor="text1" w:themeTint="BF"/>
      <w:sz w:val="20"/>
      <w:szCs w:val="20"/>
    </w:rPr>
  </w:style>
  <w:style w:type="paragraph" w:styleId="Textbubliny">
    <w:name w:val="Balloon Text"/>
    <w:basedOn w:val="Normlny"/>
    <w:link w:val="TextbublinyChar"/>
    <w:uiPriority w:val="99"/>
    <w:semiHidden/>
    <w:unhideWhenUsed/>
    <w:rsid w:val="004B69E1"/>
    <w:rPr>
      <w:rFonts w:ascii="Tahoma" w:hAnsi="Tahoma" w:cs="Tahoma"/>
      <w:sz w:val="16"/>
      <w:szCs w:val="16"/>
    </w:rPr>
  </w:style>
  <w:style w:type="character" w:customStyle="1" w:styleId="TextbublinyChar">
    <w:name w:val="Text bubliny Char"/>
    <w:basedOn w:val="Predvolenpsmoodseku"/>
    <w:link w:val="Textbubliny"/>
    <w:uiPriority w:val="99"/>
    <w:semiHidden/>
    <w:rsid w:val="004B69E1"/>
    <w:rPr>
      <w:rFonts w:ascii="Tahoma" w:eastAsia="Times New Roman" w:hAnsi="Tahoma" w:cs="Tahoma"/>
      <w:sz w:val="16"/>
      <w:szCs w:val="16"/>
    </w:rPr>
  </w:style>
  <w:style w:type="character" w:styleId="Odkaznakomentr">
    <w:name w:val="annotation reference"/>
    <w:basedOn w:val="Predvolenpsmoodseku"/>
    <w:uiPriority w:val="99"/>
    <w:semiHidden/>
    <w:unhideWhenUsed/>
    <w:rsid w:val="00574527"/>
    <w:rPr>
      <w:sz w:val="16"/>
      <w:szCs w:val="16"/>
    </w:rPr>
  </w:style>
  <w:style w:type="paragraph" w:styleId="Textkomentra">
    <w:name w:val="annotation text"/>
    <w:basedOn w:val="Normlny"/>
    <w:link w:val="TextkomentraChar"/>
    <w:uiPriority w:val="99"/>
    <w:semiHidden/>
    <w:unhideWhenUsed/>
    <w:rsid w:val="00574527"/>
  </w:style>
  <w:style w:type="character" w:customStyle="1" w:styleId="TextkomentraChar">
    <w:name w:val="Text komentára Char"/>
    <w:basedOn w:val="Predvolenpsmoodseku"/>
    <w:link w:val="Textkomentra"/>
    <w:uiPriority w:val="99"/>
    <w:semiHidden/>
    <w:rsid w:val="00574527"/>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574527"/>
    <w:rPr>
      <w:b/>
      <w:bCs/>
    </w:rPr>
  </w:style>
  <w:style w:type="character" w:customStyle="1" w:styleId="PredmetkomentraChar">
    <w:name w:val="Predmet komentára Char"/>
    <w:basedOn w:val="TextkomentraChar"/>
    <w:link w:val="Predmetkomentra"/>
    <w:uiPriority w:val="99"/>
    <w:semiHidden/>
    <w:rsid w:val="00574527"/>
    <w:rPr>
      <w:rFonts w:ascii="Times New Roman" w:eastAsia="Times New Roman" w:hAnsi="Times New Roman" w:cs="Times New Roman"/>
      <w:b/>
      <w:bCs/>
      <w:sz w:val="20"/>
      <w:szCs w:val="20"/>
    </w:rPr>
  </w:style>
  <w:style w:type="paragraph" w:styleId="Revzia">
    <w:name w:val="Revision"/>
    <w:hidden/>
    <w:uiPriority w:val="99"/>
    <w:semiHidden/>
    <w:rsid w:val="00574527"/>
    <w:pPr>
      <w:spacing w:after="0" w:line="240" w:lineRule="auto"/>
    </w:pPr>
    <w:rPr>
      <w:rFonts w:ascii="Times New Roman" w:eastAsia="Times New Roman" w:hAnsi="Times New Roman" w:cs="Times New Roman"/>
      <w:sz w:val="20"/>
      <w:szCs w:val="20"/>
    </w:rPr>
  </w:style>
  <w:style w:type="paragraph" w:customStyle="1" w:styleId="Subhead2">
    <w:name w:val="Subhead 2"/>
    <w:basedOn w:val="Normlny"/>
    <w:rsid w:val="00E45D99"/>
    <w:pPr>
      <w:tabs>
        <w:tab w:val="left" w:pos="1531"/>
      </w:tabs>
      <w:autoSpaceDE w:val="0"/>
      <w:autoSpaceDN w:val="0"/>
      <w:adjustRightInd w:val="0"/>
      <w:spacing w:line="260" w:lineRule="atLeast"/>
      <w:ind w:left="1531" w:right="1134" w:hanging="1531"/>
    </w:pPr>
    <w:rPr>
      <w:rFonts w:ascii="Univers 55" w:hAnsi="Univers 55" w:cs="Univers 55"/>
      <w:b/>
      <w:bCs/>
      <w:color w:val="0C2D83"/>
      <w:lang w:val="en-NZ" w:eastAsia="en-NZ"/>
    </w:rPr>
  </w:style>
  <w:style w:type="paragraph" w:customStyle="1" w:styleId="tabelLinks">
    <w:name w:val="tabelLinks"/>
    <w:basedOn w:val="Normlny"/>
    <w:rsid w:val="00EA71F4"/>
    <w:pPr>
      <w:spacing w:line="260" w:lineRule="exact"/>
    </w:pPr>
    <w:rPr>
      <w:rFonts w:ascii="Times" w:hAnsi="Times"/>
      <w:sz w:val="18"/>
      <w:lang w:val="en-GB"/>
    </w:rPr>
  </w:style>
  <w:style w:type="paragraph" w:styleId="Zkladntext3">
    <w:name w:val="Body Text 3"/>
    <w:basedOn w:val="Normlny"/>
    <w:link w:val="Zkladntext3Char"/>
    <w:uiPriority w:val="99"/>
    <w:unhideWhenUsed/>
    <w:rsid w:val="00BA2537"/>
    <w:pPr>
      <w:spacing w:after="120"/>
    </w:pPr>
    <w:rPr>
      <w:sz w:val="16"/>
      <w:szCs w:val="16"/>
    </w:rPr>
  </w:style>
  <w:style w:type="character" w:customStyle="1" w:styleId="Zkladntext3Char">
    <w:name w:val="Základný text 3 Char"/>
    <w:basedOn w:val="Predvolenpsmoodseku"/>
    <w:link w:val="Zkladntext3"/>
    <w:uiPriority w:val="99"/>
    <w:rsid w:val="00BA2537"/>
    <w:rPr>
      <w:rFonts w:ascii="Times New Roman" w:eastAsia="Times New Roman" w:hAnsi="Times New Roman" w:cs="Times New Roman"/>
      <w:sz w:val="16"/>
      <w:szCs w:val="16"/>
    </w:rPr>
  </w:style>
  <w:style w:type="table" w:styleId="Mriekatabuky">
    <w:name w:val="Table Grid"/>
    <w:basedOn w:val="Normlnatabuka"/>
    <w:uiPriority w:val="59"/>
    <w:rsid w:val="00F544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9257E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483778">
      <w:bodyDiv w:val="1"/>
      <w:marLeft w:val="0"/>
      <w:marRight w:val="0"/>
      <w:marTop w:val="0"/>
      <w:marBottom w:val="0"/>
      <w:divBdr>
        <w:top w:val="none" w:sz="0" w:space="0" w:color="auto"/>
        <w:left w:val="none" w:sz="0" w:space="0" w:color="auto"/>
        <w:bottom w:val="none" w:sz="0" w:space="0" w:color="auto"/>
        <w:right w:val="none" w:sz="0" w:space="0" w:color="auto"/>
      </w:divBdr>
    </w:div>
    <w:div w:id="62339644">
      <w:bodyDiv w:val="1"/>
      <w:marLeft w:val="0"/>
      <w:marRight w:val="0"/>
      <w:marTop w:val="0"/>
      <w:marBottom w:val="0"/>
      <w:divBdr>
        <w:top w:val="none" w:sz="0" w:space="0" w:color="auto"/>
        <w:left w:val="none" w:sz="0" w:space="0" w:color="auto"/>
        <w:bottom w:val="none" w:sz="0" w:space="0" w:color="auto"/>
        <w:right w:val="none" w:sz="0" w:space="0" w:color="auto"/>
      </w:divBdr>
    </w:div>
    <w:div w:id="99422644">
      <w:bodyDiv w:val="1"/>
      <w:marLeft w:val="0"/>
      <w:marRight w:val="0"/>
      <w:marTop w:val="0"/>
      <w:marBottom w:val="0"/>
      <w:divBdr>
        <w:top w:val="none" w:sz="0" w:space="0" w:color="auto"/>
        <w:left w:val="none" w:sz="0" w:space="0" w:color="auto"/>
        <w:bottom w:val="none" w:sz="0" w:space="0" w:color="auto"/>
        <w:right w:val="none" w:sz="0" w:space="0" w:color="auto"/>
      </w:divBdr>
    </w:div>
    <w:div w:id="202330630">
      <w:bodyDiv w:val="1"/>
      <w:marLeft w:val="0"/>
      <w:marRight w:val="0"/>
      <w:marTop w:val="0"/>
      <w:marBottom w:val="0"/>
      <w:divBdr>
        <w:top w:val="none" w:sz="0" w:space="0" w:color="auto"/>
        <w:left w:val="none" w:sz="0" w:space="0" w:color="auto"/>
        <w:bottom w:val="none" w:sz="0" w:space="0" w:color="auto"/>
        <w:right w:val="none" w:sz="0" w:space="0" w:color="auto"/>
      </w:divBdr>
    </w:div>
    <w:div w:id="217938696">
      <w:bodyDiv w:val="1"/>
      <w:marLeft w:val="0"/>
      <w:marRight w:val="0"/>
      <w:marTop w:val="0"/>
      <w:marBottom w:val="0"/>
      <w:divBdr>
        <w:top w:val="none" w:sz="0" w:space="0" w:color="auto"/>
        <w:left w:val="none" w:sz="0" w:space="0" w:color="auto"/>
        <w:bottom w:val="none" w:sz="0" w:space="0" w:color="auto"/>
        <w:right w:val="none" w:sz="0" w:space="0" w:color="auto"/>
      </w:divBdr>
    </w:div>
    <w:div w:id="286207831">
      <w:bodyDiv w:val="1"/>
      <w:marLeft w:val="0"/>
      <w:marRight w:val="0"/>
      <w:marTop w:val="0"/>
      <w:marBottom w:val="0"/>
      <w:divBdr>
        <w:top w:val="none" w:sz="0" w:space="0" w:color="auto"/>
        <w:left w:val="none" w:sz="0" w:space="0" w:color="auto"/>
        <w:bottom w:val="none" w:sz="0" w:space="0" w:color="auto"/>
        <w:right w:val="none" w:sz="0" w:space="0" w:color="auto"/>
      </w:divBdr>
    </w:div>
    <w:div w:id="401416816">
      <w:bodyDiv w:val="1"/>
      <w:marLeft w:val="0"/>
      <w:marRight w:val="0"/>
      <w:marTop w:val="0"/>
      <w:marBottom w:val="0"/>
      <w:divBdr>
        <w:top w:val="none" w:sz="0" w:space="0" w:color="auto"/>
        <w:left w:val="none" w:sz="0" w:space="0" w:color="auto"/>
        <w:bottom w:val="none" w:sz="0" w:space="0" w:color="auto"/>
        <w:right w:val="none" w:sz="0" w:space="0" w:color="auto"/>
      </w:divBdr>
    </w:div>
    <w:div w:id="418599667">
      <w:bodyDiv w:val="1"/>
      <w:marLeft w:val="0"/>
      <w:marRight w:val="0"/>
      <w:marTop w:val="0"/>
      <w:marBottom w:val="0"/>
      <w:divBdr>
        <w:top w:val="none" w:sz="0" w:space="0" w:color="auto"/>
        <w:left w:val="none" w:sz="0" w:space="0" w:color="auto"/>
        <w:bottom w:val="none" w:sz="0" w:space="0" w:color="auto"/>
        <w:right w:val="none" w:sz="0" w:space="0" w:color="auto"/>
      </w:divBdr>
    </w:div>
    <w:div w:id="447774189">
      <w:bodyDiv w:val="1"/>
      <w:marLeft w:val="0"/>
      <w:marRight w:val="0"/>
      <w:marTop w:val="0"/>
      <w:marBottom w:val="0"/>
      <w:divBdr>
        <w:top w:val="none" w:sz="0" w:space="0" w:color="auto"/>
        <w:left w:val="none" w:sz="0" w:space="0" w:color="auto"/>
        <w:bottom w:val="none" w:sz="0" w:space="0" w:color="auto"/>
        <w:right w:val="none" w:sz="0" w:space="0" w:color="auto"/>
      </w:divBdr>
    </w:div>
    <w:div w:id="529299698">
      <w:bodyDiv w:val="1"/>
      <w:marLeft w:val="0"/>
      <w:marRight w:val="0"/>
      <w:marTop w:val="0"/>
      <w:marBottom w:val="0"/>
      <w:divBdr>
        <w:top w:val="none" w:sz="0" w:space="0" w:color="auto"/>
        <w:left w:val="none" w:sz="0" w:space="0" w:color="auto"/>
        <w:bottom w:val="none" w:sz="0" w:space="0" w:color="auto"/>
        <w:right w:val="none" w:sz="0" w:space="0" w:color="auto"/>
      </w:divBdr>
    </w:div>
    <w:div w:id="534275276">
      <w:bodyDiv w:val="1"/>
      <w:marLeft w:val="0"/>
      <w:marRight w:val="0"/>
      <w:marTop w:val="0"/>
      <w:marBottom w:val="0"/>
      <w:divBdr>
        <w:top w:val="none" w:sz="0" w:space="0" w:color="auto"/>
        <w:left w:val="none" w:sz="0" w:space="0" w:color="auto"/>
        <w:bottom w:val="none" w:sz="0" w:space="0" w:color="auto"/>
        <w:right w:val="none" w:sz="0" w:space="0" w:color="auto"/>
      </w:divBdr>
    </w:div>
    <w:div w:id="612977056">
      <w:bodyDiv w:val="1"/>
      <w:marLeft w:val="0"/>
      <w:marRight w:val="0"/>
      <w:marTop w:val="0"/>
      <w:marBottom w:val="0"/>
      <w:divBdr>
        <w:top w:val="none" w:sz="0" w:space="0" w:color="auto"/>
        <w:left w:val="none" w:sz="0" w:space="0" w:color="auto"/>
        <w:bottom w:val="none" w:sz="0" w:space="0" w:color="auto"/>
        <w:right w:val="none" w:sz="0" w:space="0" w:color="auto"/>
      </w:divBdr>
    </w:div>
    <w:div w:id="687950392">
      <w:bodyDiv w:val="1"/>
      <w:marLeft w:val="0"/>
      <w:marRight w:val="0"/>
      <w:marTop w:val="0"/>
      <w:marBottom w:val="0"/>
      <w:divBdr>
        <w:top w:val="none" w:sz="0" w:space="0" w:color="auto"/>
        <w:left w:val="none" w:sz="0" w:space="0" w:color="auto"/>
        <w:bottom w:val="none" w:sz="0" w:space="0" w:color="auto"/>
        <w:right w:val="none" w:sz="0" w:space="0" w:color="auto"/>
      </w:divBdr>
    </w:div>
    <w:div w:id="714503822">
      <w:bodyDiv w:val="1"/>
      <w:marLeft w:val="0"/>
      <w:marRight w:val="0"/>
      <w:marTop w:val="0"/>
      <w:marBottom w:val="0"/>
      <w:divBdr>
        <w:top w:val="none" w:sz="0" w:space="0" w:color="auto"/>
        <w:left w:val="none" w:sz="0" w:space="0" w:color="auto"/>
        <w:bottom w:val="none" w:sz="0" w:space="0" w:color="auto"/>
        <w:right w:val="none" w:sz="0" w:space="0" w:color="auto"/>
      </w:divBdr>
    </w:div>
    <w:div w:id="768966363">
      <w:bodyDiv w:val="1"/>
      <w:marLeft w:val="0"/>
      <w:marRight w:val="0"/>
      <w:marTop w:val="0"/>
      <w:marBottom w:val="0"/>
      <w:divBdr>
        <w:top w:val="none" w:sz="0" w:space="0" w:color="auto"/>
        <w:left w:val="none" w:sz="0" w:space="0" w:color="auto"/>
        <w:bottom w:val="none" w:sz="0" w:space="0" w:color="auto"/>
        <w:right w:val="none" w:sz="0" w:space="0" w:color="auto"/>
      </w:divBdr>
    </w:div>
    <w:div w:id="791826355">
      <w:bodyDiv w:val="1"/>
      <w:marLeft w:val="0"/>
      <w:marRight w:val="0"/>
      <w:marTop w:val="0"/>
      <w:marBottom w:val="0"/>
      <w:divBdr>
        <w:top w:val="none" w:sz="0" w:space="0" w:color="auto"/>
        <w:left w:val="none" w:sz="0" w:space="0" w:color="auto"/>
        <w:bottom w:val="none" w:sz="0" w:space="0" w:color="auto"/>
        <w:right w:val="none" w:sz="0" w:space="0" w:color="auto"/>
      </w:divBdr>
    </w:div>
    <w:div w:id="828910521">
      <w:bodyDiv w:val="1"/>
      <w:marLeft w:val="0"/>
      <w:marRight w:val="0"/>
      <w:marTop w:val="0"/>
      <w:marBottom w:val="0"/>
      <w:divBdr>
        <w:top w:val="none" w:sz="0" w:space="0" w:color="auto"/>
        <w:left w:val="none" w:sz="0" w:space="0" w:color="auto"/>
        <w:bottom w:val="none" w:sz="0" w:space="0" w:color="auto"/>
        <w:right w:val="none" w:sz="0" w:space="0" w:color="auto"/>
      </w:divBdr>
    </w:div>
    <w:div w:id="849872897">
      <w:bodyDiv w:val="1"/>
      <w:marLeft w:val="0"/>
      <w:marRight w:val="0"/>
      <w:marTop w:val="0"/>
      <w:marBottom w:val="0"/>
      <w:divBdr>
        <w:top w:val="none" w:sz="0" w:space="0" w:color="auto"/>
        <w:left w:val="none" w:sz="0" w:space="0" w:color="auto"/>
        <w:bottom w:val="none" w:sz="0" w:space="0" w:color="auto"/>
        <w:right w:val="none" w:sz="0" w:space="0" w:color="auto"/>
      </w:divBdr>
    </w:div>
    <w:div w:id="991563354">
      <w:bodyDiv w:val="1"/>
      <w:marLeft w:val="0"/>
      <w:marRight w:val="0"/>
      <w:marTop w:val="0"/>
      <w:marBottom w:val="0"/>
      <w:divBdr>
        <w:top w:val="none" w:sz="0" w:space="0" w:color="auto"/>
        <w:left w:val="none" w:sz="0" w:space="0" w:color="auto"/>
        <w:bottom w:val="none" w:sz="0" w:space="0" w:color="auto"/>
        <w:right w:val="none" w:sz="0" w:space="0" w:color="auto"/>
      </w:divBdr>
    </w:div>
    <w:div w:id="1058892845">
      <w:bodyDiv w:val="1"/>
      <w:marLeft w:val="0"/>
      <w:marRight w:val="0"/>
      <w:marTop w:val="0"/>
      <w:marBottom w:val="0"/>
      <w:divBdr>
        <w:top w:val="none" w:sz="0" w:space="0" w:color="auto"/>
        <w:left w:val="none" w:sz="0" w:space="0" w:color="auto"/>
        <w:bottom w:val="none" w:sz="0" w:space="0" w:color="auto"/>
        <w:right w:val="none" w:sz="0" w:space="0" w:color="auto"/>
      </w:divBdr>
    </w:div>
    <w:div w:id="1113397766">
      <w:bodyDiv w:val="1"/>
      <w:marLeft w:val="0"/>
      <w:marRight w:val="0"/>
      <w:marTop w:val="0"/>
      <w:marBottom w:val="0"/>
      <w:divBdr>
        <w:top w:val="none" w:sz="0" w:space="0" w:color="auto"/>
        <w:left w:val="none" w:sz="0" w:space="0" w:color="auto"/>
        <w:bottom w:val="none" w:sz="0" w:space="0" w:color="auto"/>
        <w:right w:val="none" w:sz="0" w:space="0" w:color="auto"/>
      </w:divBdr>
    </w:div>
    <w:div w:id="1150681894">
      <w:bodyDiv w:val="1"/>
      <w:marLeft w:val="0"/>
      <w:marRight w:val="0"/>
      <w:marTop w:val="0"/>
      <w:marBottom w:val="0"/>
      <w:divBdr>
        <w:top w:val="none" w:sz="0" w:space="0" w:color="auto"/>
        <w:left w:val="none" w:sz="0" w:space="0" w:color="auto"/>
        <w:bottom w:val="none" w:sz="0" w:space="0" w:color="auto"/>
        <w:right w:val="none" w:sz="0" w:space="0" w:color="auto"/>
      </w:divBdr>
    </w:div>
    <w:div w:id="1239362683">
      <w:bodyDiv w:val="1"/>
      <w:marLeft w:val="0"/>
      <w:marRight w:val="0"/>
      <w:marTop w:val="0"/>
      <w:marBottom w:val="0"/>
      <w:divBdr>
        <w:top w:val="none" w:sz="0" w:space="0" w:color="auto"/>
        <w:left w:val="none" w:sz="0" w:space="0" w:color="auto"/>
        <w:bottom w:val="none" w:sz="0" w:space="0" w:color="auto"/>
        <w:right w:val="none" w:sz="0" w:space="0" w:color="auto"/>
      </w:divBdr>
    </w:div>
    <w:div w:id="1284114625">
      <w:bodyDiv w:val="1"/>
      <w:marLeft w:val="0"/>
      <w:marRight w:val="0"/>
      <w:marTop w:val="0"/>
      <w:marBottom w:val="0"/>
      <w:divBdr>
        <w:top w:val="none" w:sz="0" w:space="0" w:color="auto"/>
        <w:left w:val="none" w:sz="0" w:space="0" w:color="auto"/>
        <w:bottom w:val="none" w:sz="0" w:space="0" w:color="auto"/>
        <w:right w:val="none" w:sz="0" w:space="0" w:color="auto"/>
      </w:divBdr>
    </w:div>
    <w:div w:id="1363820774">
      <w:bodyDiv w:val="1"/>
      <w:marLeft w:val="0"/>
      <w:marRight w:val="0"/>
      <w:marTop w:val="0"/>
      <w:marBottom w:val="0"/>
      <w:divBdr>
        <w:top w:val="none" w:sz="0" w:space="0" w:color="auto"/>
        <w:left w:val="none" w:sz="0" w:space="0" w:color="auto"/>
        <w:bottom w:val="none" w:sz="0" w:space="0" w:color="auto"/>
        <w:right w:val="none" w:sz="0" w:space="0" w:color="auto"/>
      </w:divBdr>
    </w:div>
    <w:div w:id="1387144371">
      <w:bodyDiv w:val="1"/>
      <w:marLeft w:val="0"/>
      <w:marRight w:val="0"/>
      <w:marTop w:val="0"/>
      <w:marBottom w:val="0"/>
      <w:divBdr>
        <w:top w:val="none" w:sz="0" w:space="0" w:color="auto"/>
        <w:left w:val="none" w:sz="0" w:space="0" w:color="auto"/>
        <w:bottom w:val="none" w:sz="0" w:space="0" w:color="auto"/>
        <w:right w:val="none" w:sz="0" w:space="0" w:color="auto"/>
      </w:divBdr>
    </w:div>
    <w:div w:id="1452364593">
      <w:bodyDiv w:val="1"/>
      <w:marLeft w:val="0"/>
      <w:marRight w:val="0"/>
      <w:marTop w:val="0"/>
      <w:marBottom w:val="0"/>
      <w:divBdr>
        <w:top w:val="none" w:sz="0" w:space="0" w:color="auto"/>
        <w:left w:val="none" w:sz="0" w:space="0" w:color="auto"/>
        <w:bottom w:val="none" w:sz="0" w:space="0" w:color="auto"/>
        <w:right w:val="none" w:sz="0" w:space="0" w:color="auto"/>
      </w:divBdr>
    </w:div>
    <w:div w:id="1616670455">
      <w:bodyDiv w:val="1"/>
      <w:marLeft w:val="0"/>
      <w:marRight w:val="0"/>
      <w:marTop w:val="0"/>
      <w:marBottom w:val="0"/>
      <w:divBdr>
        <w:top w:val="none" w:sz="0" w:space="0" w:color="auto"/>
        <w:left w:val="none" w:sz="0" w:space="0" w:color="auto"/>
        <w:bottom w:val="none" w:sz="0" w:space="0" w:color="auto"/>
        <w:right w:val="none" w:sz="0" w:space="0" w:color="auto"/>
      </w:divBdr>
    </w:div>
    <w:div w:id="1651060647">
      <w:bodyDiv w:val="1"/>
      <w:marLeft w:val="0"/>
      <w:marRight w:val="0"/>
      <w:marTop w:val="0"/>
      <w:marBottom w:val="0"/>
      <w:divBdr>
        <w:top w:val="none" w:sz="0" w:space="0" w:color="auto"/>
        <w:left w:val="none" w:sz="0" w:space="0" w:color="auto"/>
        <w:bottom w:val="none" w:sz="0" w:space="0" w:color="auto"/>
        <w:right w:val="none" w:sz="0" w:space="0" w:color="auto"/>
      </w:divBdr>
    </w:div>
    <w:div w:id="1722286536">
      <w:bodyDiv w:val="1"/>
      <w:marLeft w:val="0"/>
      <w:marRight w:val="0"/>
      <w:marTop w:val="0"/>
      <w:marBottom w:val="0"/>
      <w:divBdr>
        <w:top w:val="none" w:sz="0" w:space="0" w:color="auto"/>
        <w:left w:val="none" w:sz="0" w:space="0" w:color="auto"/>
        <w:bottom w:val="none" w:sz="0" w:space="0" w:color="auto"/>
        <w:right w:val="none" w:sz="0" w:space="0" w:color="auto"/>
      </w:divBdr>
    </w:div>
    <w:div w:id="1826894905">
      <w:bodyDiv w:val="1"/>
      <w:marLeft w:val="0"/>
      <w:marRight w:val="0"/>
      <w:marTop w:val="0"/>
      <w:marBottom w:val="0"/>
      <w:divBdr>
        <w:top w:val="none" w:sz="0" w:space="0" w:color="auto"/>
        <w:left w:val="none" w:sz="0" w:space="0" w:color="auto"/>
        <w:bottom w:val="none" w:sz="0" w:space="0" w:color="auto"/>
        <w:right w:val="none" w:sz="0" w:space="0" w:color="auto"/>
      </w:divBdr>
    </w:div>
    <w:div w:id="1846092172">
      <w:bodyDiv w:val="1"/>
      <w:marLeft w:val="0"/>
      <w:marRight w:val="0"/>
      <w:marTop w:val="0"/>
      <w:marBottom w:val="0"/>
      <w:divBdr>
        <w:top w:val="none" w:sz="0" w:space="0" w:color="auto"/>
        <w:left w:val="none" w:sz="0" w:space="0" w:color="auto"/>
        <w:bottom w:val="none" w:sz="0" w:space="0" w:color="auto"/>
        <w:right w:val="none" w:sz="0" w:space="0" w:color="auto"/>
      </w:divBdr>
    </w:div>
    <w:div w:id="1858805691">
      <w:bodyDiv w:val="1"/>
      <w:marLeft w:val="0"/>
      <w:marRight w:val="0"/>
      <w:marTop w:val="0"/>
      <w:marBottom w:val="0"/>
      <w:divBdr>
        <w:top w:val="none" w:sz="0" w:space="0" w:color="auto"/>
        <w:left w:val="none" w:sz="0" w:space="0" w:color="auto"/>
        <w:bottom w:val="none" w:sz="0" w:space="0" w:color="auto"/>
        <w:right w:val="none" w:sz="0" w:space="0" w:color="auto"/>
      </w:divBdr>
    </w:div>
    <w:div w:id="1987776426">
      <w:bodyDiv w:val="1"/>
      <w:marLeft w:val="0"/>
      <w:marRight w:val="0"/>
      <w:marTop w:val="0"/>
      <w:marBottom w:val="0"/>
      <w:divBdr>
        <w:top w:val="none" w:sz="0" w:space="0" w:color="auto"/>
        <w:left w:val="none" w:sz="0" w:space="0" w:color="auto"/>
        <w:bottom w:val="none" w:sz="0" w:space="0" w:color="auto"/>
        <w:right w:val="none" w:sz="0" w:space="0" w:color="auto"/>
      </w:divBdr>
    </w:div>
    <w:div w:id="2083290668">
      <w:bodyDiv w:val="1"/>
      <w:marLeft w:val="0"/>
      <w:marRight w:val="0"/>
      <w:marTop w:val="0"/>
      <w:marBottom w:val="0"/>
      <w:divBdr>
        <w:top w:val="none" w:sz="0" w:space="0" w:color="auto"/>
        <w:left w:val="none" w:sz="0" w:space="0" w:color="auto"/>
        <w:bottom w:val="none" w:sz="0" w:space="0" w:color="auto"/>
        <w:right w:val="none" w:sz="0" w:space="0" w:color="auto"/>
      </w:divBdr>
    </w:div>
    <w:div w:id="2105376723">
      <w:bodyDiv w:val="1"/>
      <w:marLeft w:val="0"/>
      <w:marRight w:val="0"/>
      <w:marTop w:val="0"/>
      <w:marBottom w:val="0"/>
      <w:divBdr>
        <w:top w:val="none" w:sz="0" w:space="0" w:color="auto"/>
        <w:left w:val="none" w:sz="0" w:space="0" w:color="auto"/>
        <w:bottom w:val="none" w:sz="0" w:space="0" w:color="auto"/>
        <w:right w:val="none" w:sz="0" w:space="0" w:color="auto"/>
      </w:divBdr>
    </w:div>
    <w:div w:id="2109040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package" Target="embeddings/Microsoft_Excel_Worksheet.xlsx"/><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KPMG Microweb 3 Document" ma:contentTypeID="0x01010D00FE7E355AA6FBC74B9F426ADBE00604EE" ma:contentTypeVersion="31" ma:contentTypeDescription="KPMG Microweb 3 Document" ma:contentTypeScope="" ma:versionID="01c556b702c515e021acb8961c3bfcdf">
  <xsd:schema xmlns:xsd="http://www.w3.org/2001/XMLSchema" xmlns:p="http://schemas.microsoft.com/office/2006/metadata/properties" xmlns:ns1="http://schemas.microsoft.com/sharepoint/v3" xmlns:ns2="http://schemas.microsoft.com/sharepoint/v3/fields" xmlns:ns3="b00f20d5-ceb3-4adf-8632-db85932f34e5" xmlns:ns4="cf981484-ed93-4090-baf6-fe2481f804a7" targetNamespace="http://schemas.microsoft.com/office/2006/metadata/properties" ma:root="true" ma:fieldsID="921946ef43365bc7d0bd6c58ada3886b" ns1:_="" ns2:_="" ns3:_="" ns4:_="">
    <xsd:import namespace="http://schemas.microsoft.com/sharepoint/v3"/>
    <xsd:import namespace="http://schemas.microsoft.com/sharepoint/v3/fields"/>
    <xsd:import namespace="b00f20d5-ceb3-4adf-8632-db85932f34e5"/>
    <xsd:import namespace="cf981484-ed93-4090-baf6-fe2481f804a7"/>
    <xsd:element name="properties">
      <xsd:complexType>
        <xsd:sequence>
          <xsd:element name="documentManagement">
            <xsd:complexType>
              <xsd:all>
                <xsd:element ref="ns3:CEE_x0020_AAS_x0020_Category" minOccurs="0"/>
                <xsd:element ref="ns2:KPMGMW3DocumentType"/>
                <xsd:element ref="ns2:KPMGMW3FunctionSelection" minOccurs="0"/>
                <xsd:element ref="ns2:KPMGMW3IndustrySectorSubSectorSelection" minOccurs="0"/>
                <xsd:element ref="ns4:Client_x0020_Issue" minOccurs="0"/>
                <xsd:element ref="ns1:KPMGMW3Language"/>
                <xsd:element ref="ns1:KPMGMW3Geography" minOccurs="0"/>
                <xsd:element ref="ns2:KPMGMW3SubSector" minOccurs="0"/>
                <xsd:element ref="ns2:KPMGMW3Function" minOccurs="0"/>
                <xsd:element ref="ns2:KPMGMW3Service" minOccurs="0"/>
                <xsd:element ref="ns2:KPMGMW3SubService" minOccurs="0"/>
                <xsd:element ref="ns2:KPMGMW3Sector"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KPMGMW3Language" ma:index="8" ma:displayName="Language" ma:description="Identifies the language of the resource" ma:internalName="KPMGMW3Language">
      <xsd:simpleType>
        <xsd:restriction base="dms:Unknown"/>
      </xsd:simpleType>
    </xsd:element>
    <xsd:element name="KPMGMW3Geography" ma:index="9" nillable="true" ma:displayName="Geographic coverage" ma:description="Country the content item applies to. &#10;It is possible to select multiple countries by holding down the Ctrl key while making the selections." ma:internalName="KPMGMW3Geography">
      <xsd:simpleType>
        <xsd:restriction base="dms:Unknown"/>
      </xsd:simple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KPMGMW3DocumentType" ma:index="4" ma:displayName="Document Type" ma:description="Identifies the nature of the resource in terms of its role in a business process" ma:internalName="KPMGMW3DocumentType">
      <xsd:simpleType>
        <xsd:restriction base="dms:Unknown"/>
      </xsd:simpleType>
    </xsd:element>
    <xsd:element name="KPMGMW3FunctionSelection" ma:index="5" nillable="true" ma:displayName="Function/Service/SubService Selection" ma:description="Function/Service/SubService Selection" ma:internalName="KPMGMW3FunctionSelection">
      <xsd:simpleType>
        <xsd:restriction base="dms:Unknown"/>
      </xsd:simpleType>
    </xsd:element>
    <xsd:element name="KPMGMW3IndustrySectorSubSectorSelection" ma:index="6" nillable="true" ma:displayName="Industry Sector/SubSector Selection" ma:description="Industry Multi Selection Sector/SubSector Selection" ma:internalName="KPMGMW3IndustrySectorSubSectorSelection">
      <xsd:simpleType>
        <xsd:restriction base="dms:Unknown"/>
      </xsd:simpleType>
    </xsd:element>
    <xsd:element name="KPMGMW3SubSector" ma:index="12" nillable="true" ma:displayName="Sub Sector" ma:description="Sub Sector" ma:internalName="KPMGMW3SubSector" ma:readOnly="true">
      <xsd:simpleType>
        <xsd:restriction base="dms:Text"/>
      </xsd:simpleType>
    </xsd:element>
    <xsd:element name="KPMGMW3Function" ma:index="17" nillable="true" ma:displayName="Function" ma:description="Function" ma:internalName="KPMGMW3Function" ma:readOnly="true">
      <xsd:simpleType>
        <xsd:restriction base="dms:Text"/>
      </xsd:simpleType>
    </xsd:element>
    <xsd:element name="KPMGMW3Service" ma:index="18" nillable="true" ma:displayName="Service" ma:description="Identifies the KPMG service which is discussed or targeted in this folder" ma:internalName="KPMGMW3Service" ma:readOnly="true">
      <xsd:simpleType>
        <xsd:restriction base="dms:Text"/>
      </xsd:simpleType>
    </xsd:element>
    <xsd:element name="KPMGMW3SubService" ma:index="19" nillable="true" ma:displayName="Sub Service" ma:description="Identifies the KPMG sub service which is discussed or targeted in this folder" ma:internalName="KPMGMW3SubService" ma:readOnly="true">
      <xsd:simpleType>
        <xsd:restriction base="dms:Text"/>
      </xsd:simpleType>
    </xsd:element>
    <xsd:element name="KPMGMW3Sector" ma:index="22" nillable="true" ma:displayName="Sector" ma:description="Sector" ma:internalName="KPMGMW3Sector" ma:readOnly="true">
      <xsd:simpleType>
        <xsd:restriction base="dms:Text"/>
      </xsd:simpleType>
    </xsd:element>
  </xsd:schema>
  <xsd:schema xmlns:xsd="http://www.w3.org/2001/XMLSchema" xmlns:dms="http://schemas.microsoft.com/office/2006/documentManagement/types" targetNamespace="b00f20d5-ceb3-4adf-8632-db85932f34e5" elementFormDefault="qualified">
    <xsd:import namespace="http://schemas.microsoft.com/office/2006/documentManagement/types"/>
    <xsd:element name="CEE_x0020_AAS_x0020_Category" ma:index="3" nillable="true" ma:displayName="CEE AAS Category" ma:format="Dropdown" ma:internalName="CEE_x0020_AAS_x0020_Category">
      <xsd:simpleType>
        <xsd:restriction base="dms:Choice">
          <xsd:enumeration value="Meeting Minutes"/>
          <xsd:enumeration value="Presentation"/>
          <xsd:enumeration value="Template"/>
          <xsd:enumeration value="Other"/>
        </xsd:restriction>
      </xsd:simpleType>
    </xsd:element>
  </xsd:schema>
  <xsd:schema xmlns:xsd="http://www.w3.org/2001/XMLSchema" xmlns:dms="http://schemas.microsoft.com/office/2006/documentManagement/types" targetNamespace="cf981484-ed93-4090-baf6-fe2481f804a7" elementFormDefault="qualified">
    <xsd:import namespace="http://schemas.microsoft.com/office/2006/documentManagement/types"/>
    <xsd:element name="Client_x0020_Issue" ma:index="7" nillable="true" ma:displayName="Client Issue" ma:description="Please select the Advisory Issue that best fits the client challenge" ma:internalName="Client_x0020_Issue">
      <xsd:complexType>
        <xsd:complexContent>
          <xsd:extension base="dms:MultiChoice">
            <xsd:sequence>
              <xsd:element name="Value" maxOccurs="unbounded" minOccurs="0" nillable="true">
                <xsd:simpleType>
                  <xsd:restriction base="dms:Choice">
                    <xsd:enumeration value="Entering New Markets"/>
                    <xsd:enumeration value="Growth from Transactions"/>
                    <xsd:enumeration value="Managing the Regulatory Environment"/>
                    <xsd:enumeration value="Optimizing Organizational Risk"/>
                    <xsd:enumeration value="Best Practice Governance and Corporate Citizenship"/>
                    <xsd:enumeration value="Addressing Severe Underperformance"/>
                    <xsd:enumeration value="Efficiency and Cost Optimization"/>
                    <xsd:enumeration value="Value from Major Infrastructure Projects"/>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axOccurs="1" ma:index="2" ma:displayName="Author or Contact"/>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spe:Receivers xmlns:spe="http://schemas.microsoft.com/sharepoint/events">
  <Receiver>
    <Name>Add Required Values.</Name>
    <Type>10001</Type>
    <SequenceNumber>200</SequenceNumber>
    <Assembly>KPMG.ItsGlobal.MW3.EventHandlers.Document_CheckIn, Version=1.0.0.0, Culture=neutral, PublicKeyToken=0a27d48d2dcadcba</Assembly>
    <Class>KPMG.ItsGlobal.MW3.EventHandlers.Document_CheckIn.Document_EventReceiver</Class>
    <Data/>
    <Filter/>
  </Receiver>
</spe:Receivers>
</file>

<file path=customXml/item4.xml><?xml version="1.0" encoding="utf-8"?>
<p:properties xmlns:p="http://schemas.microsoft.com/office/2006/metadata/properties" xmlns:xsi="http://www.w3.org/2001/XMLSchema-instance">
  <documentManagement>
    <Client_x0020_Issue xmlns="cf981484-ed93-4090-baf6-fe2481f804a7"/>
    <KPMGMW3Language xmlns="http://schemas.microsoft.com/sharepoint/v3">Slovak</KPMGMW3Language>
    <KPMGMW3IndustrySectorSubSectorSelection xmlns="http://schemas.microsoft.com/sharepoint/v3/fields" xsi:nil="true"/>
    <KPMGMW3FunctionSelection xmlns="http://schemas.microsoft.com/sharepoint/v3/fields">;#Advisory;;;#Accounting Advisory Services;#;#</KPMGMW3FunctionSelection>
    <KPMGMW3DocumentType xmlns="http://schemas.microsoft.com/sharepoint/v3/fields">None Selected</KPMGMW3DocumentType>
    <CEE_x0020_AAS_x0020_Category xmlns="b00f20d5-ceb3-4adf-8632-db85932f34e5" xsi:nil="true"/>
    <KPMGMW3Geography xmlns="http://schemas.microsoft.com/sharepoint/v3">;#Global;#</KPMGMW3Geography>
    <KPMGMW3SubService xmlns="http://schemas.microsoft.com/sharepoint/v3/fields" xsi:nil="true"/>
    <KPMGMW3Service xmlns="http://schemas.microsoft.com/sharepoint/v3/fields">Accounting Advisory Services</KPMGMW3Service>
    <KPMGMW3Sector xmlns="http://schemas.microsoft.com/sharepoint/v3/fields" xsi:nil="true"/>
    <KPMGMW3Function xmlns="http://schemas.microsoft.com/sharepoint/v3/fields">Advisory;</KPMGMW3Function>
    <KPMGMW3SubSector xmlns="http://schemas.microsoft.com/sharepoint/v3/fields"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90A403-3D57-411F-AF16-120A43820FD9}">
  <ds:schemaRefs>
    <ds:schemaRef ds:uri="http://schemas.openxmlformats.org/officeDocument/2006/bibliography"/>
  </ds:schemaRefs>
</ds:datastoreItem>
</file>

<file path=customXml/itemProps2.xml><?xml version="1.0" encoding="utf-8"?>
<ds:datastoreItem xmlns:ds="http://schemas.openxmlformats.org/officeDocument/2006/customXml" ds:itemID="{A2C11F71-952C-42EE-A932-3FAC66B819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b00f20d5-ceb3-4adf-8632-db85932f34e5"/>
    <ds:schemaRef ds:uri="cf981484-ed93-4090-baf6-fe2481f804a7"/>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9D86309-5722-4868-9D81-A69EDBFB93DA}">
  <ds:schemaRefs>
    <ds:schemaRef ds:uri="http://schemas.microsoft.com/sharepoint/events"/>
  </ds:schemaRefs>
</ds:datastoreItem>
</file>

<file path=customXml/itemProps4.xml><?xml version="1.0" encoding="utf-8"?>
<ds:datastoreItem xmlns:ds="http://schemas.openxmlformats.org/officeDocument/2006/customXml" ds:itemID="{E9A97BDA-EC18-4EF2-817B-9D14EBB6094E}">
  <ds:schemaRefs>
    <ds:schemaRef ds:uri="http://schemas.microsoft.com/office/2006/documentManagement/types"/>
    <ds:schemaRef ds:uri="http://purl.org/dc/elements/1.1/"/>
    <ds:schemaRef ds:uri="http://schemas.microsoft.com/office/2006/metadata/properties"/>
    <ds:schemaRef ds:uri="http://schemas.microsoft.com/sharepoint/v3"/>
    <ds:schemaRef ds:uri="http://schemas.openxmlformats.org/package/2006/metadata/core-properties"/>
    <ds:schemaRef ds:uri="http://purl.org/dc/terms/"/>
    <ds:schemaRef ds:uri="cf981484-ed93-4090-baf6-fe2481f804a7"/>
    <ds:schemaRef ds:uri="b00f20d5-ceb3-4adf-8632-db85932f34e5"/>
    <ds:schemaRef ds:uri="http://schemas.microsoft.com/sharepoint/v3/fields"/>
    <ds:schemaRef ds:uri="http://www.w3.org/XML/1998/namespace"/>
    <ds:schemaRef ds:uri="http://purl.org/dc/dcmitype/"/>
  </ds:schemaRefs>
</ds:datastoreItem>
</file>

<file path=customXml/itemProps5.xml><?xml version="1.0" encoding="utf-8"?>
<ds:datastoreItem xmlns:ds="http://schemas.openxmlformats.org/officeDocument/2006/customXml" ds:itemID="{64CF9575-47BC-4A91-9DB8-DAA3C697A1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1288</Words>
  <Characters>7343</Characters>
  <Application>Microsoft Office Word</Application>
  <DocSecurity>0</DocSecurity>
  <Lines>61</Lines>
  <Paragraphs>17</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KPMG</Company>
  <LinksUpToDate>false</LinksUpToDate>
  <CharactersWithSpaces>8614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Sikulova, Andrea</dc:creator>
  <cp:lastModifiedBy>Anton Ircha</cp:lastModifiedBy>
  <cp:revision>3</cp:revision>
  <cp:lastPrinted>2018-03-05T10:37:00Z</cp:lastPrinted>
  <dcterms:created xsi:type="dcterms:W3CDTF">2021-06-25T08:36:00Z</dcterms:created>
  <dcterms:modified xsi:type="dcterms:W3CDTF">2021-06-25T08:40:00Z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0x01010D00FE7E355AA6FBC74B9F426ADBE00604EE</vt:lpwstr>
  </property>
</Properties>
</file>