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Normal"/>
        <w:keepNext/>
        <w:jc w:val="center"/>
        <w:outlineLvl w:val="1"/>
        <w:rPr>
          <w:b/>
          <w:bCs/>
          <w:sz w:val="20"/>
        </w:rPr>
      </w:pPr>
      <w:r>
        <w:rPr>
          <w:b/>
          <w:bCs/>
          <w:sz w:val="20"/>
        </w:rPr>
        <w:t>Čl. I</w:t>
      </w:r>
    </w:p>
    <w:p>
      <w:pPr>
        <w:pStyle w:val="Normal"/>
        <w:keepNext/>
        <w:tabs>
          <w:tab w:val="left" w:pos="2635" w:leader="none"/>
          <w:tab w:val="center" w:pos="4734" w:leader="none"/>
        </w:tabs>
        <w:outlineLvl w:val="1"/>
        <w:rPr>
          <w:b/>
          <w:bCs/>
          <w:sz w:val="20"/>
        </w:rPr>
      </w:pPr>
      <w:r>
        <w:rPr>
          <w:b/>
          <w:bCs/>
          <w:sz w:val="20"/>
        </w:rPr>
        <w:tab/>
        <w:tab/>
        <w:t>Všeobecné údaje</w:t>
      </w:r>
    </w:p>
    <w:p>
      <w:pPr>
        <w:pStyle w:val="Normal"/>
        <w:keepNext/>
        <w:jc w:val="center"/>
        <w:outlineLvl w:val="1"/>
        <w:rPr>
          <w:b/>
          <w:bCs/>
          <w:sz w:val="18"/>
          <w:szCs w:val="22"/>
        </w:rPr>
      </w:pPr>
      <w:r>
        <w:rPr>
          <w:b/>
          <w:bCs/>
          <w:sz w:val="18"/>
          <w:szCs w:val="22"/>
        </w:rPr>
      </w:r>
    </w:p>
    <w:p>
      <w:pPr>
        <w:pStyle w:val="Normal"/>
        <w:numPr>
          <w:ilvl w:val="0"/>
          <w:numId w:val="8"/>
        </w:numPr>
        <w:ind w:left="0" w:right="0" w:hanging="1339"/>
        <w:jc w:val="both"/>
        <w:rPr>
          <w:sz w:val="20"/>
        </w:rPr>
      </w:pPr>
      <w:r>
        <w:rPr>
          <w:sz w:val="20"/>
        </w:rPr>
        <w:t>Názov právnickej osoby a jej sídlo alebo meno a priezvisko fyzickej osoby.</w:t>
      </w:r>
    </w:p>
    <w:tbl>
      <w:tblPr>
        <w:jc w:val="left"/>
        <w:tblInd w:w="10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98"/>
      </w:tblGrid>
      <w:tr>
        <w:trPr>
          <w:trHeight w:val="1656" w:hRule="atLeast"/>
          <w:cantSplit w:val="false"/>
        </w:trPr>
        <w:tc>
          <w:tcPr>
            <w:tcW w:w="94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JUMAN COMPANY, s.r.o.</w:t>
            </w:r>
          </w:p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Lúky 1115/27</w:t>
            </w:r>
          </w:p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 xml:space="preserve">95201 Vráble </w:t>
            </w:r>
          </w:p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Dátum vzniku – zápisu: 21.06.2013, Oddiel: Sro, vložka číslo: 34511/N</w:t>
            </w:r>
          </w:p>
        </w:tc>
      </w:tr>
    </w:tbl>
    <w:p>
      <w:pPr>
        <w:pStyle w:val="Normal"/>
        <w:jc w:val="both"/>
        <w:rPr>
          <w:sz w:val="20"/>
          <w:u w:val="single"/>
        </w:rPr>
      </w:pPr>
      <w:r>
        <w:rPr>
          <w:sz w:val="20"/>
          <w:u w:val="single"/>
        </w:rPr>
      </w:r>
    </w:p>
    <w:p>
      <w:pPr>
        <w:pStyle w:val="Normal"/>
        <w:numPr>
          <w:ilvl w:val="0"/>
          <w:numId w:val="8"/>
        </w:numPr>
        <w:ind w:left="1480" w:right="0" w:hanging="360"/>
        <w:jc w:val="both"/>
        <w:rPr>
          <w:sz w:val="20"/>
        </w:rPr>
      </w:pPr>
      <w:r>
        <w:rPr>
          <w:sz w:val="20"/>
        </w:rPr>
        <w:t xml:space="preserve">Údaje o konsolidovanom celku:   Účtovná jednotka </w:t>
      </w:r>
      <w:r>
        <w:rPr>
          <w:b/>
          <w:sz w:val="20"/>
        </w:rPr>
        <w:t>nie je</w:t>
      </w:r>
      <w:r>
        <w:rPr>
          <w:sz w:val="20"/>
        </w:rPr>
        <w:t xml:space="preserve"> súčasťou konsolidovaného celku.</w:t>
      </w:r>
    </w:p>
    <w:p>
      <w:pPr>
        <w:pStyle w:val="Normal"/>
        <w:numPr>
          <w:ilvl w:val="0"/>
          <w:numId w:val="8"/>
        </w:numPr>
        <w:ind w:left="0" w:right="0" w:hanging="1339"/>
        <w:jc w:val="both"/>
        <w:rPr>
          <w:sz w:val="20"/>
        </w:rPr>
      </w:pPr>
      <w:r>
        <w:rPr>
          <w:sz w:val="20"/>
        </w:rPr>
        <w:t xml:space="preserve">Priemerný prepočítaný počet zamestnancov:  0    </w:t>
      </w:r>
    </w:p>
    <w:p>
      <w:pPr>
        <w:pStyle w:val="Normal"/>
        <w:numPr>
          <w:ilvl w:val="0"/>
          <w:numId w:val="8"/>
        </w:numPr>
        <w:ind w:left="0" w:right="0" w:hanging="1339"/>
        <w:jc w:val="both"/>
        <w:rPr>
          <w:sz w:val="20"/>
        </w:rPr>
      </w:pPr>
      <w:r>
        <w:rPr>
          <w:sz w:val="20"/>
        </w:rPr>
        <w:t>Opis hospodárskej činnosti účtovnej jednotky: Činnosti bezdrôtových komunikácií.</w:t>
      </w:r>
    </w:p>
    <w:p>
      <w:pPr>
        <w:pStyle w:val="Normal"/>
        <w:tabs>
          <w:tab w:val="left" w:pos="851" w:leader="none"/>
        </w:tabs>
        <w:ind w:left="2870" w:right="0" w:hanging="0"/>
        <w:jc w:val="both"/>
        <w:rPr>
          <w:sz w:val="20"/>
        </w:rPr>
      </w:pPr>
      <w:r>
        <w:rPr>
          <w:sz w:val="20"/>
        </w:rPr>
      </w:r>
    </w:p>
    <w:p>
      <w:pPr>
        <w:pStyle w:val="Normal"/>
        <w:jc w:val="center"/>
        <w:rPr>
          <w:b/>
          <w:sz w:val="20"/>
        </w:rPr>
      </w:pPr>
      <w:r>
        <w:rPr>
          <w:b/>
          <w:sz w:val="20"/>
        </w:rPr>
        <w:t>Čl. II</w:t>
      </w:r>
    </w:p>
    <w:p>
      <w:pPr>
        <w:pStyle w:val="Normal"/>
        <w:jc w:val="center"/>
        <w:rPr>
          <w:b/>
          <w:sz w:val="20"/>
        </w:rPr>
      </w:pPr>
      <w:r>
        <w:rPr>
          <w:b/>
          <w:sz w:val="20"/>
        </w:rPr>
        <w:t>Informácie o prijatých postupoch</w:t>
      </w:r>
    </w:p>
    <w:p>
      <w:pPr>
        <w:pStyle w:val="Normal"/>
        <w:ind w:left="1121" w:right="0" w:hanging="0"/>
        <w:jc w:val="both"/>
        <w:rPr>
          <w:b/>
          <w:sz w:val="20"/>
        </w:rPr>
      </w:pPr>
      <w:r>
        <w:rPr>
          <w:b/>
          <w:sz w:val="20"/>
        </w:rPr>
      </w:r>
    </w:p>
    <w:p>
      <w:pPr>
        <w:pStyle w:val="Normal"/>
        <w:numPr>
          <w:ilvl w:val="0"/>
          <w:numId w:val="10"/>
        </w:numPr>
        <w:ind w:left="709" w:right="0" w:hanging="360"/>
        <w:jc w:val="both"/>
        <w:rPr>
          <w:sz w:val="20"/>
        </w:rPr>
      </w:pPr>
      <w:r>
        <w:rPr>
          <w:sz w:val="20"/>
        </w:rPr>
        <w:t xml:space="preserve">Účtovná závierka zostavená za splnenia predpokladu, že účtovná jednotka </w:t>
      </w:r>
      <w:r>
        <w:rPr>
          <w:b/>
          <w:sz w:val="20"/>
          <w:u w:val="single"/>
        </w:rPr>
        <w:t>bude</w:t>
      </w:r>
      <w:r>
        <w:rPr>
          <w:sz w:val="20"/>
        </w:rPr>
        <w:t xml:space="preserve"> nepretržite pokračovať vo svojej činnosti</w:t>
      </w:r>
    </w:p>
    <w:p>
      <w:pPr>
        <w:pStyle w:val="Normal"/>
        <w:numPr>
          <w:ilvl w:val="0"/>
          <w:numId w:val="10"/>
        </w:numPr>
        <w:ind w:left="709" w:right="0" w:hanging="360"/>
        <w:jc w:val="both"/>
        <w:rPr>
          <w:sz w:val="20"/>
        </w:rPr>
      </w:pPr>
      <w:r>
        <w:rPr>
          <w:sz w:val="20"/>
        </w:rPr>
        <w:t xml:space="preserve">Spôsob oceňovania jednotlivých položiek majetku a záväzkov </w:t>
      </w:r>
    </w:p>
    <w:tbl>
      <w:tblPr>
        <w:jc w:val="left"/>
        <w:tblInd w:w="10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48"/>
        <w:gridCol w:w="523"/>
      </w:tblGrid>
      <w:tr>
        <w:trPr>
          <w:cantSplit w:val="false"/>
        </w:trPr>
        <w:tc>
          <w:tcPr>
            <w:tcW w:w="907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Obstarávacou cenou</w:t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10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48"/>
        <w:gridCol w:w="523"/>
      </w:tblGrid>
      <w:tr>
        <w:trPr>
          <w:cantSplit w:val="false"/>
        </w:trPr>
        <w:tc>
          <w:tcPr>
            <w:tcW w:w="907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Vlastnými nákladmi</w:t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10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48"/>
        <w:gridCol w:w="523"/>
      </w:tblGrid>
      <w:tr>
        <w:trPr>
          <w:cantSplit w:val="false"/>
        </w:trPr>
        <w:tc>
          <w:tcPr>
            <w:tcW w:w="907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Menovitou hodnotou</w:t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ind w:left="0" w:right="-468" w:hanging="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ind w:left="0" w:right="-468" w:hanging="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ind w:left="0" w:right="-468" w:hanging="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ind w:left="0" w:right="-468" w:hanging="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10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48"/>
        <w:gridCol w:w="523"/>
      </w:tblGrid>
      <w:tr>
        <w:trPr>
          <w:cantSplit w:val="false"/>
        </w:trPr>
        <w:tc>
          <w:tcPr>
            <w:tcW w:w="907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Reprodukčnou obstarávacou cenou</w:t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1. majetok v prípade bezodplatného nadobudnutia s výnimkou peňažných prostriedkov a cenín</w:t>
            </w:r>
          </w:p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 xml:space="preserve">a pohľadávok ocenených menovitými hodnotami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10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48"/>
        <w:gridCol w:w="523"/>
      </w:tblGrid>
      <w:tr>
        <w:trPr>
          <w:cantSplit w:val="false"/>
        </w:trPr>
        <w:tc>
          <w:tcPr>
            <w:tcW w:w="907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a náklady súvisiace s obstaraním(VON).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sz w:val="20"/>
          <w:szCs w:val="22"/>
        </w:rPr>
      </w:pPr>
      <w:r>
        <w:rPr>
          <w:sz w:val="20"/>
          <w:szCs w:val="22"/>
        </w:rPr>
      </w:r>
    </w:p>
    <w:p>
      <w:pPr>
        <w:pStyle w:val="Normal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10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48"/>
        <w:gridCol w:w="523"/>
      </w:tblGrid>
      <w:tr>
        <w:trPr>
          <w:cantSplit w:val="false"/>
        </w:trPr>
        <w:tc>
          <w:tcPr>
            <w:tcW w:w="907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Autospacing="1" w:afterAutospacing="1"/>
              <w:ind w:left="0" w:right="-468" w:hanging="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sz w:val="20"/>
              </w:rPr>
            </w:pPr>
            <w:r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>
            <w:pPr>
              <w:pStyle w:val="Normal"/>
              <w:widowControl w:val="false"/>
              <w:ind w:left="0" w:right="-468" w:hanging="0"/>
              <w:rPr>
                <w:sz w:val="20"/>
              </w:rPr>
            </w:pPr>
            <w:r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rizík alebo strát z podnikania. Oceňujú sa v očakávanej výške záväzku.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ind w:left="0" w:right="-468" w:hanging="0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ind w:left="0" w:right="-468" w:hanging="0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</w:t>
            </w:r>
            <w:r>
              <w:rPr>
                <w:bCs/>
                <w:sz w:val="20"/>
                <w:szCs w:val="22"/>
              </w:rPr>
              <w:t xml:space="preserve">rovnajúcom istine a náklady súvisiace s obstaraním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ind w:left="0" w:right="-468" w:hanging="0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Daň z príjmov splatná – daň sa  určuje z účtovného zisku pred zdanením, po úpravách na daňové účely</w:t>
            </w:r>
          </w:p>
          <w:p>
            <w:pPr>
              <w:pStyle w:val="Normal"/>
              <w:ind w:left="0" w:right="-468" w:hanging="0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</w:t>
            </w:r>
            <w:r>
              <w:rPr>
                <w:bCs/>
                <w:sz w:val="20"/>
                <w:szCs w:val="22"/>
              </w:rPr>
              <w:t>podľa zákona o daniach z príjmov pri sadzbe 21 %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ind w:left="0" w:right="-468" w:hanging="0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>
            <w:pPr>
              <w:pStyle w:val="Normal"/>
              <w:ind w:left="0" w:right="-468" w:hanging="0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>
            <w:pPr>
              <w:pStyle w:val="Normal"/>
              <w:ind w:left="0" w:right="-468" w:hanging="0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</w:t>
            </w:r>
            <w:r>
              <w:rPr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Autospacing="1" w:afterAutospacing="1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>
      <w:pPr>
        <w:pStyle w:val="Normal"/>
        <w:jc w:val="both"/>
        <w:rPr>
          <w:sz w:val="20"/>
          <w:szCs w:val="22"/>
        </w:rPr>
      </w:pPr>
      <w:r>
        <w:rPr>
          <w:sz w:val="20"/>
          <w:szCs w:val="22"/>
        </w:rPr>
      </w:r>
    </w:p>
    <w:p>
      <w:pPr>
        <w:pStyle w:val="Normal"/>
        <w:numPr>
          <w:ilvl w:val="0"/>
          <w:numId w:val="10"/>
        </w:numPr>
        <w:ind w:left="709" w:right="0" w:hanging="360"/>
        <w:jc w:val="both"/>
        <w:rPr>
          <w:sz w:val="20"/>
        </w:rPr>
      </w:pPr>
      <w:r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jc w:val="left"/>
        <w:tblInd w:w="10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68"/>
        <w:gridCol w:w="1539"/>
        <w:gridCol w:w="1"/>
        <w:gridCol w:w="464"/>
      </w:tblGrid>
      <w:tr>
        <w:trPr>
          <w:cantSplit w:val="false"/>
        </w:trPr>
        <w:tc>
          <w:tcPr>
            <w:tcW w:w="8608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4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963" w:hRule="atLeast"/>
          <w:cantSplit w:val="false"/>
        </w:trPr>
        <w:tc>
          <w:tcPr>
            <w:tcW w:w="8608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rovnajú.</w:t>
            </w:r>
          </w:p>
        </w:tc>
        <w:tc>
          <w:tcPr>
            <w:tcW w:w="464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1217" w:hRule="atLeast"/>
          <w:cantSplit w:val="false"/>
        </w:trPr>
        <w:tc>
          <w:tcPr>
            <w:tcW w:w="8608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nerovnajú.</w:t>
            </w:r>
          </w:p>
        </w:tc>
        <w:tc>
          <w:tcPr>
            <w:tcW w:w="464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64" w:hRule="atLeast"/>
          <w:cantSplit w:val="false"/>
        </w:trPr>
        <w:tc>
          <w:tcPr>
            <w:tcW w:w="70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5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465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>
        <w:trPr>
          <w:trHeight w:val="64" w:hRule="atLeast"/>
          <w:cantSplit w:val="false"/>
        </w:trPr>
        <w:tc>
          <w:tcPr>
            <w:tcW w:w="70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465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>
      <w:pPr>
        <w:pStyle w:val="Normal"/>
        <w:jc w:val="both"/>
        <w:rPr>
          <w:sz w:val="18"/>
        </w:rPr>
      </w:pPr>
      <w:r>
        <w:rPr>
          <w:sz w:val="18"/>
        </w:rPr>
      </w:r>
    </w:p>
    <w:tbl>
      <w:tblPr>
        <w:jc w:val="left"/>
        <w:tblInd w:w="10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10"/>
        <w:gridCol w:w="976"/>
        <w:gridCol w:w="1164"/>
        <w:gridCol w:w="1180"/>
        <w:gridCol w:w="980"/>
        <w:gridCol w:w="1661"/>
      </w:tblGrid>
      <w:tr>
        <w:trPr>
          <w:cantSplit w:val="false"/>
        </w:trPr>
        <w:tc>
          <w:tcPr>
            <w:tcW w:w="3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661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Osobný automobil</w:t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661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Osobný automobil</w:t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661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661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661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661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661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</w:tbl>
    <w:p>
      <w:pPr>
        <w:pStyle w:val="Normal"/>
        <w:ind w:left="709" w:right="0" w:hanging="0"/>
        <w:jc w:val="both"/>
        <w:rPr>
          <w:sz w:val="20"/>
        </w:rPr>
      </w:pPr>
      <w:r>
        <w:rPr>
          <w:sz w:val="20"/>
        </w:rPr>
      </w:r>
    </w:p>
    <w:p>
      <w:pPr>
        <w:pStyle w:val="Normal"/>
        <w:ind w:left="709" w:right="0" w:hanging="0"/>
        <w:jc w:val="both"/>
        <w:rPr>
          <w:sz w:val="20"/>
        </w:rPr>
      </w:pPr>
      <w:r>
        <w:rPr>
          <w:sz w:val="20"/>
        </w:rPr>
      </w:r>
    </w:p>
    <w:p>
      <w:pPr>
        <w:pStyle w:val="Normal"/>
        <w:numPr>
          <w:ilvl w:val="0"/>
          <w:numId w:val="10"/>
        </w:numPr>
        <w:ind w:left="709" w:right="0" w:hanging="360"/>
        <w:jc w:val="both"/>
        <w:rPr>
          <w:sz w:val="20"/>
        </w:rPr>
      </w:pPr>
      <w:r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 ÚJ</w:t>
      </w:r>
    </w:p>
    <w:tbl>
      <w:tblPr>
        <w:jc w:val="left"/>
        <w:tblInd w:w="10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61"/>
        <w:gridCol w:w="1501"/>
        <w:gridCol w:w="1503"/>
        <w:gridCol w:w="1502"/>
        <w:gridCol w:w="1503"/>
        <w:gridCol w:w="1427"/>
      </w:tblGrid>
      <w:tr>
        <w:trPr>
          <w:trHeight w:val="283" w:hRule="atLeast"/>
          <w:cantSplit w:val="false"/>
        </w:trPr>
        <w:tc>
          <w:tcPr>
            <w:tcW w:w="20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  <w:t>Typ zmeny</w:t>
            </w:r>
          </w:p>
        </w:tc>
        <w:tc>
          <w:tcPr>
            <w:tcW w:w="15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  <w:t>Dôvod zmeny</w:t>
            </w:r>
          </w:p>
        </w:tc>
        <w:tc>
          <w:tcPr>
            <w:tcW w:w="15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  <w:t>Majetok</w:t>
            </w:r>
          </w:p>
        </w:tc>
        <w:tc>
          <w:tcPr>
            <w:tcW w:w="15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  <w:t>Záväzky</w:t>
            </w:r>
          </w:p>
        </w:tc>
        <w:tc>
          <w:tcPr>
            <w:tcW w:w="15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  <w:t>ZI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  <w:t>HV</w:t>
            </w:r>
          </w:p>
        </w:tc>
      </w:tr>
      <w:tr>
        <w:trPr>
          <w:trHeight w:val="283" w:hRule="atLeast"/>
          <w:cantSplit w:val="false"/>
        </w:trPr>
        <w:tc>
          <w:tcPr>
            <w:tcW w:w="20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  <w:cantSplit w:val="false"/>
        </w:trPr>
        <w:tc>
          <w:tcPr>
            <w:tcW w:w="20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ListParagraph"/>
        <w:rPr>
          <w:sz w:val="20"/>
        </w:rPr>
      </w:pPr>
      <w:r>
        <w:rPr>
          <w:sz w:val="20"/>
        </w:rPr>
      </w:r>
    </w:p>
    <w:p>
      <w:pPr>
        <w:pStyle w:val="Normal"/>
        <w:numPr>
          <w:ilvl w:val="0"/>
          <w:numId w:val="10"/>
        </w:numPr>
        <w:ind w:left="709" w:right="0" w:hanging="360"/>
        <w:jc w:val="both"/>
        <w:rPr>
          <w:sz w:val="20"/>
        </w:rPr>
      </w:pPr>
      <w:r>
        <w:rPr>
          <w:sz w:val="20"/>
        </w:rPr>
        <w:t xml:space="preserve">Informácie o dotáciách a ich oceňovanie v účtovníctve </w:t>
      </w:r>
    </w:p>
    <w:tbl>
      <w:tblPr>
        <w:jc w:val="left"/>
        <w:tblInd w:w="10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80"/>
        <w:gridCol w:w="2998"/>
        <w:gridCol w:w="1420"/>
      </w:tblGrid>
      <w:tr>
        <w:trPr>
          <w:trHeight w:val="283" w:hRule="atLeast"/>
          <w:cantSplit w:val="false"/>
        </w:trPr>
        <w:tc>
          <w:tcPr>
            <w:tcW w:w="50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Dotácia</w:t>
            </w:r>
          </w:p>
        </w:tc>
        <w:tc>
          <w:tcPr>
            <w:tcW w:w="29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>
        <w:trPr>
          <w:trHeight w:val="283" w:hRule="atLeast"/>
          <w:cantSplit w:val="false"/>
        </w:trPr>
        <w:tc>
          <w:tcPr>
            <w:tcW w:w="5080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2998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0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  <w:cantSplit w:val="false"/>
        </w:trPr>
        <w:tc>
          <w:tcPr>
            <w:tcW w:w="5080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2998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0" w:type="dxa"/>
            <w:tcBorders>
              <w:top w:val="single" w:sz="4" w:space="0" w:color="00000A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ind w:left="709" w:right="0" w:hanging="0"/>
        <w:jc w:val="both"/>
        <w:rPr>
          <w:sz w:val="18"/>
          <w:szCs w:val="22"/>
        </w:rPr>
      </w:pPr>
      <w:r>
        <w:rPr>
          <w:sz w:val="18"/>
          <w:szCs w:val="22"/>
        </w:rPr>
      </w:r>
    </w:p>
    <w:p>
      <w:pPr>
        <w:pStyle w:val="Normal"/>
        <w:numPr>
          <w:ilvl w:val="0"/>
          <w:numId w:val="10"/>
        </w:numPr>
        <w:ind w:left="709" w:right="0" w:hanging="360"/>
        <w:jc w:val="both"/>
        <w:rPr>
          <w:sz w:val="20"/>
        </w:rPr>
      </w:pPr>
      <w:r>
        <w:rPr>
          <w:sz w:val="20"/>
        </w:rPr>
        <w:t xml:space="preserve">Informácie o účtovaní významných opráv chýb minulých účtovných období v bežnom účtovnom období </w:t>
      </w:r>
    </w:p>
    <w:tbl>
      <w:tblPr>
        <w:jc w:val="left"/>
        <w:tblInd w:w="10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76"/>
        <w:gridCol w:w="992"/>
        <w:gridCol w:w="850"/>
        <w:gridCol w:w="2125"/>
        <w:gridCol w:w="2555"/>
      </w:tblGrid>
      <w:tr>
        <w:trPr>
          <w:cantSplit w:val="false"/>
        </w:trPr>
        <w:tc>
          <w:tcPr>
            <w:tcW w:w="2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Opravy minulého obdobia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Patrí do obdobia</w:t>
            </w:r>
          </w:p>
        </w:tc>
        <w:tc>
          <w:tcPr>
            <w:tcW w:w="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 xml:space="preserve">Účet </w:t>
            </w:r>
          </w:p>
        </w:tc>
        <w:tc>
          <w:tcPr>
            <w:tcW w:w="21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Účtované na účet HV min. období (EUR)</w:t>
            </w:r>
          </w:p>
        </w:tc>
        <w:tc>
          <w:tcPr>
            <w:tcW w:w="25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Účtované do HV bežného  obdobia(EUR)</w:t>
            </w:r>
          </w:p>
        </w:tc>
      </w:tr>
      <w:tr>
        <w:trPr>
          <w:trHeight w:val="340" w:hRule="atLeast"/>
          <w:cantSplit w:val="false"/>
        </w:trPr>
        <w:tc>
          <w:tcPr>
            <w:tcW w:w="2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5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5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5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5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5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5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5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</w:tr>
    </w:tbl>
    <w:p>
      <w:pPr>
        <w:pStyle w:val="Normal"/>
        <w:jc w:val="both"/>
        <w:rPr>
          <w:sz w:val="18"/>
          <w:szCs w:val="22"/>
        </w:rPr>
      </w:pPr>
      <w:r>
        <w:rPr>
          <w:sz w:val="18"/>
          <w:szCs w:val="22"/>
        </w:rPr>
      </w:r>
    </w:p>
    <w:p>
      <w:pPr>
        <w:pStyle w:val="Normal"/>
        <w:ind w:left="360" w:right="0" w:hanging="0"/>
        <w:rPr>
          <w:sz w:val="20"/>
        </w:rPr>
      </w:pPr>
      <w:r>
        <w:rPr>
          <w:sz w:val="20"/>
        </w:rPr>
      </w:r>
    </w:p>
    <w:p>
      <w:pPr>
        <w:pStyle w:val="Normal"/>
        <w:jc w:val="center"/>
        <w:rPr>
          <w:b/>
          <w:sz w:val="20"/>
        </w:rPr>
      </w:pPr>
      <w:r>
        <w:rPr>
          <w:b/>
          <w:sz w:val="20"/>
        </w:rPr>
        <w:t>Čl. III</w:t>
      </w:r>
    </w:p>
    <w:p>
      <w:pPr>
        <w:pStyle w:val="Normal"/>
        <w:jc w:val="center"/>
        <w:rPr>
          <w:b/>
          <w:sz w:val="20"/>
        </w:rPr>
      </w:pPr>
      <w:r>
        <w:rPr>
          <w:b/>
          <w:sz w:val="20"/>
        </w:rPr>
        <w:t>Informácie, ktoré vysvetľujú a dopĺňajú súvahu a výkaz ziskov a strát</w:t>
      </w:r>
    </w:p>
    <w:p>
      <w:pPr>
        <w:pStyle w:val="Normal"/>
        <w:ind w:left="1841" w:right="0" w:hanging="0"/>
        <w:jc w:val="center"/>
        <w:rPr>
          <w:b/>
          <w:sz w:val="20"/>
        </w:rPr>
      </w:pPr>
      <w:r>
        <w:rPr>
          <w:b/>
          <w:sz w:val="20"/>
        </w:rPr>
      </w:r>
    </w:p>
    <w:p>
      <w:pPr>
        <w:pStyle w:val="Normal"/>
        <w:numPr>
          <w:ilvl w:val="0"/>
          <w:numId w:val="11"/>
        </w:numPr>
        <w:ind w:left="709" w:right="0" w:hanging="360"/>
        <w:jc w:val="both"/>
        <w:rPr>
          <w:sz w:val="20"/>
        </w:rPr>
      </w:pPr>
      <w:r>
        <w:rPr>
          <w:sz w:val="20"/>
        </w:rPr>
        <w:t>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</w:t>
      </w:r>
    </w:p>
    <w:tbl>
      <w:tblPr>
        <w:jc w:val="left"/>
        <w:tblInd w:w="10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97"/>
        <w:gridCol w:w="4181"/>
        <w:gridCol w:w="1420"/>
      </w:tblGrid>
      <w:tr>
        <w:trPr>
          <w:trHeight w:val="283" w:hRule="atLeast"/>
          <w:cantSplit w:val="false"/>
        </w:trPr>
        <w:tc>
          <w:tcPr>
            <w:tcW w:w="3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Popis nákladov ,výnosov výnimoč. rozsahu</w:t>
            </w:r>
          </w:p>
        </w:tc>
        <w:tc>
          <w:tcPr>
            <w:tcW w:w="41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Dôvod vzniku</w:t>
            </w:r>
          </w:p>
        </w:tc>
        <w:tc>
          <w:tcPr>
            <w:tcW w:w="142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>
        <w:trPr>
          <w:trHeight w:val="283" w:hRule="atLeast"/>
          <w:cantSplit w:val="false"/>
        </w:trPr>
        <w:tc>
          <w:tcPr>
            <w:tcW w:w="3897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181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0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  <w:cantSplit w:val="false"/>
        </w:trPr>
        <w:tc>
          <w:tcPr>
            <w:tcW w:w="3897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181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0" w:type="dxa"/>
            <w:tcBorders>
              <w:top w:val="single" w:sz="4" w:space="0" w:color="00000A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ind w:left="1481" w:right="0" w:hanging="0"/>
        <w:jc w:val="both"/>
        <w:rPr>
          <w:sz w:val="20"/>
        </w:rPr>
      </w:pPr>
      <w:r>
        <w:rPr>
          <w:sz w:val="20"/>
        </w:rPr>
      </w:r>
    </w:p>
    <w:p>
      <w:pPr>
        <w:pStyle w:val="Normal"/>
        <w:numPr>
          <w:ilvl w:val="0"/>
          <w:numId w:val="11"/>
        </w:numPr>
        <w:ind w:left="709" w:right="0" w:hanging="360"/>
        <w:jc w:val="both"/>
        <w:rPr>
          <w:sz w:val="20"/>
        </w:rPr>
      </w:pPr>
      <w:r>
        <w:rPr>
          <w:sz w:val="20"/>
        </w:rPr>
        <w:t xml:space="preserve">Informácie o záväzkoch </w:t>
      </w:r>
    </w:p>
    <w:tbl>
      <w:tblPr>
        <w:jc w:val="left"/>
        <w:tblInd w:w="10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79"/>
        <w:gridCol w:w="1418"/>
      </w:tblGrid>
      <w:tr>
        <w:trPr>
          <w:trHeight w:val="283" w:hRule="atLeast"/>
          <w:cantSplit w:val="false"/>
        </w:trPr>
        <w:tc>
          <w:tcPr>
            <w:tcW w:w="80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Celková suma záväzkov so zostatkovou dobou splatnosti dlhšou ako päť rokov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  <w:cantSplit w:val="false"/>
        </w:trPr>
        <w:tc>
          <w:tcPr>
            <w:tcW w:w="8079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Celková suma zabezpečených záväzkov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  <w:cantSplit w:val="false"/>
        </w:trPr>
        <w:tc>
          <w:tcPr>
            <w:tcW w:w="9497" w:type="dxa"/>
            <w:gridSpan w:val="2"/>
            <w:tcBorders>
              <w:top w:val="single" w:sz="4" w:space="0" w:color="00000A"/>
              <w:left w:val="single" w:sz="4" w:space="0" w:color="000001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</w:rPr>
            </w:pPr>
            <w:r>
              <w:rPr>
                <w:sz w:val="20"/>
              </w:rPr>
              <w:t>Opis a spôsoby zabezpečenia záväzkov</w:t>
            </w:r>
          </w:p>
        </w:tc>
      </w:tr>
      <w:tr>
        <w:trPr>
          <w:trHeight w:val="283" w:hRule="atLeast"/>
          <w:cantSplit w:val="false"/>
        </w:trPr>
        <w:tc>
          <w:tcPr>
            <w:tcW w:w="8079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  <w:cantSplit w:val="false"/>
        </w:trPr>
        <w:tc>
          <w:tcPr>
            <w:tcW w:w="8079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ind w:left="1134" w:right="0" w:hanging="0"/>
        <w:jc w:val="both"/>
        <w:rPr>
          <w:sz w:val="20"/>
        </w:rPr>
      </w:pPr>
      <w:r>
        <w:rPr>
          <w:sz w:val="20"/>
        </w:rPr>
      </w:r>
    </w:p>
    <w:p>
      <w:pPr>
        <w:pStyle w:val="Normal"/>
        <w:numPr>
          <w:ilvl w:val="0"/>
          <w:numId w:val="11"/>
        </w:numPr>
        <w:ind w:left="709" w:right="0" w:hanging="360"/>
        <w:jc w:val="both"/>
        <w:rPr>
          <w:bCs/>
          <w:sz w:val="20"/>
          <w:lang w:eastAsia="en-US"/>
        </w:rPr>
      </w:pPr>
      <w:r>
        <w:rPr>
          <w:bCs/>
          <w:sz w:val="20"/>
          <w:lang w:eastAsia="en-US"/>
        </w:rPr>
        <w:t>Informácie o vlastných akciách, a to</w:t>
      </w:r>
    </w:p>
    <w:p>
      <w:pPr>
        <w:pStyle w:val="Normal"/>
        <w:numPr>
          <w:ilvl w:val="0"/>
          <w:numId w:val="2"/>
        </w:numPr>
        <w:ind w:left="1276" w:right="0" w:hanging="360"/>
        <w:jc w:val="both"/>
        <w:rPr>
          <w:sz w:val="20"/>
        </w:rPr>
      </w:pPr>
      <w:r>
        <w:rPr>
          <w:sz w:val="20"/>
        </w:rPr>
        <w:t>dôvode nadobudnutia vlastných akcií počas účtovného obdobia,</w:t>
      </w:r>
    </w:p>
    <w:p>
      <w:pPr>
        <w:pStyle w:val="Normal"/>
        <w:numPr>
          <w:ilvl w:val="0"/>
          <w:numId w:val="2"/>
        </w:numPr>
        <w:ind w:left="1276" w:right="0" w:hanging="360"/>
        <w:jc w:val="both"/>
        <w:rPr>
          <w:sz w:val="20"/>
        </w:rPr>
      </w:pPr>
      <w:r>
        <w:rPr>
          <w:sz w:val="20"/>
        </w:rPr>
        <w:t>informáciách, ktorými sú</w:t>
      </w:r>
    </w:p>
    <w:p>
      <w:pPr>
        <w:pStyle w:val="Normal"/>
        <w:numPr>
          <w:ilvl w:val="0"/>
          <w:numId w:val="9"/>
        </w:numPr>
        <w:tabs>
          <w:tab w:val="left" w:pos="851" w:leader="none"/>
        </w:tabs>
        <w:ind w:left="1701" w:right="0" w:hanging="360"/>
        <w:jc w:val="both"/>
        <w:rPr>
          <w:sz w:val="20"/>
        </w:rPr>
      </w:pPr>
      <w:r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4"/>
        </w:numPr>
        <w:tabs>
          <w:tab w:val="left" w:pos="851" w:leader="none"/>
        </w:tabs>
        <w:ind w:left="1701" w:right="0" w:hanging="360"/>
        <w:jc w:val="both"/>
        <w:rPr>
          <w:sz w:val="20"/>
        </w:rPr>
      </w:pPr>
      <w:r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2"/>
        </w:numPr>
        <w:ind w:left="1276" w:right="0" w:hanging="360"/>
        <w:jc w:val="both"/>
        <w:rPr>
          <w:bCs/>
          <w:sz w:val="20"/>
          <w:lang w:eastAsia="en-US"/>
        </w:rPr>
      </w:pPr>
      <w:r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>
        <w:rPr>
          <w:bCs/>
          <w:sz w:val="20"/>
          <w:lang w:eastAsia="en-US"/>
        </w:rPr>
        <w:t>uvádza  sa aj ich percentuálny podiel na upísanom základnom imaní.</w:t>
      </w:r>
    </w:p>
    <w:p>
      <w:pPr>
        <w:pStyle w:val="Normal"/>
        <w:numPr>
          <w:ilvl w:val="0"/>
          <w:numId w:val="11"/>
        </w:numPr>
        <w:ind w:left="709" w:right="0" w:hanging="360"/>
        <w:jc w:val="both"/>
        <w:rPr>
          <w:sz w:val="20"/>
        </w:rPr>
      </w:pPr>
      <w:r>
        <w:rPr>
          <w:sz w:val="20"/>
        </w:rPr>
        <w:t>Informácie o orgánoch účtovnej jednotky</w:t>
      </w:r>
    </w:p>
    <w:tbl>
      <w:tblPr>
        <w:jc w:val="left"/>
        <w:tblInd w:w="108" w:type="dxa"/>
        <w:tblBorders>
          <w:top w:val="single" w:sz="4" w:space="0" w:color="000001"/>
          <w:left w:val="single" w:sz="4" w:space="0" w:color="00000A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69"/>
        <w:gridCol w:w="1559"/>
        <w:gridCol w:w="426"/>
        <w:gridCol w:w="416"/>
        <w:gridCol w:w="1427"/>
      </w:tblGrid>
      <w:tr>
        <w:trPr>
          <w:trHeight w:val="283" w:hRule="atLeast"/>
          <w:cantSplit w:val="false"/>
        </w:trPr>
        <w:tc>
          <w:tcPr>
            <w:tcW w:w="9497" w:type="dxa"/>
            <w:gridSpan w:val="5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</w:rPr>
            </w:pPr>
            <w:r>
              <w:rPr>
                <w:sz w:val="20"/>
              </w:rPr>
              <w:t>a</w:t>
            </w:r>
            <w:r>
              <w:rPr>
                <w:b/>
                <w:sz w:val="20"/>
              </w:rPr>
              <w:t>)</w:t>
            </w:r>
            <w:r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>
        <w:trPr>
          <w:trHeight w:val="283" w:hRule="atLeast"/>
          <w:cantSplit w:val="false"/>
        </w:trPr>
        <w:tc>
          <w:tcPr>
            <w:tcW w:w="566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>
        <w:trPr>
          <w:trHeight w:val="283" w:hRule="atLeast"/>
          <w:cantSplit w:val="false"/>
        </w:trPr>
        <w:tc>
          <w:tcPr>
            <w:tcW w:w="5669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98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3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  <w:cantSplit w:val="false"/>
        </w:trPr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985" w:type="dxa"/>
            <w:gridSpan w:val="2"/>
            <w:tcBorders>
              <w:top w:val="single" w:sz="4" w:space="0" w:color="00000A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9497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>
        <w:trPr>
          <w:cantSplit w:val="false"/>
        </w:trPr>
        <w:tc>
          <w:tcPr>
            <w:tcW w:w="56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Celková suma poskytnutých pôžičiek k poslednému dňu ÚO. obdobia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842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  <w:t>Úrok v %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56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842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56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842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56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Celková suma splatených pôžičiek k poslednému dňu účt. obdobia</w:t>
            </w:r>
          </w:p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842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56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842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56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842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56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Celková suma odpustených pôžičiek a odpísaných pôžičiek </w:t>
            </w:r>
          </w:p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k poslednému dňu účtovného obdobia 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842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56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842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56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842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  <w:cantSplit w:val="false"/>
        </w:trPr>
        <w:tc>
          <w:tcPr>
            <w:tcW w:w="9497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  <w:t>c)celková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rPr>
          <w:trHeight w:val="283" w:hRule="atLeast"/>
          <w:cantSplit w:val="false"/>
        </w:trPr>
        <w:tc>
          <w:tcPr>
            <w:tcW w:w="56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>
        <w:trPr>
          <w:trHeight w:val="283" w:hRule="atLeast"/>
          <w:cantSplit w:val="false"/>
        </w:trPr>
        <w:tc>
          <w:tcPr>
            <w:tcW w:w="5669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98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3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  <w:cantSplit w:val="false"/>
        </w:trPr>
        <w:tc>
          <w:tcPr>
            <w:tcW w:w="5669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985" w:type="dxa"/>
            <w:gridSpan w:val="2"/>
            <w:tcBorders>
              <w:top w:val="single" w:sz="4" w:space="0" w:color="00000A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jc w:val="both"/>
        <w:rPr>
          <w:sz w:val="20"/>
        </w:rPr>
      </w:pPr>
      <w:r>
        <w:rPr>
          <w:sz w:val="20"/>
        </w:rPr>
      </w:r>
    </w:p>
    <w:p>
      <w:pPr>
        <w:pStyle w:val="Normal"/>
        <w:numPr>
          <w:ilvl w:val="0"/>
          <w:numId w:val="11"/>
        </w:numPr>
        <w:ind w:left="1480" w:right="0" w:hanging="360"/>
        <w:jc w:val="both"/>
        <w:rPr>
          <w:sz w:val="20"/>
        </w:rPr>
      </w:pPr>
      <w:r>
        <w:rPr>
          <w:sz w:val="20"/>
        </w:rPr>
        <w:t>Informácie o povinnostiach účtovnej jednotky, a to</w:t>
      </w:r>
    </w:p>
    <w:p>
      <w:pPr>
        <w:pStyle w:val="Normal"/>
        <w:numPr>
          <w:ilvl w:val="0"/>
          <w:numId w:val="3"/>
        </w:numPr>
        <w:ind w:left="1276" w:right="0" w:hanging="360"/>
        <w:jc w:val="both"/>
        <w:rPr>
          <w:sz w:val="20"/>
        </w:rPr>
      </w:pPr>
      <w:r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>
      <w:pPr>
        <w:pStyle w:val="Normal"/>
        <w:ind w:left="1276" w:right="0" w:hanging="0"/>
        <w:jc w:val="both"/>
        <w:rPr>
          <w:sz w:val="20"/>
        </w:rPr>
      </w:pPr>
      <w:r>
        <w:rPr>
          <w:sz w:val="20"/>
        </w:rPr>
        <w:t xml:space="preserve">- </w:t>
      </w:r>
    </w:p>
    <w:p>
      <w:pPr>
        <w:pStyle w:val="Normal"/>
        <w:numPr>
          <w:ilvl w:val="0"/>
          <w:numId w:val="3"/>
        </w:numPr>
        <w:ind w:left="1276" w:right="0" w:hanging="360"/>
        <w:jc w:val="both"/>
        <w:rPr>
          <w:sz w:val="20"/>
        </w:rPr>
      </w:pPr>
      <w:r>
        <w:rPr>
          <w:sz w:val="20"/>
        </w:rPr>
        <w:t>celkovej sume významných podmienených záväzkov, ktorými sa rozumie</w:t>
      </w:r>
    </w:p>
    <w:p>
      <w:pPr>
        <w:pStyle w:val="Normal"/>
        <w:numPr>
          <w:ilvl w:val="0"/>
          <w:numId w:val="6"/>
        </w:numPr>
        <w:ind w:left="1701" w:right="0" w:hanging="360"/>
        <w:jc w:val="both"/>
        <w:rPr>
          <w:sz w:val="20"/>
        </w:rPr>
      </w:pPr>
      <w:r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>
      <w:pPr>
        <w:pStyle w:val="Normal"/>
        <w:numPr>
          <w:ilvl w:val="0"/>
          <w:numId w:val="6"/>
        </w:numPr>
        <w:ind w:left="1701" w:right="0" w:hanging="360"/>
        <w:jc w:val="both"/>
        <w:rPr>
          <w:sz w:val="20"/>
        </w:rPr>
      </w:pPr>
      <w:r>
        <w:rPr>
          <w:sz w:val="20"/>
        </w:rPr>
        <w:t>existujúca povinnosť, ktorá vznikla ako dôsledok minulej udalosti, ale ktorá sa nevykazuje v súvahe, pretože</w:t>
      </w:r>
    </w:p>
    <w:p>
      <w:pPr>
        <w:pStyle w:val="Normal"/>
        <w:numPr>
          <w:ilvl w:val="0"/>
          <w:numId w:val="5"/>
        </w:numPr>
        <w:ind w:left="2127" w:right="0" w:hanging="360"/>
        <w:jc w:val="both"/>
        <w:rPr>
          <w:sz w:val="20"/>
        </w:rPr>
      </w:pPr>
      <w:r>
        <w:rPr>
          <w:sz w:val="20"/>
        </w:rPr>
        <w:t>nie je pravdepodobné, že na splnenie tejto povinnosti bude potrebný úbytok ekonomických úžitkov, alebo</w:t>
      </w:r>
    </w:p>
    <w:p>
      <w:pPr>
        <w:pStyle w:val="Normal"/>
        <w:numPr>
          <w:ilvl w:val="0"/>
          <w:numId w:val="7"/>
        </w:numPr>
        <w:tabs>
          <w:tab w:val="left" w:pos="851" w:leader="none"/>
        </w:tabs>
        <w:ind w:left="0" w:right="0" w:hanging="809"/>
        <w:jc w:val="both"/>
        <w:rPr>
          <w:sz w:val="20"/>
        </w:rPr>
      </w:pPr>
      <w:r>
        <w:rPr>
          <w:sz w:val="20"/>
        </w:rPr>
        <w:t>výška tejto povinnosti sa nedá spoľahlivo oceniť,</w:t>
      </w:r>
    </w:p>
    <w:p>
      <w:pPr>
        <w:pStyle w:val="Normal"/>
        <w:tabs>
          <w:tab w:val="left" w:pos="851" w:leader="none"/>
        </w:tabs>
        <w:ind w:left="2510" w:right="0" w:hanging="0"/>
        <w:jc w:val="both"/>
        <w:rPr>
          <w:sz w:val="20"/>
        </w:rPr>
      </w:pPr>
      <w:r>
        <w:rPr>
          <w:sz w:val="20"/>
        </w:rPr>
        <w:t xml:space="preserve">- </w:t>
      </w:r>
    </w:p>
    <w:p>
      <w:pPr>
        <w:pStyle w:val="Normal"/>
        <w:numPr>
          <w:ilvl w:val="0"/>
          <w:numId w:val="3"/>
        </w:numPr>
        <w:ind w:left="1276" w:right="0" w:hanging="360"/>
        <w:jc w:val="both"/>
        <w:rPr>
          <w:sz w:val="20"/>
        </w:rPr>
      </w:pPr>
      <w:r>
        <w:rPr>
          <w:sz w:val="20"/>
        </w:rPr>
        <w:t>opise významných finančných povinností a významných podmienených záväzkov,</w:t>
      </w:r>
    </w:p>
    <w:p>
      <w:pPr>
        <w:pStyle w:val="Normal"/>
        <w:numPr>
          <w:ilvl w:val="0"/>
          <w:numId w:val="3"/>
        </w:numPr>
        <w:ind w:left="1276" w:right="0" w:hanging="360"/>
        <w:jc w:val="both"/>
        <w:rPr>
          <w:sz w:val="20"/>
        </w:rPr>
      </w:pPr>
      <w:r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>
      <w:pPr>
        <w:pStyle w:val="Normal"/>
        <w:numPr>
          <w:ilvl w:val="0"/>
          <w:numId w:val="3"/>
        </w:numPr>
        <w:ind w:left="1276" w:right="0" w:hanging="360"/>
        <w:jc w:val="both"/>
        <w:rPr>
          <w:sz w:val="20"/>
        </w:rPr>
      </w:pPr>
      <w:r>
        <w:rPr>
          <w:sz w:val="20"/>
        </w:rPr>
        <w:t>opise významných povinností účtovnej jednotky vyplývajúcich z dôchodkových programov pre zamestnancov.</w:t>
      </w:r>
    </w:p>
    <w:p>
      <w:pPr>
        <w:pStyle w:val="Normal"/>
        <w:ind w:left="1276" w:right="0" w:hanging="0"/>
        <w:jc w:val="both"/>
        <w:rPr>
          <w:sz w:val="20"/>
        </w:rPr>
      </w:pPr>
      <w:r>
        <w:rPr>
          <w:sz w:val="20"/>
        </w:rPr>
        <w:t>-</w:t>
      </w:r>
    </w:p>
    <w:p>
      <w:pPr>
        <w:pStyle w:val="Normal"/>
        <w:numPr>
          <w:ilvl w:val="0"/>
          <w:numId w:val="11"/>
        </w:numPr>
        <w:ind w:left="709" w:right="0" w:hanging="360"/>
        <w:jc w:val="both"/>
        <w:rPr>
          <w:sz w:val="20"/>
        </w:rPr>
      </w:pPr>
      <w:bookmarkStart w:id="0" w:name="OLE_LINK1"/>
      <w:bookmarkEnd w:id="0"/>
      <w:r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pStyle w:val="Normal"/>
        <w:numPr>
          <w:ilvl w:val="0"/>
          <w:numId w:val="12"/>
        </w:numPr>
        <w:ind w:left="1276" w:right="0" w:hanging="360"/>
        <w:jc w:val="both"/>
        <w:rPr>
          <w:sz w:val="20"/>
        </w:rPr>
      </w:pPr>
      <w:r>
        <w:rPr>
          <w:sz w:val="20"/>
        </w:rPr>
        <w:t>všetkých formách prijatej náhrady,</w:t>
      </w:r>
    </w:p>
    <w:p>
      <w:pPr>
        <w:pStyle w:val="Normal"/>
        <w:numPr>
          <w:ilvl w:val="0"/>
          <w:numId w:val="12"/>
        </w:numPr>
        <w:ind w:left="1276" w:right="0" w:hanging="360"/>
        <w:jc w:val="both"/>
        <w:rPr>
          <w:sz w:val="20"/>
        </w:rPr>
      </w:pPr>
      <w:r>
        <w:rPr>
          <w:sz w:val="20"/>
        </w:rPr>
        <w:t>účtovných zásadách použitých pri prideľovaní nákladov a výnosov,</w:t>
      </w:r>
    </w:p>
    <w:p>
      <w:pPr>
        <w:pStyle w:val="Normal"/>
        <w:numPr>
          <w:ilvl w:val="0"/>
          <w:numId w:val="12"/>
        </w:numPr>
        <w:ind w:left="1276" w:right="0" w:hanging="360"/>
        <w:jc w:val="both"/>
        <w:rPr>
          <w:sz w:val="20"/>
        </w:rPr>
      </w:pPr>
      <w:r>
        <w:rPr>
          <w:sz w:val="20"/>
        </w:rPr>
        <w:t>všetkých druhoch činností účtovnej jednotky.</w:t>
      </w:r>
    </w:p>
    <w:p>
      <w:pPr>
        <w:pStyle w:val="Normal"/>
        <w:ind w:left="1276" w:right="0" w:hanging="0"/>
        <w:rPr>
          <w:b/>
          <w:sz w:val="20"/>
        </w:rPr>
      </w:pPr>
      <w:bookmarkStart w:id="1" w:name="OLE_LINK1"/>
      <w:bookmarkEnd w:id="1"/>
      <w:r>
        <w:rPr>
          <w:b/>
          <w:sz w:val="20"/>
        </w:rPr>
        <w:t>-</w:t>
      </w:r>
    </w:p>
    <w:p>
      <w:pPr>
        <w:pStyle w:val="Normal"/>
        <w:jc w:val="right"/>
        <w:rPr>
          <w:sz w:val="20"/>
        </w:rPr>
      </w:pPr>
      <w:r>
        <w:rPr>
          <w:sz w:val="20"/>
        </w:rPr>
      </w:r>
    </w:p>
    <w:p>
      <w:pPr>
        <w:pStyle w:val="Normal"/>
        <w:rPr>
          <w:sz w:val="20"/>
        </w:rPr>
      </w:pPr>
      <w:r>
        <w:rPr>
          <w:sz w:val="20"/>
        </w:rPr>
        <w:t>Údaje v poznámkach sú uvádzané za bežne účtovné obdobie. Sumy sú uvádzané v celých eurách.</w:t>
      </w:r>
    </w:p>
    <w:p>
      <w:pPr>
        <w:pStyle w:val="Normal"/>
        <w:rPr>
          <w:sz w:val="20"/>
        </w:rPr>
      </w:pPr>
      <w:r>
        <w:rPr>
          <w:sz w:val="20"/>
        </w:rPr>
        <w:t>ÚJ - účtovná jednotka</w:t>
      </w:r>
    </w:p>
    <w:p>
      <w:pPr>
        <w:pStyle w:val="Normal"/>
        <w:rPr>
          <w:sz w:val="20"/>
        </w:rPr>
      </w:pPr>
      <w:r>
        <w:rPr>
          <w:sz w:val="20"/>
        </w:rPr>
        <w:t>BO-bežné obdobie</w:t>
      </w:r>
    </w:p>
    <w:p>
      <w:pPr>
        <w:pStyle w:val="Normal"/>
        <w:rPr>
          <w:sz w:val="20"/>
        </w:rPr>
      </w:pPr>
      <w:r>
        <w:rPr>
          <w:sz w:val="20"/>
        </w:rPr>
      </w:r>
    </w:p>
    <w:p>
      <w:pPr>
        <w:pStyle w:val="Normal"/>
        <w:rPr>
          <w:sz w:val="20"/>
        </w:rPr>
      </w:pPr>
      <w:r>
        <w:rPr>
          <w:sz w:val="20"/>
        </w:rPr>
        <w:t>Zostavené: 2</w:t>
      </w:r>
      <w:r>
        <w:rPr>
          <w:sz w:val="20"/>
        </w:rPr>
        <w:t>2</w:t>
      </w:r>
      <w:r>
        <w:rPr>
          <w:sz w:val="20"/>
        </w:rPr>
        <w:t>.06.202</w:t>
      </w:r>
      <w:r>
        <w:rPr>
          <w:sz w:val="20"/>
        </w:rPr>
        <w:t>1</w:t>
      </w:r>
      <w:r>
        <w:rPr>
          <w:sz w:val="20"/>
        </w:rPr>
        <w:t xml:space="preserve">                                     Schválené:2</w:t>
      </w:r>
      <w:r>
        <w:rPr>
          <w:sz w:val="20"/>
        </w:rPr>
        <w:t>2</w:t>
      </w:r>
      <w:r>
        <w:rPr>
          <w:sz w:val="20"/>
        </w:rPr>
        <w:t>.06.202</w:t>
      </w:r>
      <w:r>
        <w:rPr>
          <w:sz w:val="20"/>
        </w:rPr>
        <w:t>1</w:t>
      </w:r>
    </w:p>
    <w:sectPr>
      <w:headerReference w:type="default" r:id="rId2"/>
      <w:footerReference w:type="default" r:id="rId3"/>
      <w:type w:val="nextPage"/>
      <w:pgSz w:w="11906" w:h="16838"/>
      <w:pgMar w:left="1021" w:right="1418" w:header="567" w:top="1418" w:footer="567" w:bottom="1418" w:gutter="0"/>
      <w:pgNumType w:start="1" w:fmt="decimal"/>
      <w:formProt w:val="false"/>
      <w:textDirection w:val="lrTb"/>
      <w:docGrid w:type="default" w:linePitch="326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Pta"/>
      <w:jc w:val="center"/>
      <w:rPr/>
    </w:pPr>
    <w:r>
      <w:rPr/>
      <w:fldChar w:fldCharType="begin"/>
    </w:r>
    <w:r>
      <w:instrText> PAGE </w:instrText>
    </w:r>
    <w:r>
      <w:fldChar w:fldCharType="separate"/>
    </w:r>
    <w:r>
      <w:t>4</w:t>
    </w:r>
    <w: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tbl>
    <w:tblPr>
      <w:jc w:val="left"/>
      <w:tblInd w:w="55" w:type="dxa"/>
      <w:tblBorders>
        <w:top w:val="single" w:sz="4" w:space="0" w:color="00000A"/>
        <w:left w:val="single" w:sz="4" w:space="0" w:color="00000A"/>
        <w:bottom w:val="single" w:sz="4" w:space="0" w:color="00000A"/>
        <w:insideH w:val="single" w:sz="4" w:space="0" w:color="00000A"/>
        <w:right w:val="single" w:sz="4" w:space="0" w:color="00000A"/>
        <w:insideV w:val="single" w:sz="4" w:space="0" w:color="00000A"/>
      </w:tblBorders>
      <w:tblCellMar>
        <w:top w:w="0" w:type="dxa"/>
        <w:left w:w="65" w:type="dxa"/>
        <w:bottom w:w="0" w:type="dxa"/>
        <w:right w:w="70" w:type="dxa"/>
      </w:tblCellMar>
    </w:tblPr>
    <w:tblGrid>
      <w:gridCol w:w="2709"/>
      <w:gridCol w:w="707"/>
      <w:gridCol w:w="350"/>
      <w:gridCol w:w="346"/>
      <w:gridCol w:w="345"/>
      <w:gridCol w:w="345"/>
      <w:gridCol w:w="346"/>
      <w:gridCol w:w="345"/>
      <w:gridCol w:w="346"/>
      <w:gridCol w:w="345"/>
      <w:gridCol w:w="681"/>
      <w:gridCol w:w="343"/>
      <w:gridCol w:w="343"/>
      <w:gridCol w:w="344"/>
      <w:gridCol w:w="343"/>
      <w:gridCol w:w="343"/>
      <w:gridCol w:w="344"/>
      <w:gridCol w:w="343"/>
      <w:gridCol w:w="343"/>
      <w:gridCol w:w="344"/>
      <w:gridCol w:w="353"/>
    </w:tblGrid>
    <w:tr>
      <w:trPr>
        <w:trHeight w:val="330" w:hRule="atLeast"/>
        <w:cantSplit w:val="false"/>
      </w:trPr>
      <w:tc>
        <w:tcPr>
          <w:tcW w:w="270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07" w:type="dxa"/>
          <w:tcBorders>
            <w:top w:val="nil"/>
            <w:left w:val="single" w:sz="4" w:space="0" w:color="00000A"/>
            <w:bottom w:val="nil"/>
            <w:insideH w:val="nil"/>
            <w:right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</w:t>
          </w:r>
          <w:r>
            <w:rPr>
              <w:color w:val="000000"/>
              <w:szCs w:val="22"/>
            </w:rPr>
            <w:t>IČO</w:t>
          </w:r>
        </w:p>
      </w:tc>
      <w:tc>
        <w:tcPr>
          <w:tcW w:w="35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00000A"/>
            <w:bottom w:val="nil"/>
            <w:insideH w:val="nil"/>
            <w:right w:val="nil"/>
            <w:insideV w:val="nil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43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  <w:tc>
        <w:tcPr>
          <w:tcW w:w="344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43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343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344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343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343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44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53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§ %1"/>
      <w:lvlJc w:val="center"/>
      <w:pPr>
        <w:tabs>
          <w:tab w:val="num" w:pos="4613"/>
        </w:tabs>
        <w:ind w:left="3893" w:hanging="-360"/>
      </w:pPr>
      <w:rPr>
        <w:smallCaps w:val="false"/>
        <w:caps w:val="false"/>
        <w:color w:val="000000"/>
        <w:outline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shadow w:val="false"/>
        <w:u w:val="none"/>
        <w:b/>
        <w:szCs w:val="24"/>
        <w:iCs w:val="false"/>
        <w:bCs w:val="false"/>
        <w:em w:val="none"/>
        <w:w w:val="0"/>
        <w:emboss w:val="false"/>
        <w:imprint w:val="false"/>
        <w:vanish w:val="false"/>
      </w:rPr>
    </w:lvl>
    <w:lvl w:ilvl="1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</w:lvl>
    <w:lvl w:ilvl="7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">
    <w:lvl w:ilvl="0">
      <w:start w:val="1"/>
      <w:numFmt w:val="lowerLetter"/>
      <w:lvlText w:val="%1)"/>
      <w:lvlJc w:val="left"/>
      <w:pPr>
        <w:ind w:left="1920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ind w:left="2640" w:hanging="360"/>
      </w:pPr>
    </w:lvl>
    <w:lvl w:ilvl="2">
      <w:start w:val="1"/>
      <w:numFmt w:val="lowerRoman"/>
      <w:lvlText w:val="%3."/>
      <w:lvlJc w:val="right"/>
      <w:pPr>
        <w:ind w:left="3360" w:hanging="180"/>
      </w:pPr>
    </w:lvl>
    <w:lvl w:ilvl="3">
      <w:start w:val="1"/>
      <w:numFmt w:val="decimal"/>
      <w:lvlText w:val="%4."/>
      <w:lvlJc w:val="left"/>
      <w:pPr>
        <w:ind w:left="4080" w:hanging="360"/>
      </w:pPr>
    </w:lvl>
    <w:lvl w:ilvl="4">
      <w:start w:val="1"/>
      <w:numFmt w:val="lowerLetter"/>
      <w:lvlText w:val="%5."/>
      <w:lvlJc w:val="left"/>
      <w:pPr>
        <w:ind w:left="4800" w:hanging="360"/>
      </w:pPr>
    </w:lvl>
    <w:lvl w:ilvl="5">
      <w:start w:val="1"/>
      <w:numFmt w:val="lowerRoman"/>
      <w:lvlText w:val="%6."/>
      <w:lvlJc w:val="right"/>
      <w:pPr>
        <w:ind w:left="5520" w:hanging="180"/>
      </w:pPr>
    </w:lvl>
    <w:lvl w:ilvl="6">
      <w:start w:val="1"/>
      <w:numFmt w:val="decimal"/>
      <w:lvlText w:val="%7."/>
      <w:lvlJc w:val="left"/>
      <w:pPr>
        <w:ind w:left="6240" w:hanging="360"/>
      </w:pPr>
    </w:lvl>
    <w:lvl w:ilvl="7">
      <w:start w:val="1"/>
      <w:numFmt w:val="lowerLetter"/>
      <w:lvlText w:val="%8."/>
      <w:lvlJc w:val="left"/>
      <w:pPr>
        <w:ind w:left="6960" w:hanging="360"/>
      </w:pPr>
    </w:lvl>
    <w:lvl w:ilvl="8">
      <w:start w:val="1"/>
      <w:numFmt w:val="lowerRoman"/>
      <w:lvlText w:val="%9."/>
      <w:lvlJc w:val="right"/>
      <w:pPr>
        <w:ind w:left="7680" w:hanging="180"/>
      </w:pPr>
    </w:lvl>
  </w:abstractNum>
  <w:abstractNum w:abstractNumId="3">
    <w:lvl w:ilvl="0">
      <w:start w:val="1"/>
      <w:numFmt w:val="lowerLetter"/>
      <w:lvlText w:val="%1)"/>
      <w:lvlJc w:val="left"/>
      <w:pPr>
        <w:ind w:left="1841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lvl w:ilvl="0">
      <w:start w:val="2"/>
      <w:numFmt w:val="decimal"/>
      <w:lvlText w:val="%1."/>
      <w:lvlJc w:val="left"/>
      <w:pPr>
        <w:ind w:left="251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lvl w:ilvl="0">
      <w:start w:val="2"/>
      <w:numFmt w:val="decimal"/>
      <w:lvlText w:val="%1a."/>
      <w:lvlJc w:val="left"/>
      <w:pPr>
        <w:ind w:left="251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lvl w:ilvl="0">
      <w:start w:val="1"/>
      <w:numFmt w:val="decimal"/>
      <w:lvlText w:val="%1."/>
      <w:lvlJc w:val="left"/>
      <w:pPr>
        <w:ind w:left="2561" w:hanging="360"/>
      </w:pPr>
    </w:lvl>
    <w:lvl w:ilvl="1">
      <w:start w:val="1"/>
      <w:numFmt w:val="lowerLetter"/>
      <w:lvlText w:val="%2."/>
      <w:lvlJc w:val="left"/>
      <w:pPr>
        <w:ind w:left="3281" w:hanging="360"/>
      </w:pPr>
    </w:lvl>
    <w:lvl w:ilvl="2">
      <w:start w:val="1"/>
      <w:numFmt w:val="lowerRoman"/>
      <w:lvlText w:val="%3."/>
      <w:lvlJc w:val="right"/>
      <w:pPr>
        <w:ind w:left="4001" w:hanging="180"/>
      </w:pPr>
    </w:lvl>
    <w:lvl w:ilvl="3">
      <w:start w:val="1"/>
      <w:numFmt w:val="decimal"/>
      <w:lvlText w:val="%4."/>
      <w:lvlJc w:val="left"/>
      <w:pPr>
        <w:ind w:left="4721" w:hanging="360"/>
      </w:pPr>
    </w:lvl>
    <w:lvl w:ilvl="4">
      <w:start w:val="1"/>
      <w:numFmt w:val="lowerLetter"/>
      <w:lvlText w:val="%5."/>
      <w:lvlJc w:val="left"/>
      <w:pPr>
        <w:ind w:left="5441" w:hanging="360"/>
      </w:pPr>
    </w:lvl>
    <w:lvl w:ilvl="5">
      <w:start w:val="1"/>
      <w:numFmt w:val="lowerRoman"/>
      <w:lvlText w:val="%6."/>
      <w:lvlJc w:val="right"/>
      <w:pPr>
        <w:ind w:left="6161" w:hanging="180"/>
      </w:pPr>
    </w:lvl>
    <w:lvl w:ilvl="6">
      <w:start w:val="1"/>
      <w:numFmt w:val="decimal"/>
      <w:lvlText w:val="%7."/>
      <w:lvlJc w:val="left"/>
      <w:pPr>
        <w:ind w:left="6881" w:hanging="360"/>
      </w:pPr>
    </w:lvl>
    <w:lvl w:ilvl="7">
      <w:start w:val="1"/>
      <w:numFmt w:val="lowerLetter"/>
      <w:lvlText w:val="%8."/>
      <w:lvlJc w:val="left"/>
      <w:pPr>
        <w:ind w:left="7601" w:hanging="360"/>
      </w:pPr>
    </w:lvl>
    <w:lvl w:ilvl="8">
      <w:start w:val="1"/>
      <w:numFmt w:val="lowerRoman"/>
      <w:lvlText w:val="%9."/>
      <w:lvlJc w:val="right"/>
      <w:pPr>
        <w:ind w:left="8321" w:hanging="180"/>
      </w:pPr>
    </w:lvl>
  </w:abstractNum>
  <w:abstractNum w:abstractNumId="7">
    <w:lvl w:ilvl="0">
      <w:start w:val="2"/>
      <w:numFmt w:val="decimal"/>
      <w:lvlText w:val="%1b."/>
      <w:lvlJc w:val="left"/>
      <w:pPr>
        <w:ind w:left="251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lvl w:ilvl="0">
      <w:start w:val="1"/>
      <w:numFmt w:val="decimal"/>
      <w:lvlText w:val="(%1)"/>
      <w:lvlJc w:val="left"/>
      <w:pPr>
        <w:ind w:left="1481" w:hanging="360"/>
      </w:pPr>
      <w:rPr>
        <w:sz w:val="20"/>
        <w:i w:val="false"/>
        <w:b w:val="false"/>
        <w:szCs w:val="24"/>
      </w:rPr>
    </w:lvl>
    <w:lvl w:ilvl="1">
      <w:start w:val="1"/>
      <w:numFmt w:val="lowerLetter"/>
      <w:lvlText w:val="%2."/>
      <w:lvlJc w:val="left"/>
      <w:pPr>
        <w:ind w:left="2201" w:hanging="360"/>
      </w:pPr>
    </w:lvl>
    <w:lvl w:ilvl="2">
      <w:start w:val="1"/>
      <w:numFmt w:val="lowerRoman"/>
      <w:lvlText w:val="%3."/>
      <w:lvlJc w:val="right"/>
      <w:pPr>
        <w:ind w:left="2921" w:hanging="180"/>
      </w:pPr>
    </w:lvl>
    <w:lvl w:ilvl="3">
      <w:start w:val="1"/>
      <w:numFmt w:val="decimal"/>
      <w:lvlText w:val="%4."/>
      <w:lvlJc w:val="left"/>
      <w:pPr>
        <w:ind w:left="3641" w:hanging="360"/>
      </w:pPr>
    </w:lvl>
    <w:lvl w:ilvl="4">
      <w:start w:val="1"/>
      <w:numFmt w:val="lowerLetter"/>
      <w:lvlText w:val="%5."/>
      <w:lvlJc w:val="left"/>
      <w:pPr>
        <w:ind w:left="4361" w:hanging="360"/>
      </w:pPr>
    </w:lvl>
    <w:lvl w:ilvl="5">
      <w:start w:val="1"/>
      <w:numFmt w:val="lowerRoman"/>
      <w:lvlText w:val="%6."/>
      <w:lvlJc w:val="right"/>
      <w:pPr>
        <w:ind w:left="5081" w:hanging="180"/>
      </w:pPr>
    </w:lvl>
    <w:lvl w:ilvl="6">
      <w:start w:val="1"/>
      <w:numFmt w:val="decimal"/>
      <w:lvlText w:val="%7."/>
      <w:lvlJc w:val="left"/>
      <w:pPr>
        <w:ind w:left="5801" w:hanging="360"/>
      </w:pPr>
    </w:lvl>
    <w:lvl w:ilvl="7">
      <w:start w:val="1"/>
      <w:numFmt w:val="lowerLetter"/>
      <w:lvlText w:val="%8."/>
      <w:lvlJc w:val="left"/>
      <w:pPr>
        <w:ind w:left="6521" w:hanging="360"/>
      </w:pPr>
    </w:lvl>
    <w:lvl w:ilvl="8">
      <w:start w:val="1"/>
      <w:numFmt w:val="lowerRoman"/>
      <w:lvlText w:val="%9."/>
      <w:lvlJc w:val="right"/>
      <w:pPr>
        <w:ind w:left="7241" w:hanging="180"/>
      </w:pPr>
    </w:lvl>
  </w:abstractNum>
  <w:abstractNum w:abstractNumId="9">
    <w:lvl w:ilvl="0">
      <w:start w:val="1"/>
      <w:numFmt w:val="decimal"/>
      <w:lvlText w:val="%1."/>
      <w:lvlJc w:val="left"/>
      <w:pPr>
        <w:ind w:left="2487" w:hanging="360"/>
      </w:pPr>
    </w:lvl>
    <w:lvl w:ilvl="1">
      <w:start w:val="1"/>
      <w:numFmt w:val="lowerLetter"/>
      <w:lvlText w:val="%2."/>
      <w:lvlJc w:val="left"/>
      <w:pPr>
        <w:ind w:left="2007" w:hanging="360"/>
      </w:pPr>
    </w:lvl>
    <w:lvl w:ilvl="2">
      <w:start w:val="1"/>
      <w:numFmt w:val="lowerRoman"/>
      <w:lvlText w:val="%3."/>
      <w:lvlJc w:val="right"/>
      <w:pPr>
        <w:ind w:left="2727" w:hanging="180"/>
      </w:pPr>
    </w:lvl>
    <w:lvl w:ilvl="3">
      <w:start w:val="1"/>
      <w:numFmt w:val="decimal"/>
      <w:lvlText w:val="%4."/>
      <w:lvlJc w:val="left"/>
      <w:pPr>
        <w:ind w:left="3447" w:hanging="360"/>
      </w:pPr>
    </w:lvl>
    <w:lvl w:ilvl="4">
      <w:start w:val="1"/>
      <w:numFmt w:val="lowerLetter"/>
      <w:lvlText w:val="%5."/>
      <w:lvlJc w:val="left"/>
      <w:pPr>
        <w:ind w:left="4167" w:hanging="360"/>
      </w:pPr>
    </w:lvl>
    <w:lvl w:ilvl="5">
      <w:start w:val="1"/>
      <w:numFmt w:val="lowerRoman"/>
      <w:lvlText w:val="%6."/>
      <w:lvlJc w:val="right"/>
      <w:pPr>
        <w:ind w:left="4887" w:hanging="180"/>
      </w:pPr>
    </w:lvl>
    <w:lvl w:ilvl="6">
      <w:start w:val="1"/>
      <w:numFmt w:val="decimal"/>
      <w:lvlText w:val="%7."/>
      <w:lvlJc w:val="left"/>
      <w:pPr>
        <w:ind w:left="5607" w:hanging="360"/>
      </w:pPr>
    </w:lvl>
    <w:lvl w:ilvl="7">
      <w:start w:val="1"/>
      <w:numFmt w:val="lowerLetter"/>
      <w:lvlText w:val="%8."/>
      <w:lvlJc w:val="left"/>
      <w:pPr>
        <w:ind w:left="6327" w:hanging="360"/>
      </w:pPr>
    </w:lvl>
    <w:lvl w:ilvl="8">
      <w:start w:val="1"/>
      <w:numFmt w:val="lowerRoman"/>
      <w:lvlText w:val="%9."/>
      <w:lvlJc w:val="right"/>
      <w:pPr>
        <w:ind w:left="7047" w:hanging="180"/>
      </w:pPr>
    </w:lvl>
  </w:abstractNum>
  <w:abstractNum w:abstractNumId="10">
    <w:lvl w:ilvl="0">
      <w:start w:val="1"/>
      <w:numFmt w:val="decimal"/>
      <w:lvlText w:val="(%1)"/>
      <w:lvlJc w:val="left"/>
      <w:pPr>
        <w:ind w:left="3479" w:hanging="360"/>
      </w:pPr>
      <w:rPr>
        <w:sz w:val="20"/>
        <w:i w:val="false"/>
        <w:b w:val="false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1"/>
      <w:numFmt w:val="decimal"/>
      <w:lvlText w:val="(%1)"/>
      <w:lvlJc w:val="left"/>
      <w:pPr>
        <w:ind w:left="1481" w:hanging="360"/>
      </w:pPr>
      <w:rPr>
        <w:sz w:val="20"/>
        <w:i w:val="false"/>
        <w:b w:val="false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lvl w:ilvl="0">
      <w:start w:val="1"/>
      <w:numFmt w:val="lowerLetter"/>
      <w:lvlText w:val="%1)"/>
      <w:lvlJc w:val="left"/>
      <w:pPr>
        <w:ind w:left="1440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</w:numbering>
</file>

<file path=word/settings.xml><?xml version="1.0" encoding="utf-8"?>
<w:settings xmlns:w="http://schemas.openxmlformats.org/wordprocessingml/2006/main">
  <w:zoom w:percent="110"/>
  <w:defaultTabStop w:val="709"/>
</w:settings>
</file>

<file path=word/styles.xml><?xml version="1.0" encoding="utf-8"?>
<w:styles xmlns:w="http://schemas.openxmlformats.org/wordprocessingml/2006/main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/>
    </w:pPrDefault>
  </w:docDefaults>
  <w:latentStyles w:count="267" w:defQFormat="0" w:defUnhideWhenUsed="1" w:defSemiHidden="1" w:defUIPriority="99" w:defLockedState="0">
    <w:lsdException w:qFormat="1" w:unhideWhenUsed="0" w:semiHidden="0" w:uiPriority="0" w:name="Normal"/>
    <w:lsdException w:qFormat="1" w:unhideWhenUsed="0" w:semiHidden="0" w:uiPriority="9" w:name="heading 1"/>
    <w:lsdException w:qFormat="1" w:unhideWhenUsed="0" w:semiHidden="0" w:uiPriority="9" w:name="heading 2"/>
    <w:lsdException w:qFormat="1" w:unhideWhenUsed="0" w:semiHidden="0" w:uiPriority="9" w:name="heading 3"/>
    <w:lsdException w:qFormat="1" w:unhideWhenUsed="0" w:semiHidden="0" w:uiPriority="9" w:name="heading 4"/>
    <w:lsdException w:qFormat="1" w:unhideWhenUsed="0" w:semiHidden="0" w:uiPriority="9" w:name="heading 5"/>
    <w:lsdException w:qFormat="1" w:unhideWhenUsed="0" w:semiHidden="0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35" w:name="caption"/>
    <w:lsdException w:qFormat="1" w:unhideWhenUsed="0" w:semiHidden="0" w:uiPriority="10" w:name="Title"/>
    <w:lsdException w:uiPriority="1" w:name="Default Paragraph Font"/>
    <w:lsdException w:qFormat="1" w:unhideWhenUsed="0" w:semiHidden="0" w:uiPriority="11" w:name="Subtitle"/>
    <w:lsdException w:qFormat="1" w:unhideWhenUsed="0" w:semiHidden="0" w:uiPriority="22" w:name="Strong"/>
    <w:lsdException w:qFormat="1" w:unhideWhenUsed="0" w:semiHidden="0" w:uiPriority="20" w:name="Emphasis"/>
    <w:lsdException w:unhideWhenUsed="0" w:semiHidden="0" w:name="Table Grid"/>
    <w:lsdException w:unhideWhenUsed="0" w:name="Placeholder Text"/>
    <w:lsdException w:qFormat="1" w:unhideWhenUsed="0" w:semiHidden="0" w:uiPriority="1" w:name="No Spacing"/>
    <w:lsdException w:unhideWhenUsed="0" w:semiHidden="0" w:uiPriority="60" w:name="Light Shading"/>
    <w:lsdException w:unhideWhenUsed="0" w:semiHidden="0" w:uiPriority="61" w:name="Light List"/>
    <w:lsdException w:unhideWhenUsed="0" w:semiHidden="0" w:uiPriority="62" w:name="Light Grid"/>
    <w:lsdException w:unhideWhenUsed="0" w:semiHidden="0" w:uiPriority="63" w:name="Medium Shading 1"/>
    <w:lsdException w:unhideWhenUsed="0" w:semiHidden="0" w:uiPriority="64" w:name="Medium Shading 2"/>
    <w:lsdException w:unhideWhenUsed="0" w:semiHidden="0" w:uiPriority="65" w:name="Medium List 1"/>
    <w:lsdException w:unhideWhenUsed="0" w:semiHidden="0" w:uiPriority="66" w:name="Medium List 2"/>
    <w:lsdException w:unhideWhenUsed="0" w:semiHidden="0" w:uiPriority="67" w:name="Medium Grid 1"/>
    <w:lsdException w:unhideWhenUsed="0" w:semiHidden="0" w:uiPriority="68" w:name="Medium Grid 2"/>
    <w:lsdException w:unhideWhenUsed="0" w:semiHidden="0" w:uiPriority="69" w:name="Medium Grid 3"/>
    <w:lsdException w:unhideWhenUsed="0" w:semiHidden="0" w:uiPriority="70" w:name="Dark List"/>
    <w:lsdException w:unhideWhenUsed="0" w:semiHidden="0" w:uiPriority="71" w:name="Colorful Shading"/>
    <w:lsdException w:unhideWhenUsed="0" w:semiHidden="0" w:uiPriority="72" w:name="Colorful List"/>
    <w:lsdException w:unhideWhenUsed="0" w:semiHidden="0" w:uiPriority="73" w:name="Colorful Grid"/>
    <w:lsdException w:unhideWhenUsed="0" w:semiHidden="0" w:uiPriority="60" w:name="Light Shading Accent 1"/>
    <w:lsdException w:unhideWhenUsed="0" w:semiHidden="0" w:uiPriority="61" w:name="Light List Accent 1"/>
    <w:lsdException w:unhideWhenUsed="0" w:semiHidden="0" w:uiPriority="62" w:name="Light Grid Accent 1"/>
    <w:lsdException w:unhideWhenUsed="0" w:semiHidden="0" w:uiPriority="63" w:name="Medium Shading 1 Accent 1"/>
    <w:lsdException w:unhideWhenUsed="0" w:semiHidden="0" w:uiPriority="64" w:name="Medium Shading 2 Accent 1"/>
    <w:lsdException w:unhideWhenUsed="0" w:semiHidden="0" w:uiPriority="65" w:name="Medium List 1 Accent 1"/>
    <w:lsdException w:unhideWhenUsed="0" w:name="Revision"/>
    <w:lsdException w:qFormat="1" w:unhideWhenUsed="0" w:semiHidden="0" w:uiPriority="34" w:name="List Paragraph"/>
    <w:lsdException w:qFormat="1" w:unhideWhenUsed="0" w:semiHidden="0" w:uiPriority="29" w:name="Quote"/>
    <w:lsdException w:qFormat="1" w:unhideWhenUsed="0" w:semiHidden="0" w:uiPriority="30" w:name="Intense Quote"/>
    <w:lsdException w:unhideWhenUsed="0" w:semiHidden="0" w:uiPriority="66" w:name="Medium List 2 Accent 1"/>
    <w:lsdException w:unhideWhenUsed="0" w:semiHidden="0" w:uiPriority="67" w:name="Medium Grid 1 Accent 1"/>
    <w:lsdException w:unhideWhenUsed="0" w:semiHidden="0" w:uiPriority="68" w:name="Medium Grid 2 Accent 1"/>
    <w:lsdException w:unhideWhenUsed="0" w:semiHidden="0" w:uiPriority="69" w:name="Medium Grid 3 Accent 1"/>
    <w:lsdException w:unhideWhenUsed="0" w:semiHidden="0" w:uiPriority="70" w:name="Dark List Accent 1"/>
    <w:lsdException w:unhideWhenUsed="0" w:semiHidden="0" w:uiPriority="71" w:name="Colorful Shading Accent 1"/>
    <w:lsdException w:unhideWhenUsed="0" w:semiHidden="0" w:uiPriority="72" w:name="Colorful List Accent 1"/>
    <w:lsdException w:unhideWhenUsed="0" w:semiHidden="0" w:uiPriority="73" w:name="Colorful Grid Accent 1"/>
    <w:lsdException w:unhideWhenUsed="0" w:semiHidden="0" w:uiPriority="60" w:name="Light Shading Accent 2"/>
    <w:lsdException w:unhideWhenUsed="0" w:semiHidden="0" w:uiPriority="61" w:name="Light List Accent 2"/>
    <w:lsdException w:unhideWhenUsed="0" w:semiHidden="0" w:uiPriority="62" w:name="Light Grid Accent 2"/>
    <w:lsdException w:unhideWhenUsed="0" w:semiHidden="0" w:uiPriority="63" w:name="Medium Shading 1 Accent 2"/>
    <w:lsdException w:unhideWhenUsed="0" w:semiHidden="0" w:uiPriority="64" w:name="Medium Shading 2 Accent 2"/>
    <w:lsdException w:unhideWhenUsed="0" w:semiHidden="0" w:uiPriority="65" w:name="Medium List 1 Accent 2"/>
    <w:lsdException w:unhideWhenUsed="0" w:semiHidden="0" w:uiPriority="66" w:name="Medium List 2 Accent 2"/>
    <w:lsdException w:unhideWhenUsed="0" w:semiHidden="0" w:uiPriority="67" w:name="Medium Grid 1 Accent 2"/>
    <w:lsdException w:unhideWhenUsed="0" w:semiHidden="0" w:uiPriority="68" w:name="Medium Grid 2 Accent 2"/>
    <w:lsdException w:unhideWhenUsed="0" w:semiHidden="0" w:uiPriority="69" w:name="Medium Grid 3 Accent 2"/>
    <w:lsdException w:unhideWhenUsed="0" w:semiHidden="0" w:uiPriority="70" w:name="Dark List Accent 2"/>
    <w:lsdException w:unhideWhenUsed="0" w:semiHidden="0" w:uiPriority="71" w:name="Colorful Shading Accent 2"/>
    <w:lsdException w:unhideWhenUsed="0" w:semiHidden="0" w:uiPriority="72" w:name="Colorful List Accent 2"/>
    <w:lsdException w:unhideWhenUsed="0" w:semiHidden="0" w:uiPriority="73" w:name="Colorful Grid Accent 2"/>
    <w:lsdException w:unhideWhenUsed="0" w:semiHidden="0" w:uiPriority="60" w:name="Light Shading Accent 3"/>
    <w:lsdException w:unhideWhenUsed="0" w:semiHidden="0" w:uiPriority="61" w:name="Light List Accent 3"/>
    <w:lsdException w:unhideWhenUsed="0" w:semiHidden="0" w:uiPriority="62" w:name="Light Grid Accent 3"/>
    <w:lsdException w:unhideWhenUsed="0" w:semiHidden="0" w:uiPriority="63" w:name="Medium Shading 1 Accent 3"/>
    <w:lsdException w:unhideWhenUsed="0" w:semiHidden="0" w:uiPriority="64" w:name="Medium Shading 2 Accent 3"/>
    <w:lsdException w:unhideWhenUsed="0" w:semiHidden="0" w:uiPriority="65" w:name="Medium List 1 Accent 3"/>
    <w:lsdException w:unhideWhenUsed="0" w:semiHidden="0" w:uiPriority="66" w:name="Medium List 2 Accent 3"/>
    <w:lsdException w:unhideWhenUsed="0" w:semiHidden="0" w:uiPriority="67" w:name="Medium Grid 1 Accent 3"/>
    <w:lsdException w:unhideWhenUsed="0" w:semiHidden="0" w:uiPriority="68" w:name="Medium Grid 2 Accent 3"/>
    <w:lsdException w:unhideWhenUsed="0" w:semiHidden="0" w:uiPriority="69" w:name="Medium Grid 3 Accent 3"/>
    <w:lsdException w:unhideWhenUsed="0" w:semiHidden="0" w:uiPriority="70" w:name="Dark List Accent 3"/>
    <w:lsdException w:unhideWhenUsed="0" w:semiHidden="0" w:uiPriority="71" w:name="Colorful Shading Accent 3"/>
    <w:lsdException w:unhideWhenUsed="0" w:semiHidden="0" w:uiPriority="72" w:name="Colorful List Accent 3"/>
    <w:lsdException w:unhideWhenUsed="0" w:semiHidden="0" w:uiPriority="73" w:name="Colorful Grid Accent 3"/>
    <w:lsdException w:unhideWhenUsed="0" w:semiHidden="0" w:uiPriority="60" w:name="Light Shading Accent 4"/>
    <w:lsdException w:unhideWhenUsed="0" w:semiHidden="0" w:uiPriority="61" w:name="Light List Accent 4"/>
    <w:lsdException w:unhideWhenUsed="0" w:semiHidden="0" w:uiPriority="62" w:name="Light Grid Accent 4"/>
    <w:lsdException w:unhideWhenUsed="0" w:semiHidden="0" w:uiPriority="63" w:name="Medium Shading 1 Accent 4"/>
    <w:lsdException w:unhideWhenUsed="0" w:semiHidden="0" w:uiPriority="64" w:name="Medium Shading 2 Accent 4"/>
    <w:lsdException w:unhideWhenUsed="0" w:semiHidden="0" w:uiPriority="65" w:name="Medium List 1 Accent 4"/>
    <w:lsdException w:unhideWhenUsed="0" w:semiHidden="0" w:uiPriority="66" w:name="Medium List 2 Accent 4"/>
    <w:lsdException w:unhideWhenUsed="0" w:semiHidden="0" w:uiPriority="67" w:name="Medium Grid 1 Accent 4"/>
    <w:lsdException w:unhideWhenUsed="0" w:semiHidden="0" w:uiPriority="68" w:name="Medium Grid 2 Accent 4"/>
    <w:lsdException w:unhideWhenUsed="0" w:semiHidden="0" w:uiPriority="69" w:name="Medium Grid 3 Accent 4"/>
    <w:lsdException w:unhideWhenUsed="0" w:semiHidden="0" w:uiPriority="70" w:name="Dark List Accent 4"/>
    <w:lsdException w:unhideWhenUsed="0" w:semiHidden="0" w:uiPriority="71" w:name="Colorful Shading Accent 4"/>
    <w:lsdException w:unhideWhenUsed="0" w:semiHidden="0" w:uiPriority="72" w:name="Colorful List Accent 4"/>
    <w:lsdException w:unhideWhenUsed="0" w:semiHidden="0" w:uiPriority="73" w:name="Colorful Grid Accent 4"/>
    <w:lsdException w:unhideWhenUsed="0" w:semiHidden="0" w:uiPriority="60" w:name="Light Shading Accent 5"/>
    <w:lsdException w:unhideWhenUsed="0" w:semiHidden="0" w:uiPriority="61" w:name="Light List Accent 5"/>
    <w:lsdException w:unhideWhenUsed="0" w:semiHidden="0" w:uiPriority="62" w:name="Light Grid Accent 5"/>
    <w:lsdException w:unhideWhenUsed="0" w:semiHidden="0" w:uiPriority="63" w:name="Medium Shading 1 Accent 5"/>
    <w:lsdException w:unhideWhenUsed="0" w:semiHidden="0" w:uiPriority="64" w:name="Medium Shading 2 Accent 5"/>
    <w:lsdException w:unhideWhenUsed="0" w:semiHidden="0" w:uiPriority="65" w:name="Medium List 1 Accent 5"/>
    <w:lsdException w:unhideWhenUsed="0" w:semiHidden="0" w:uiPriority="66" w:name="Medium List 2 Accent 5"/>
    <w:lsdException w:unhideWhenUsed="0" w:semiHidden="0" w:uiPriority="67" w:name="Medium Grid 1 Accent 5"/>
    <w:lsdException w:unhideWhenUsed="0" w:semiHidden="0" w:uiPriority="68" w:name="Medium Grid 2 Accent 5"/>
    <w:lsdException w:unhideWhenUsed="0" w:semiHidden="0" w:uiPriority="69" w:name="Medium Grid 3 Accent 5"/>
    <w:lsdException w:unhideWhenUsed="0" w:semiHidden="0" w:uiPriority="70" w:name="Dark List Accent 5"/>
    <w:lsdException w:unhideWhenUsed="0" w:semiHidden="0" w:uiPriority="71" w:name="Colorful Shading Accent 5"/>
    <w:lsdException w:unhideWhenUsed="0" w:semiHidden="0" w:uiPriority="72" w:name="Colorful List Accent 5"/>
    <w:lsdException w:unhideWhenUsed="0" w:semiHidden="0" w:uiPriority="73" w:name="Colorful Grid Accent 5"/>
    <w:lsdException w:unhideWhenUsed="0" w:semiHidden="0" w:uiPriority="60" w:name="Light Shading Accent 6"/>
    <w:lsdException w:unhideWhenUsed="0" w:semiHidden="0" w:uiPriority="61" w:name="Light List Accent 6"/>
    <w:lsdException w:unhideWhenUsed="0" w:semiHidden="0" w:uiPriority="62" w:name="Light Grid Accent 6"/>
    <w:lsdException w:unhideWhenUsed="0" w:semiHidden="0" w:uiPriority="63" w:name="Medium Shading 1 Accent 6"/>
    <w:lsdException w:unhideWhenUsed="0" w:semiHidden="0" w:uiPriority="64" w:name="Medium Shading 2 Accent 6"/>
    <w:lsdException w:unhideWhenUsed="0" w:semiHidden="0" w:uiPriority="65" w:name="Medium List 1 Accent 6"/>
    <w:lsdException w:unhideWhenUsed="0" w:semiHidden="0" w:uiPriority="66" w:name="Medium List 2 Accent 6"/>
    <w:lsdException w:unhideWhenUsed="0" w:semiHidden="0" w:uiPriority="67" w:name="Medium Grid 1 Accent 6"/>
    <w:lsdException w:unhideWhenUsed="0" w:semiHidden="0" w:uiPriority="68" w:name="Medium Grid 2 Accent 6"/>
    <w:lsdException w:unhideWhenUsed="0" w:semiHidden="0" w:uiPriority="69" w:name="Medium Grid 3 Accent 6"/>
    <w:lsdException w:unhideWhenUsed="0" w:semiHidden="0" w:uiPriority="70" w:name="Dark List Accent 6"/>
    <w:lsdException w:unhideWhenUsed="0" w:semiHidden="0" w:uiPriority="71" w:name="Colorful Shading Accent 6"/>
    <w:lsdException w:unhideWhenUsed="0" w:semiHidden="0" w:uiPriority="72" w:name="Colorful List Accent 6"/>
    <w:lsdException w:unhideWhenUsed="0" w:semiHidden="0" w:uiPriority="73" w:name="Colorful Grid Accent 6"/>
    <w:lsdException w:qFormat="1" w:unhideWhenUsed="0" w:semiHidden="0" w:uiPriority="19" w:name="Subtle Emphasis"/>
    <w:lsdException w:qFormat="1" w:unhideWhenUsed="0" w:semiHidden="0" w:uiPriority="21" w:name="Intense Emphasis"/>
    <w:lsdException w:qFormat="1" w:unhideWhenUsed="0" w:semiHidden="0" w:uiPriority="31" w:name="Subtle Reference"/>
    <w:lsdException w:qFormat="1" w:unhideWhenUsed="0" w:semiHidden="0" w:uiPriority="32" w:name="Intense Reference"/>
    <w:lsdException w:qFormat="1" w:unhideWhenUsed="0" w:semiHidden="0" w:uiPriority="33" w:name="Book Title"/>
    <w:lsdException w:uiPriority="37" w:name="Bibliography"/>
    <w:lsdException w:qFormat="1" w:uiPriority="39" w:name="TOC Heading"/>
  </w:latentStyles>
  <w:style w:type="paragraph" w:styleId="Normal" w:default="1">
    <w:name w:val="Normal"/>
    <w:qFormat/>
    <w:rsid w:val="005221e2"/>
    <w:pPr>
      <w:widowControl/>
      <w:suppressAutoHyphens w:val="true"/>
      <w:bidi w:val="0"/>
      <w:jc w:val="left"/>
    </w:pPr>
    <w:rPr>
      <w:rFonts w:ascii="Times New Roman" w:hAnsi="Times New Roman" w:eastAsia="Times New Roman" w:cs="Times New Roman"/>
      <w:color w:val="auto"/>
      <w:sz w:val="24"/>
      <w:szCs w:val="24"/>
      <w:lang w:val="sk-SK" w:eastAsia="sk-SK" w:bidi="ar-SA"/>
    </w:rPr>
  </w:style>
  <w:style w:type="paragraph" w:styleId="Nadpis1">
    <w:name w:val="Nadpis 1"/>
    <w:qFormat/>
    <w:rsid w:val="005221e2"/>
    <w:basedOn w:val="Nadpis"/>
    <w:pPr>
      <w:keepNext/>
      <w:widowControl/>
      <w:numPr>
        <w:ilvl w:val="0"/>
        <w:numId w:val="1"/>
      </w:numPr>
      <w:bidi w:val="0"/>
      <w:spacing w:before="240" w:after="60"/>
      <w:jc w:val="center"/>
      <w:outlineLvl w:val="0"/>
    </w:pPr>
    <w:rPr>
      <w:rFonts w:cs="Arial"/>
      <w:b/>
      <w:bCs/>
      <w:sz w:val="24"/>
      <w:szCs w:val="32"/>
    </w:rPr>
  </w:style>
  <w:style w:type="paragraph" w:styleId="Nadpis2">
    <w:name w:val="Nadpis 2"/>
    <w:qFormat/>
    <w:rsid w:val="005221e2"/>
    <w:basedOn w:val="Normal"/>
    <w:pPr>
      <w:keepNext/>
      <w:spacing w:before="0" w:after="120"/>
      <w:jc w:val="center"/>
      <w:outlineLvl w:val="1"/>
    </w:pPr>
    <w:rPr>
      <w:b/>
    </w:rPr>
  </w:style>
  <w:style w:type="paragraph" w:styleId="Nadpis3">
    <w:name w:val="Nadpis 3"/>
    <w:qFormat/>
    <w:rsid w:val="005221e2"/>
    <w:basedOn w:val="Normal"/>
    <w:pPr>
      <w:keepNext/>
      <w:jc w:val="both"/>
      <w:outlineLvl w:val="2"/>
    </w:pPr>
    <w:rPr>
      <w:b/>
      <w:u w:val="single"/>
    </w:rPr>
  </w:style>
  <w:style w:type="paragraph" w:styleId="Nadpis4">
    <w:name w:val="Nadpis 4"/>
    <w:qFormat/>
    <w:rsid w:val="005221e2"/>
    <w:basedOn w:val="Normal"/>
    <w:pPr>
      <w:keepNext/>
      <w:keepLines/>
      <w:ind w:left="0" w:right="0" w:firstLine="357"/>
      <w:jc w:val="both"/>
      <w:outlineLvl w:val="3"/>
    </w:pPr>
    <w:rPr>
      <w:b/>
    </w:rPr>
  </w:style>
  <w:style w:type="paragraph" w:styleId="Nadpis5">
    <w:name w:val="Nadpis 5"/>
    <w:qFormat/>
    <w:rsid w:val="005221e2"/>
    <w:basedOn w:val="Normal"/>
    <w:pPr>
      <w:keepNext/>
      <w:keepLines/>
      <w:ind w:left="0" w:right="0" w:firstLine="360"/>
      <w:jc w:val="both"/>
      <w:outlineLvl w:val="4"/>
    </w:pPr>
    <w:rPr>
      <w:b/>
    </w:rPr>
  </w:style>
  <w:style w:type="paragraph" w:styleId="Nadpis6">
    <w:name w:val="Nadpis 6"/>
    <w:qFormat/>
    <w:rsid w:val="005221e2"/>
    <w:basedOn w:val="Normal"/>
    <w:pPr>
      <w:keepNext/>
      <w:ind w:left="360" w:right="0" w:hanging="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styleId="DefaultParagraphFont" w:default="1">
    <w:name w:val="Default Paragraph Font"/>
    <w:uiPriority w:val="1"/>
    <w:semiHidden/>
    <w:unhideWhenUsed/>
    <w:rPr/>
  </w:style>
  <w:style w:type="character" w:styleId="Footnotereference">
    <w:name w:val="footnote reference"/>
    <w:semiHidden/>
    <w:rsid w:val="005221e2"/>
    <w:rPr>
      <w:vertAlign w:val="superscript"/>
    </w:rPr>
  </w:style>
  <w:style w:type="character" w:styleId="Pagenumber">
    <w:name w:val="page number"/>
    <w:semiHidden/>
    <w:rsid w:val="005221e2"/>
    <w:basedOn w:val="DefaultParagraphFont"/>
    <w:rPr/>
  </w:style>
  <w:style w:type="character" w:styleId="PtaChar" w:customStyle="1">
    <w:name w:val="Päta Char"/>
    <w:uiPriority w:val="99"/>
    <w:link w:val="Pta"/>
    <w:rsid w:val="00f570bd"/>
    <w:rPr>
      <w:sz w:val="24"/>
      <w:szCs w:val="24"/>
    </w:rPr>
  </w:style>
  <w:style w:type="character" w:styleId="TextkoncovejpoznmkyChar" w:customStyle="1">
    <w:name w:val="Text koncovej poznámky Char"/>
    <w:uiPriority w:val="99"/>
    <w:semiHidden/>
    <w:link w:val="Textkoncovejpoznmky"/>
    <w:rsid w:val="009502d0"/>
    <w:basedOn w:val="DefaultParagraphFont"/>
    <w:rPr/>
  </w:style>
  <w:style w:type="character" w:styleId="Endnotereference">
    <w:name w:val="endnote reference"/>
    <w:uiPriority w:val="99"/>
    <w:semiHidden/>
    <w:unhideWhenUsed/>
    <w:rsid w:val="009502d0"/>
    <w:rPr>
      <w:vertAlign w:val="superscript"/>
    </w:rPr>
  </w:style>
  <w:style w:type="character" w:styleId="HlavikaChar" w:customStyle="1">
    <w:name w:val="Hlavička Char"/>
    <w:uiPriority w:val="99"/>
    <w:link w:val="Hlavika"/>
    <w:rsid w:val="006c0f8a"/>
    <w:rPr>
      <w:sz w:val="24"/>
      <w:szCs w:val="24"/>
    </w:rPr>
  </w:style>
  <w:style w:type="character" w:styleId="TextbublinyChar" w:customStyle="1">
    <w:name w:val="Text bubliny Char"/>
    <w:uiPriority w:val="99"/>
    <w:semiHidden/>
    <w:link w:val="Textbubliny"/>
    <w:rsid w:val="005e6d20"/>
    <w:rPr>
      <w:rFonts w:ascii="Tahoma" w:hAnsi="Tahoma" w:cs="Tahoma"/>
      <w:sz w:val="16"/>
      <w:szCs w:val="16"/>
    </w:rPr>
  </w:style>
  <w:style w:type="character" w:styleId="Tl" w:customStyle="1">
    <w:name w:val="tl"/>
    <w:rsid w:val="000a4158"/>
    <w:basedOn w:val="DefaultParagraphFont"/>
    <w:rPr/>
  </w:style>
  <w:style w:type="character" w:styleId="Tl1Char" w:customStyle="1">
    <w:name w:val="Štýl1 Char"/>
    <w:link w:val="tl1"/>
    <w:rsid w:val="007b7ebe"/>
    <w:basedOn w:val="PtaChar"/>
    <w:rPr/>
  </w:style>
  <w:style w:type="character" w:styleId="Ra" w:customStyle="1">
    <w:name w:val="ra"/>
    <w:rsid w:val="000a4158"/>
    <w:basedOn w:val="DefaultParagraphFont"/>
    <w:rPr/>
  </w:style>
  <w:style w:type="character" w:styleId="OdsekzoznamuChar" w:customStyle="1">
    <w:name w:val="Odsek zoznamu Char"/>
    <w:uiPriority w:val="34"/>
    <w:link w:val="Odsekzoznamu"/>
    <w:locked/>
    <w:rsid w:val="00cd1488"/>
    <w:rPr>
      <w:sz w:val="24"/>
      <w:szCs w:val="24"/>
    </w:rPr>
  </w:style>
  <w:style w:type="character" w:styleId="ListLabel1">
    <w:name w:val="ListLabel 1"/>
    <w:rPr>
      <w:rFonts w:cs="Times New Roman"/>
      <w:b/>
      <w:bCs w:val="false"/>
      <w:i w:val="false"/>
      <w:iCs w:val="false"/>
      <w:caps w:val="false"/>
      <w:smallCaps w:val="false"/>
      <w:strike w:val="false"/>
      <w:dstrike w:val="false"/>
      <w:outline w:val="false"/>
      <w:shadow w:val="false"/>
      <w:emboss w:val="false"/>
      <w:imprint w:val="false"/>
      <w:vanish w:val="false"/>
      <w:color w:val="000000"/>
      <w:spacing w:val="0"/>
      <w:w w:val="0"/>
      <w:position w:val="0"/>
      <w:sz w:val="24"/>
      <w:sz w:val="24"/>
      <w:szCs w:val="24"/>
      <w:u w:val="none"/>
      <w:vertAlign w:val="baseline"/>
      <w:em w:val="none"/>
    </w:rPr>
  </w:style>
  <w:style w:type="character" w:styleId="ListLabel2">
    <w:name w:val="ListLabel 2"/>
    <w:rPr>
      <w:rFonts w:cs="Times New Roman"/>
      <w:sz w:val="24"/>
      <w:szCs w:val="24"/>
    </w:rPr>
  </w:style>
  <w:style w:type="character" w:styleId="ListLabel3">
    <w:name w:val="ListLabel 3"/>
    <w:rPr>
      <w:rFonts w:cs="Times New Roman"/>
      <w:b w:val="false"/>
      <w:i w:val="false"/>
      <w:sz w:val="20"/>
      <w:szCs w:val="24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semiHidden/>
    <w:rsid w:val="005221e2"/>
    <w:basedOn w:val="Normal"/>
    <w:pPr>
      <w:spacing w:lineRule="auto" w:line="288"/>
    </w:pPr>
    <w:rPr>
      <w:rFonts w:ascii="Arial" w:hAnsi="Arial" w:cs="Arial"/>
      <w:sz w:val="20"/>
      <w:szCs w:val="18"/>
      <w:lang w:val="en-GB"/>
    </w:rPr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Mangal"/>
    </w:rPr>
  </w:style>
  <w:style w:type="paragraph" w:styleId="Zkladntext" w:customStyle="1">
    <w:name w:val="Základní text"/>
    <w:rsid w:val="005221e2"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sz w:val="24"/>
      <w:szCs w:val="20"/>
      <w:lang w:val="sk-SK" w:eastAsia="sk-SK" w:bidi="ar-SA"/>
    </w:rPr>
  </w:style>
  <w:style w:type="paragraph" w:styleId="Footnotetext">
    <w:name w:val="footnote text"/>
    <w:semiHidden/>
    <w:rsid w:val="005221e2"/>
    <w:basedOn w:val="Normal"/>
    <w:pPr/>
    <w:rPr>
      <w:sz w:val="20"/>
      <w:szCs w:val="20"/>
    </w:rPr>
  </w:style>
  <w:style w:type="paragraph" w:styleId="Pta">
    <w:name w:val="Päta"/>
    <w:uiPriority w:val="99"/>
    <w:link w:val="PtaChar"/>
    <w:rsid w:val="00f570bd"/>
    <w:basedOn w:val="Normal"/>
    <w:pPr>
      <w:tabs>
        <w:tab w:val="center" w:pos="4536" w:leader="none"/>
        <w:tab w:val="right" w:pos="9072" w:leader="none"/>
      </w:tabs>
      <w:jc w:val="right"/>
    </w:pPr>
    <w:rPr/>
  </w:style>
  <w:style w:type="paragraph" w:styleId="BodyText2">
    <w:name w:val="Body Text 2"/>
    <w:semiHidden/>
    <w:rsid w:val="005221e2"/>
    <w:basedOn w:val="Normal"/>
    <w:pPr>
      <w:jc w:val="both"/>
    </w:pPr>
    <w:rPr/>
  </w:style>
  <w:style w:type="paragraph" w:styleId="Odsadenietelatextu">
    <w:name w:val="Odsadenie tela textu"/>
    <w:semiHidden/>
    <w:rsid w:val="005221e2"/>
    <w:basedOn w:val="Normal"/>
    <w:pPr>
      <w:ind w:left="0" w:right="0" w:firstLine="360"/>
      <w:jc w:val="both"/>
    </w:pPr>
    <w:rPr/>
  </w:style>
  <w:style w:type="paragraph" w:styleId="BodyTextIndent2">
    <w:name w:val="Body Text Indent 2"/>
    <w:semiHidden/>
    <w:rsid w:val="005221e2"/>
    <w:basedOn w:val="Normal"/>
    <w:pPr>
      <w:ind w:left="0" w:right="0" w:firstLine="360"/>
    </w:pPr>
    <w:rPr/>
  </w:style>
  <w:style w:type="paragraph" w:styleId="BodyText3">
    <w:name w:val="Body Text 3"/>
    <w:semiHidden/>
    <w:rsid w:val="005221e2"/>
    <w:basedOn w:val="Normal"/>
    <w:pPr>
      <w:ind w:left="0" w:right="-468" w:hanging="0"/>
      <w:jc w:val="both"/>
    </w:pPr>
    <w:rPr>
      <w:b/>
      <w:bCs/>
    </w:rPr>
  </w:style>
  <w:style w:type="paragraph" w:styleId="BlockText">
    <w:name w:val="Block Text"/>
    <w:semiHidden/>
    <w:rsid w:val="005221e2"/>
    <w:basedOn w:val="Normal"/>
    <w:pPr>
      <w:ind w:left="1680" w:right="-468" w:hanging="240"/>
    </w:pPr>
    <w:rPr/>
  </w:style>
  <w:style w:type="paragraph" w:styleId="BodyTextIndent3">
    <w:name w:val="Body Text Indent 3"/>
    <w:semiHidden/>
    <w:rsid w:val="005221e2"/>
    <w:basedOn w:val="Normal"/>
    <w:pPr>
      <w:ind w:left="0" w:right="-468" w:firstLine="720"/>
      <w:jc w:val="both"/>
    </w:pPr>
    <w:rPr>
      <w:bCs/>
    </w:rPr>
  </w:style>
  <w:style w:type="paragraph" w:styleId="Hlavika">
    <w:name w:val="Hlavička"/>
    <w:uiPriority w:val="99"/>
    <w:link w:val="HlavikaChar"/>
    <w:rsid w:val="005221e2"/>
    <w:basedOn w:val="Normal"/>
    <w:pPr>
      <w:tabs>
        <w:tab w:val="center" w:pos="4703" w:leader="none"/>
        <w:tab w:val="right" w:pos="9406" w:leader="none"/>
      </w:tabs>
    </w:pPr>
    <w:rPr/>
  </w:style>
  <w:style w:type="paragraph" w:styleId="ListParagraph">
    <w:name w:val="List Paragraph"/>
    <w:uiPriority w:val="34"/>
    <w:qFormat/>
    <w:link w:val="OdsekzoznamuChar"/>
    <w:rsid w:val="00ab5218"/>
    <w:basedOn w:val="Normal"/>
    <w:pPr>
      <w:ind w:left="708" w:right="0" w:hanging="0"/>
    </w:pPr>
    <w:rPr/>
  </w:style>
  <w:style w:type="paragraph" w:styleId="Endnotetext">
    <w:name w:val="endnote text"/>
    <w:uiPriority w:val="99"/>
    <w:semiHidden/>
    <w:unhideWhenUsed/>
    <w:link w:val="TextkoncovejpoznmkyChar"/>
    <w:rsid w:val="009502d0"/>
    <w:basedOn w:val="Normal"/>
    <w:pPr/>
    <w:rPr>
      <w:sz w:val="20"/>
      <w:szCs w:val="20"/>
    </w:rPr>
  </w:style>
  <w:style w:type="paragraph" w:styleId="BalloonText">
    <w:name w:val="Balloon Text"/>
    <w:uiPriority w:val="99"/>
    <w:semiHidden/>
    <w:unhideWhenUsed/>
    <w:link w:val="TextbublinyChar"/>
    <w:rsid w:val="005e6d20"/>
    <w:basedOn w:val="Normal"/>
    <w:pPr/>
    <w:rPr>
      <w:rFonts w:ascii="Tahoma" w:hAnsi="Tahoma"/>
      <w:sz w:val="16"/>
      <w:szCs w:val="16"/>
    </w:rPr>
  </w:style>
  <w:style w:type="paragraph" w:styleId="Tl1" w:customStyle="1">
    <w:name w:val="Štýl1"/>
    <w:qFormat/>
    <w:link w:val="tl1Char"/>
    <w:rsid w:val="007b7ebe"/>
    <w:basedOn w:val="Pta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qFormat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6c0f8a"/>
    <w:tblPr>
      <w:tblInd w:type="dxa" w:w="0"/>
      <w:tblBorders>
        <w:top w:space="0" w:sz="4" w:color="000000" w:val="single"/>
        <w:left w:space="0" w:sz="4" w:color="000000" w:val="single"/>
        <w:bottom w:space="0" w:sz="4" w:color="000000" w:val="single"/>
        <w:right w:space="0" w:sz="4" w:color="000000" w:val="single"/>
        <w:insideH w:space="0" w:sz="4" w:color="000000" w:val="single"/>
        <w:insideV w:space="0" w:sz="4" w:color="000000" w:val="single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87B73B-33FA-4114-9D9D-26D287EF68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2020-06-28T12:47:00Z</dcterms:created>
  <dc:creator>maria</dc:creator>
  <dc:language>sk-SK</dc:language>
  <cp:lastModifiedBy>User1</cp:lastModifiedBy>
  <cp:lastPrinted>2017-06-29T17:13:00Z</cp:lastPrinted>
  <dcterms:modified xsi:type="dcterms:W3CDTF">2020-06-28T12:47:00Z</dcterms:modified>
  <cp:revision>2</cp:revision>
  <dc:title>Opatrenie</dc:title>
</cp:coreProperties>
</file>