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Telotextu"/>
        <w:jc w:val="center"/>
        <w:rPr>
          <w:b/>
          <w:sz w:val="28"/>
        </w:rPr>
      </w:pPr>
      <w:r>
        <w:rPr>
          <w:b/>
          <w:sz w:val="28"/>
        </w:rPr>
        <w:t>Poznámky k účtovnej závierke k 31. 12. 2020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Nadpis2"/>
        <w:numPr>
          <w:ilvl w:val="1"/>
          <w:numId w:val="4"/>
        </w:numPr>
        <w:rPr>
          <w:sz w:val="20"/>
        </w:rPr>
      </w:pPr>
      <w:r>
        <w:rPr>
          <w:sz w:val="20"/>
        </w:rPr>
        <w:t>Obchodné meno a sídlo spoločnosti: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tabs>
          <w:tab w:val="center" w:pos="4785" w:leader="none"/>
        </w:tabs>
        <w:ind w:left="360" w:right="0" w:hanging="0"/>
        <w:rPr>
          <w:b/>
          <w:sz w:val="20"/>
        </w:rPr>
      </w:pPr>
      <w:r>
        <w:rPr>
          <w:b/>
          <w:sz w:val="20"/>
        </w:rPr>
        <w:t>IGNITE, s.r.o.</w:t>
        <w:tab/>
      </w:r>
    </w:p>
    <w:p>
      <w:pPr>
        <w:pStyle w:val="Telotextu"/>
        <w:ind w:left="0" w:right="0" w:firstLine="360"/>
        <w:rPr>
          <w:sz w:val="20"/>
        </w:rPr>
      </w:pPr>
      <w:r>
        <w:rPr>
          <w:sz w:val="20"/>
        </w:rPr>
        <w:t>Ťačevská 610/23</w:t>
      </w:r>
    </w:p>
    <w:p>
      <w:pPr>
        <w:pStyle w:val="Telotextu"/>
        <w:ind w:left="0" w:right="0" w:firstLine="360"/>
        <w:rPr>
          <w:sz w:val="20"/>
        </w:rPr>
      </w:pPr>
      <w:r>
        <w:rPr>
          <w:sz w:val="20"/>
        </w:rPr>
        <w:t>085 01 Bardejov</w:t>
      </w:r>
    </w:p>
    <w:p>
      <w:pPr>
        <w:pStyle w:val="Telotextu"/>
        <w:rPr>
          <w:sz w:val="20"/>
        </w:rPr>
      </w:pPr>
      <w:r>
        <w:rPr>
          <w:sz w:val="20"/>
        </w:rPr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  <w:t>Spoločnosť  IGNITE, s.r.o.  (ďalej len Spoločnosť) bola do obchodného registra bola zapísaná 24.10.2013, (Obchodný register Okresného súdu Prešov, oddiel Sro, vložka č.29127/P)</w:t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r>
    </w:p>
    <w:p>
      <w:pPr>
        <w:pStyle w:val="Telotextu"/>
        <w:shd w:fill="FFFFFF" w:val="clear"/>
        <w:spacing w:lineRule="auto" w:line="240" w:before="0" w:after="0"/>
        <w:ind w:left="360" w:right="0" w:hanging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0"/>
          <w:szCs w:val="24"/>
          <w:u w:val="single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tabs>
          <w:tab w:val="center" w:pos="4536" w:leader="none"/>
          <w:tab w:val="left" w:pos="7845" w:leader="none"/>
        </w:tabs>
        <w:spacing w:lineRule="auto" w:line="240" w:before="0" w:after="0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ab/>
        <w:t>3. Priemerný prepočítaný počet zamestnancov</w:t>
        <w:tab/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Priemerný prepočítaný počet zamestnancov za bežné účtovné obdobie: 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Priemerný prepočítaný počet zamestnancov za bezprostredne predchádzajúce účtovné obdobie: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0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Východiská pre zostavenie účtovnej závierky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závierka bola vypracovaná v súlade so zákonom č. 431/2002 Z.z. o účtovníctve a opatrením MF SR č. 23054/2002-92 v znení neskorších zmien, ktorým sa ustanovujú podrobnosti o postupoch účtovania a rámcovej účtovnej osnove pre podnikateľov. Menou pre vykazovanie je EURO.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Účtovná jednotka 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vlastní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 xml:space="preserve"> dlhodobý nehmotný majetok ani dlhodobý finančný majetok. Firma odkúpila do majetku osobné mot.vozidlo.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Zásoby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Pri účtovaní zásob postupoval podnik spôsobom B účtovania zásob. Nakupované zásoby podnik oceňoval obstarávacou cenou v zložení: obstarávacia cena vrátane nákladov súvisiacich s obstaraním. Náklady súvisiace s obstaraním zásob sa pri príjme na sklad rozpočítavali s cenou obstarania na technickú jednotku obstaranej zásoby. Pri vyskladnení zásob sa používal vážený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Pohľadávky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 Výška  pohľadávok k 31.12.2020 je 1035€.</w:t>
      </w:r>
    </w:p>
    <w:p>
      <w:pPr>
        <w:pStyle w:val="Normal"/>
        <w:shd w:fill="FFFFFF" w:val="clear"/>
        <w:spacing w:lineRule="auto" w:line="240" w:before="0" w:after="0"/>
        <w:ind w:left="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Krátkodobý finančný majetok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31.12.2020    66,41 €. Má zriadený bežný bankový účet v mene EUR v hodnote k 31.12.2020   11438,79 €. Iný krátkodobý finančný majetok nevlastní.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Časové rozlíšenie nákladov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Záväzky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Záväzky sa pri ich vzniku oceňujú menovitou hodnotou. Výška záväzkov k 31.12.2019 je 28,70 €. Záväzky nadobudnuté prevzatím sa nerealizovali.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Rezervy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Daň z príjmov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2020 vo výške 15% daňového základu, ktorý sa vypočítal úpravou účtovného výsledku hospodárenia o pripočítateľné a odpočítateľné položky. Účtovná jednotka má daň z príjmov splatnú vo výške 485 €.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Derivátové operácie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Spôsob zostavenia odpisového plánu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daňové odpisy sa rovnajú. Účtovná jednotka nemá majetok, ktorý by odpisovala.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Zmeny účtovných metód a účtovných zásad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Od 01.01.2014 sa zmenila štruktúra účtovnej závierky z dôvodu prechodu na mikro účtovnú jednotku. Účtovné metódy a všeobecné zásady boli konzistentne aplikované počas celého účtovného. O nákladoch a výnosoch sa účtuje v momente ich vzniku, bez ohľadu na dátum úhrady, inkasa, alebo deň vyrovnania iným spôsobom. Dodržuje sa zásada vecnej a časovej súvislosti nákladov s výnosmi.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poskytnuté dotácie.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2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jc w:val="center"/>
        <w:outlineLvl w:val="2"/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eastAsia="Times New Roman" w:cs="Times New Roman" w:ascii="Times New Roman" w:hAnsi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záväzkoch, a to:</w:t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>
      <w:pPr>
        <w:pStyle w:val="ListParagraph"/>
        <w:shd w:fill="FFFFFF" w:val="clear"/>
        <w:spacing w:lineRule="auto" w:line="240" w:before="0" w:after="0"/>
        <w:ind w:left="144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vlastných akciách</w:t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vlastné akcie.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orgánoch účtovnej jednotky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povinnostiach účtovnej jednotky, a to:</w:t>
      </w:r>
    </w:p>
    <w:p>
      <w:pPr>
        <w:pStyle w:val="ListParagraph"/>
        <w:shd w:fill="FFFFFF" w:val="clear"/>
        <w:spacing w:lineRule="auto" w:line="240" w:before="0" w:after="0"/>
        <w:ind w:left="72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významných podmienených záväzkov.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1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Opis významných povinností účtovnej jednotky vyplývajúcich z dôchodkových programov pre zamestnancov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/>
      </w:pPr>
      <w:r>
        <w:rPr/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Účtovná jednotka dosiahla v roku 2020 hospodársky zisk vo výške pred zdanením: 3235,44 €. Hospodársky výsledok po zdanení je 2750,44€.</w:t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108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ListParagraph"/>
        <w:numPr>
          <w:ilvl w:val="0"/>
          <w:numId w:val="1"/>
        </w:numPr>
        <w:shd w:fill="FFFFFF" w:val="clear"/>
        <w:spacing w:lineRule="auto" w:line="240" w:before="0" w:after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Informácie o udelení výlučného práva alebo osobitného práva, ktorým sa udelilo právo poskytovať služby vo verejnom záujme.</w:t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r>
    </w:p>
    <w:p>
      <w:pPr>
        <w:pStyle w:val="Normal"/>
        <w:shd w:fill="FFFFFF" w:val="clear"/>
        <w:spacing w:lineRule="auto" w:line="240" w:before="0" w:after="0"/>
        <w:ind w:left="360" w:right="0" w:hanging="0"/>
        <w:outlineLvl w:val="2"/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val="sk-SK"/>
        </w:rPr>
        <w:t>Účtovnej jednotke nebolo udelené výlučné právo alebo osobitné právo poskytovať služby vo verejnom záujme.</w:t>
      </w:r>
    </w:p>
    <w:p>
      <w:pPr>
        <w:pStyle w:val="Normal"/>
        <w:widowControl/>
        <w:suppressAutoHyphens w:val="true"/>
        <w:bidi w:val="0"/>
        <w:spacing w:lineRule="auto" w:line="252" w:before="0" w:after="160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ormal"/>
      <w:pBdr>
        <w:top w:val="nil"/>
        <w:left w:val="single" w:sz="12" w:space="11" w:color="5B9BD5"/>
        <w:bottom w:val="nil"/>
        <w:right w:val="nil"/>
      </w:pBdr>
      <w:tabs>
        <w:tab w:val="left" w:pos="3620" w:leader="none"/>
        <w:tab w:val="left" w:pos="3964" w:leader="none"/>
      </w:tabs>
      <w:spacing w:before="0" w:after="0"/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>Poznámky Úč MÚJ 3-01                                                      DIČ:2023931690  IČO:47471921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count="376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  <w:lsdException w:unhideWhenUsed="1" w:semiHidden="1" w:name="Mention"/>
    <w:lsdException w:unhideWhenUsed="1" w:semiHidden="1" w:name="Smart Hyperlink"/>
    <w:lsdException w:unhideWhenUsed="1" w:semiHidden="1" w:name="Hashtag"/>
    <w:lsdException w:unhideWhenUsed="1" w:semiHidden="1" w:name="Unresolved Mention"/>
    <w:lsdException w:unhideWhenUsed="1" w:semiHidden="1" w:name="Smart Link"/>
  </w:latentStyles>
  <w:style w:type="paragraph" w:styleId="Normal" w:default="1">
    <w:name w:val="Normal"/>
    <w:qFormat/>
    <w:rsid w:val="008240e4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SimSun" w:cs="Calibri"/>
      <w:color w:val="00000A"/>
      <w:sz w:val="22"/>
      <w:szCs w:val="22"/>
      <w:lang w:val="en-US" w:eastAsia="en-US" w:bidi="ar-SA"/>
    </w:rPr>
  </w:style>
  <w:style w:type="paragraph" w:styleId="Nadpis1">
    <w:name w:val="Nadpis 1"/>
    <w:basedOn w:val="Normal"/>
    <w:pPr>
      <w:keepNext/>
      <w:outlineLvl w:val="0"/>
    </w:pPr>
    <w:rPr>
      <w:b/>
      <w:caps/>
      <w:sz w:val="18"/>
    </w:rPr>
  </w:style>
  <w:style w:type="paragraph" w:styleId="Nadpis2">
    <w:name w:val="Nadpis 2"/>
    <w:basedOn w:val="Normal"/>
    <w:pPr>
      <w:keepNext/>
      <w:outlineLvl w:val="1"/>
    </w:pPr>
    <w:rPr>
      <w:b/>
      <w:sz w:val="18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HlavikaChar" w:customStyle="1">
    <w:name w:val="Hlavička Char"/>
    <w:uiPriority w:val="99"/>
    <w:link w:val="Hlavika"/>
    <w:rsid w:val="00f368b0"/>
    <w:basedOn w:val="DefaultParagraphFont"/>
    <w:rPr>
      <w:lang w:val="en-US"/>
    </w:rPr>
  </w:style>
  <w:style w:type="character" w:styleId="PtaChar" w:customStyle="1">
    <w:name w:val="Päta Char"/>
    <w:uiPriority w:val="99"/>
    <w:link w:val="Pta"/>
    <w:rsid w:val="00f368b0"/>
    <w:basedOn w:val="DefaultParagraphFont"/>
    <w:rPr>
      <w:lang w:val="en-US"/>
    </w:rPr>
  </w:style>
  <w:style w:type="character" w:styleId="TextbublinyChar" w:customStyle="1">
    <w:name w:val="Text bubliny Char"/>
    <w:uiPriority w:val="99"/>
    <w:semiHidden/>
    <w:link w:val="Textbubliny"/>
    <w:rsid w:val="00f368b0"/>
    <w:basedOn w:val="DefaultParagraphFont"/>
    <w:rPr>
      <w:rFonts w:ascii="Segoe UI" w:hAnsi="Segoe UI" w:cs="Segoe UI"/>
      <w:sz w:val="18"/>
      <w:szCs w:val="18"/>
      <w:lang w:val="en-US"/>
    </w:rPr>
  </w:style>
  <w:style w:type="character" w:styleId="WW8Num7z0" w:customStyle="1">
    <w:name w:val="WW8Num7z0"/>
    <w:rPr>
      <w:sz w:val="20"/>
    </w:rPr>
  </w:style>
  <w:style w:type="character" w:styleId="WW8Num11z0" w:customStyle="1">
    <w:name w:val="WW8Num11z0"/>
    <w:rPr/>
  </w:style>
  <w:style w:type="character" w:styleId="WW8Num11z1" w:customStyle="1">
    <w:name w:val="WW8Num11z1"/>
    <w:rPr/>
  </w:style>
  <w:style w:type="character" w:styleId="WW8Num11z2" w:customStyle="1">
    <w:name w:val="WW8Num11z2"/>
    <w:rPr/>
  </w:style>
  <w:style w:type="character" w:styleId="WW8Num11z3" w:customStyle="1">
    <w:name w:val="WW8Num11z3"/>
    <w:rPr/>
  </w:style>
  <w:style w:type="character" w:styleId="WW8Num11z4" w:customStyle="1">
    <w:name w:val="WW8Num11z4"/>
    <w:rPr/>
  </w:style>
  <w:style w:type="character" w:styleId="WW8Num11z5" w:customStyle="1">
    <w:name w:val="WW8Num11z5"/>
    <w:rPr/>
  </w:style>
  <w:style w:type="character" w:styleId="WW8Num11z6" w:customStyle="1">
    <w:name w:val="WW8Num11z6"/>
    <w:rPr/>
  </w:style>
  <w:style w:type="character" w:styleId="WW8Num11z7" w:customStyle="1">
    <w:name w:val="WW8Num11z7"/>
    <w:rPr/>
  </w:style>
  <w:style w:type="character" w:styleId="WW8Num11z8" w:customStyle="1">
    <w:name w:val="WW8Num11z8"/>
    <w:rPr/>
  </w:style>
  <w:style w:type="character" w:styleId="WW8Num4z0" w:customStyle="1">
    <w:name w:val="WW8Num4z0"/>
    <w:rPr/>
  </w:style>
  <w:style w:type="character" w:styleId="WW8Num4z1" w:customStyle="1">
    <w:name w:val="WW8Num4z1"/>
    <w:rPr/>
  </w:style>
  <w:style w:type="character" w:styleId="WW8Num4z2" w:customStyle="1">
    <w:name w:val="WW8Num4z2"/>
    <w:rPr/>
  </w:style>
  <w:style w:type="character" w:styleId="WW8Num4z3" w:customStyle="1">
    <w:name w:val="WW8Num4z3"/>
    <w:rPr/>
  </w:style>
  <w:style w:type="character" w:styleId="WW8Num4z4" w:customStyle="1">
    <w:name w:val="WW8Num4z4"/>
    <w:rPr/>
  </w:style>
  <w:style w:type="character" w:styleId="WW8Num4z5" w:customStyle="1">
    <w:name w:val="WW8Num4z5"/>
    <w:rPr/>
  </w:style>
  <w:style w:type="character" w:styleId="WW8Num4z6" w:customStyle="1">
    <w:name w:val="WW8Num4z6"/>
    <w:rPr/>
  </w:style>
  <w:style w:type="character" w:styleId="WW8Num4z7" w:customStyle="1">
    <w:name w:val="WW8Num4z7"/>
    <w:rPr/>
  </w:style>
  <w:style w:type="character" w:styleId="WW8Num4z8" w:customStyle="1">
    <w:name w:val="WW8Num4z8"/>
    <w:rPr/>
  </w:style>
  <w:style w:type="character" w:styleId="ListLabel1">
    <w:name w:val="ListLabel 1"/>
    <w:rPr>
      <w:sz w:val="20"/>
    </w:rPr>
  </w:style>
  <w:style w:type="character" w:styleId="ListLabel2">
    <w:name w:val="ListLabel 2"/>
    <w:rPr>
      <w:sz w:val="20"/>
    </w:rPr>
  </w:style>
  <w:style w:type="character" w:styleId="ListLabel3">
    <w:name w:val="ListLabel 3"/>
    <w:rPr>
      <w:sz w:val="20"/>
    </w:rPr>
  </w:style>
  <w:style w:type="paragraph" w:styleId="Nadpis" w:customStyle="1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Telotextu" w:customStyle="1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 Unicode MS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  <w:rPr>
      <w:rFonts w:cs="Arial Unicode MS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ListParagraph">
    <w:name w:val="List Paragraph"/>
    <w:uiPriority w:val="34"/>
    <w:qFormat/>
    <w:rsid w:val="008240e4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HlavikaChar"/>
    <w:rsid w:val="00f368b0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PtaChar"/>
    <w:rsid w:val="00f368b0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uiPriority w:val="99"/>
    <w:semiHidden/>
    <w:unhideWhenUsed/>
    <w:link w:val="TextbublinyChar"/>
    <w:rsid w:val="00f368b0"/>
    <w:basedOn w:val="Normal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numbering" w:styleId="WW8Num7" w:customStyle="1">
    <w:name w:val="WW8Num7"/>
  </w:style>
  <w:style w:type="numbering" w:styleId="WW8Num11" w:customStyle="1">
    <w:name w:val="WW8Num11"/>
  </w:style>
  <w:style w:type="numbering" w:styleId="WW8Num4" w:customStyle="1">
    <w:name w:val="WW8Num4"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2020-06-26T13:13:00Z</dcterms:created>
  <dc:creator>test</dc:creator>
  <dc:language>sk-SK</dc:language>
  <cp:lastModifiedBy>Martina</cp:lastModifiedBy>
  <cp:lastPrinted>2019-06-27T14:14:00Z</cp:lastPrinted>
  <dcterms:modified xsi:type="dcterms:W3CDTF">2020-06-26T13:13:00Z</dcterms:modified>
  <cp:revision>2</cp:revision>
</cp:coreProperties>
</file>