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emf" ContentType="image/x-emf"/>
  <Default Extension="xls" ContentType="application/vnd.ms-exce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878BC" w:rsidRPr="00A55E63" w:rsidRDefault="009878BC">
      <w:pPr>
        <w:spacing w:before="2" w:line="140" w:lineRule="exact"/>
        <w:rPr>
          <w:sz w:val="14"/>
          <w:szCs w:val="14"/>
          <w:lang w:val="en-US"/>
        </w:rPr>
      </w:pPr>
    </w:p>
    <w:p w:rsidR="009878BC" w:rsidRPr="00A55E63" w:rsidRDefault="009878BC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 w:cs="Arial Narrow"/>
          <w:b/>
          <w:bCs/>
        </w:rPr>
      </w:pPr>
      <w:r w:rsidRPr="00A55E63">
        <w:rPr>
          <w:rFonts w:ascii="Arial Narrow" w:hAnsi="Arial Narrow" w:cs="Arial Narrow"/>
          <w:b/>
          <w:bCs/>
        </w:rPr>
        <w:t>Poznámky k </w:t>
      </w:r>
      <w:proofErr w:type="spellStart"/>
      <w:r w:rsidRPr="00A55E63">
        <w:rPr>
          <w:rFonts w:ascii="Arial Narrow" w:hAnsi="Arial Narrow" w:cs="Arial Narrow"/>
          <w:b/>
          <w:bCs/>
        </w:rPr>
        <w:t>mikro</w:t>
      </w:r>
      <w:proofErr w:type="spellEnd"/>
      <w:r w:rsidRPr="00A55E63">
        <w:rPr>
          <w:rFonts w:ascii="Arial Narrow" w:hAnsi="Arial Narrow" w:cs="Arial Narrow"/>
          <w:b/>
          <w:bCs/>
        </w:rPr>
        <w:t xml:space="preserve"> účtovnej závierke za rok </w:t>
      </w:r>
      <w:r w:rsidR="00A4653F">
        <w:rPr>
          <w:rFonts w:ascii="Arial Narrow" w:hAnsi="Arial Narrow" w:cs="Arial Narrow"/>
          <w:b/>
          <w:bCs/>
        </w:rPr>
        <w:t>2020</w:t>
      </w:r>
    </w:p>
    <w:p w:rsidR="009878BC" w:rsidRPr="00A55E63" w:rsidRDefault="009878BC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 w:cs="Arial Narrow"/>
        </w:rPr>
      </w:pPr>
      <w:r w:rsidRPr="00A55E63">
        <w:rPr>
          <w:rFonts w:ascii="Arial Narrow" w:hAnsi="Arial Narrow" w:cs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A55E63">
        <w:rPr>
          <w:rFonts w:ascii="Arial Narrow" w:hAnsi="Arial Narrow" w:cs="Arial Narrow"/>
          <w:b/>
          <w:bCs/>
        </w:rPr>
        <w:t>mikro</w:t>
      </w:r>
      <w:proofErr w:type="spellEnd"/>
      <w:r w:rsidRPr="00A55E63">
        <w:rPr>
          <w:rFonts w:ascii="Arial Narrow" w:hAnsi="Arial Narrow" w:cs="Arial Narrow"/>
          <w:b/>
          <w:bCs/>
        </w:rPr>
        <w:t xml:space="preserve"> účtovné jednotky</w:t>
      </w:r>
      <w:r w:rsidRPr="00A55E63">
        <w:rPr>
          <w:rFonts w:ascii="Arial Narrow" w:hAnsi="Arial Narrow" w:cs="Arial Narrow"/>
        </w:rPr>
        <w:t xml:space="preserve"> v znení neskorších predpisov</w:t>
      </w:r>
    </w:p>
    <w:p w:rsidR="009878BC" w:rsidRPr="00A55E63" w:rsidRDefault="009878BC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 w:cs="Arial Narrow"/>
        </w:rPr>
      </w:pPr>
      <w:r w:rsidRPr="00A55E63">
        <w:rPr>
          <w:rFonts w:ascii="Arial Narrow" w:hAnsi="Arial Narrow" w:cs="Arial Narrow"/>
        </w:rPr>
        <w:t>(ostatná novela č.MF/18008/2014-74 – FS č.10/2014)</w:t>
      </w:r>
    </w:p>
    <w:p w:rsidR="009878BC" w:rsidRPr="00DF211F" w:rsidRDefault="009878BC" w:rsidP="00AD749D">
      <w:pPr>
        <w:spacing w:before="7" w:line="240" w:lineRule="exact"/>
        <w:jc w:val="both"/>
        <w:rPr>
          <w:rFonts w:ascii="Arial" w:hAnsi="Arial" w:cs="Arial"/>
        </w:rPr>
      </w:pPr>
    </w:p>
    <w:p w:rsidR="009878BC" w:rsidRPr="00A55E63" w:rsidRDefault="009878BC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9878BC" w:rsidRPr="00A55E63" w:rsidRDefault="009878BC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9878BC" w:rsidRPr="00A55E63" w:rsidRDefault="009878BC" w:rsidP="00AD749D">
      <w:pPr>
        <w:spacing w:before="7" w:line="240" w:lineRule="exact"/>
        <w:jc w:val="both"/>
        <w:rPr>
          <w:rFonts w:ascii="Arial" w:hAnsi="Arial" w:cs="Arial"/>
        </w:rPr>
      </w:pPr>
    </w:p>
    <w:p w:rsidR="009878BC" w:rsidRPr="00A55E63" w:rsidRDefault="009878BC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9878BC" w:rsidRPr="00A55E63" w:rsidRDefault="009878BC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85"/>
        <w:gridCol w:w="6602"/>
      </w:tblGrid>
      <w:tr w:rsidR="009878BC" w:rsidRPr="007912E1">
        <w:tc>
          <w:tcPr>
            <w:tcW w:w="3085" w:type="dxa"/>
          </w:tcPr>
          <w:p w:rsidR="009878BC" w:rsidRPr="007912E1" w:rsidRDefault="009878BC" w:rsidP="007912E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7912E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9878BC" w:rsidRPr="007912E1" w:rsidRDefault="009878BC" w:rsidP="007912E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BUDZ-TRANS s.r.o.</w:t>
            </w:r>
          </w:p>
        </w:tc>
      </w:tr>
      <w:tr w:rsidR="009878BC" w:rsidRPr="007912E1">
        <w:tc>
          <w:tcPr>
            <w:tcW w:w="3085" w:type="dxa"/>
          </w:tcPr>
          <w:p w:rsidR="009878BC" w:rsidRPr="007912E1" w:rsidRDefault="009878BC" w:rsidP="007912E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7912E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9878BC" w:rsidRPr="007912E1" w:rsidRDefault="009878BC" w:rsidP="007912E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46 629 653</w:t>
            </w:r>
          </w:p>
        </w:tc>
      </w:tr>
      <w:tr w:rsidR="009878BC" w:rsidRPr="007912E1">
        <w:tc>
          <w:tcPr>
            <w:tcW w:w="3085" w:type="dxa"/>
          </w:tcPr>
          <w:p w:rsidR="009878BC" w:rsidRPr="007912E1" w:rsidRDefault="009878BC" w:rsidP="007912E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7912E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9878BC" w:rsidRPr="007912E1" w:rsidRDefault="009878BC" w:rsidP="007912E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Okružná 142, 059 11 Hozelec</w:t>
            </w:r>
          </w:p>
        </w:tc>
      </w:tr>
    </w:tbl>
    <w:p w:rsidR="009878BC" w:rsidRPr="00A55E63" w:rsidRDefault="009878BC" w:rsidP="00EB55FA">
      <w:pPr>
        <w:spacing w:line="260" w:lineRule="exact"/>
        <w:jc w:val="both"/>
        <w:rPr>
          <w:rFonts w:ascii="Arial" w:hAnsi="Arial" w:cs="Arial"/>
        </w:rPr>
      </w:pPr>
    </w:p>
    <w:p w:rsidR="009878BC" w:rsidRPr="00A55E63" w:rsidRDefault="009878BC" w:rsidP="00EB55FA">
      <w:pPr>
        <w:spacing w:line="260" w:lineRule="exact"/>
        <w:jc w:val="both"/>
        <w:rPr>
          <w:rFonts w:ascii="Arial" w:hAnsi="Arial" w:cs="Arial"/>
        </w:rPr>
      </w:pPr>
    </w:p>
    <w:p w:rsidR="009878BC" w:rsidRPr="00A55E63" w:rsidRDefault="009878BC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–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spoločnosť nemá povinnosť zostavovať účtovnú závierku.</w:t>
      </w:r>
    </w:p>
    <w:p w:rsidR="009878BC" w:rsidRPr="00A55E63" w:rsidRDefault="009878BC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9878BC" w:rsidRPr="00A55E63" w:rsidRDefault="009878BC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9878BC" w:rsidRPr="00A55E63" w:rsidRDefault="009878BC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9878BC" w:rsidRPr="00A55E63" w:rsidRDefault="009878BC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19"/>
        <w:gridCol w:w="2126"/>
        <w:gridCol w:w="3342"/>
      </w:tblGrid>
      <w:tr w:rsidR="009878BC" w:rsidRPr="007912E1">
        <w:trPr>
          <w:trHeight w:val="1014"/>
        </w:trPr>
        <w:tc>
          <w:tcPr>
            <w:tcW w:w="4219" w:type="dxa"/>
          </w:tcPr>
          <w:p w:rsidR="009878BC" w:rsidRPr="007912E1" w:rsidRDefault="009878BC" w:rsidP="007912E1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 w:rsidRPr="007912E1">
              <w:rPr>
                <w:rFonts w:ascii="Arial" w:hAnsi="Arial" w:cs="Arial"/>
                <w:b/>
                <w:bCs/>
              </w:rPr>
              <w:t>Názov</w:t>
            </w:r>
          </w:p>
        </w:tc>
        <w:tc>
          <w:tcPr>
            <w:tcW w:w="2126" w:type="dxa"/>
          </w:tcPr>
          <w:p w:rsidR="009878BC" w:rsidRPr="007912E1" w:rsidRDefault="009878BC" w:rsidP="007912E1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 w:rsidRPr="007912E1">
              <w:rPr>
                <w:rFonts w:ascii="Arial" w:hAnsi="Arial" w:cs="Arial"/>
                <w:b/>
                <w:bCs/>
              </w:rPr>
              <w:t>Bežné účtovné</w:t>
            </w:r>
          </w:p>
          <w:p w:rsidR="009878BC" w:rsidRPr="007912E1" w:rsidRDefault="009878BC" w:rsidP="007912E1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 w:rsidRPr="007912E1">
              <w:rPr>
                <w:rFonts w:ascii="Arial" w:hAnsi="Arial" w:cs="Arial"/>
                <w:b/>
                <w:bCs/>
              </w:rPr>
              <w:t>obdobie</w:t>
            </w:r>
          </w:p>
        </w:tc>
        <w:tc>
          <w:tcPr>
            <w:tcW w:w="3342" w:type="dxa"/>
          </w:tcPr>
          <w:p w:rsidR="009878BC" w:rsidRPr="007912E1" w:rsidRDefault="009878BC" w:rsidP="007912E1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 w:rsidRPr="007912E1">
              <w:rPr>
                <w:rFonts w:ascii="Arial" w:hAnsi="Arial" w:cs="Arial"/>
                <w:b/>
                <w:bCs/>
              </w:rPr>
              <w:t>Bezprostredne predchádzajúce účtovné obdobie</w:t>
            </w:r>
          </w:p>
        </w:tc>
      </w:tr>
      <w:tr w:rsidR="009878BC" w:rsidRPr="007912E1">
        <w:tc>
          <w:tcPr>
            <w:tcW w:w="4219" w:type="dxa"/>
          </w:tcPr>
          <w:p w:rsidR="009878BC" w:rsidRPr="007912E1" w:rsidRDefault="009878BC" w:rsidP="007912E1">
            <w:pPr>
              <w:spacing w:line="260" w:lineRule="exact"/>
              <w:rPr>
                <w:rFonts w:ascii="Arial" w:hAnsi="Arial" w:cs="Arial"/>
              </w:rPr>
            </w:pPr>
            <w:r w:rsidRPr="007912E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9878BC" w:rsidRDefault="00A4653F" w:rsidP="007912E1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  <w:p w:rsidR="009878BC" w:rsidRPr="007912E1" w:rsidRDefault="009878BC" w:rsidP="007912E1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:rsidR="009878BC" w:rsidRPr="007912E1" w:rsidRDefault="009878BC" w:rsidP="007912E1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9878BC" w:rsidRPr="00A55E63" w:rsidRDefault="009878BC" w:rsidP="00AD6C8A">
      <w:pPr>
        <w:spacing w:line="260" w:lineRule="exact"/>
        <w:jc w:val="both"/>
        <w:rPr>
          <w:rFonts w:ascii="Arial" w:hAnsi="Arial" w:cs="Arial"/>
        </w:rPr>
      </w:pPr>
    </w:p>
    <w:p w:rsidR="009878BC" w:rsidRPr="00A55E63" w:rsidRDefault="009878BC" w:rsidP="00AD749D">
      <w:pPr>
        <w:spacing w:before="1" w:line="280" w:lineRule="exact"/>
        <w:jc w:val="both"/>
        <w:rPr>
          <w:rFonts w:ascii="Arial" w:hAnsi="Arial" w:cs="Arial"/>
        </w:rPr>
      </w:pPr>
    </w:p>
    <w:p w:rsidR="009878BC" w:rsidRPr="00A55E63" w:rsidRDefault="009878BC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9878BC" w:rsidRPr="00A55E63" w:rsidRDefault="009878BC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 w:rsidRPr="00A55E63">
        <w:rPr>
          <w:rFonts w:ascii="Arial" w:hAnsi="Arial" w:cs="Arial"/>
          <w:b/>
          <w:bCs/>
          <w:spacing w:val="2"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9878BC" w:rsidRPr="00A55E63" w:rsidRDefault="009878BC" w:rsidP="00AD749D">
      <w:pPr>
        <w:spacing w:before="11" w:line="260" w:lineRule="exact"/>
        <w:jc w:val="both"/>
        <w:rPr>
          <w:rFonts w:ascii="Arial" w:hAnsi="Arial" w:cs="Arial"/>
        </w:rPr>
      </w:pPr>
    </w:p>
    <w:p w:rsidR="009878BC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4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>
        <w:rPr>
          <w:rFonts w:ascii="Arial" w:hAnsi="Arial" w:cs="Arial"/>
          <w:spacing w:val="-4"/>
          <w:sz w:val="22"/>
          <w:szCs w:val="22"/>
        </w:rPr>
        <w:t>Účtovná závierka bola zostavená za predpokladu nepretržitého trvania účtovnej jednotky. Účtovné metódy a všeobecné účtovné zásady boli účtovnou jednotkou konzistentne aplikované okrem účtovania poistenia majetku určeného na prevádzkovú činnosť a iného poistného súvisiaceho s prevádzkovou činnosťou. Takéto poistenie sa od 1. januára 2011 účtuje na účet 548 – Ostatné náklady na hospodársku činnosť.</w:t>
      </w:r>
    </w:p>
    <w:p w:rsidR="009878BC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9878BC" w:rsidRPr="00A55E63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9878BC" w:rsidRPr="00A55E63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843"/>
        <w:gridCol w:w="4844"/>
      </w:tblGrid>
      <w:tr w:rsidR="009878BC" w:rsidRPr="007912E1">
        <w:tc>
          <w:tcPr>
            <w:tcW w:w="4843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7912E1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7912E1">
              <w:rPr>
                <w:rFonts w:ascii="Arial" w:hAnsi="Arial" w:cs="Arial"/>
                <w:b/>
                <w:bCs/>
                <w:sz w:val="22"/>
                <w:szCs w:val="22"/>
              </w:rPr>
              <w:t>Spôsob oceňovania</w:t>
            </w:r>
          </w:p>
        </w:tc>
      </w:tr>
      <w:tr w:rsidR="009878BC" w:rsidRPr="007912E1">
        <w:tc>
          <w:tcPr>
            <w:tcW w:w="4843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7912E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7912E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878BC" w:rsidRPr="007912E1">
        <w:tc>
          <w:tcPr>
            <w:tcW w:w="4843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7912E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878BC" w:rsidRPr="007912E1">
        <w:tc>
          <w:tcPr>
            <w:tcW w:w="4843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7912E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7912E1">
              <w:rPr>
                <w:rFonts w:ascii="Arial" w:hAnsi="Arial" w:cs="Arial"/>
                <w:sz w:val="22"/>
                <w:szCs w:val="22"/>
              </w:rPr>
              <w:t>n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7912E1">
              <w:rPr>
                <w:rFonts w:ascii="Arial" w:hAnsi="Arial" w:cs="Arial"/>
                <w:sz w:val="22"/>
                <w:szCs w:val="22"/>
              </w:rPr>
              <w:t>ný ma</w:t>
            </w:r>
            <w:r w:rsidRPr="007912E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7912E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878BC" w:rsidRPr="007912E1">
        <w:tc>
          <w:tcPr>
            <w:tcW w:w="4843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7912E1">
              <w:rPr>
                <w:rFonts w:ascii="Arial" w:hAnsi="Arial" w:cs="Arial"/>
                <w:sz w:val="22"/>
                <w:szCs w:val="22"/>
              </w:rPr>
              <w:t>r</w:t>
            </w:r>
            <w:r w:rsidRPr="007912E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7912E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7912E1">
              <w:rPr>
                <w:rFonts w:ascii="Arial" w:hAnsi="Arial" w:cs="Arial"/>
                <w:sz w:val="22"/>
                <w:szCs w:val="22"/>
              </w:rPr>
              <w:t>kúpo</w:t>
            </w:r>
            <w:r w:rsidRPr="007912E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878BC" w:rsidRPr="007912E1">
        <w:tc>
          <w:tcPr>
            <w:tcW w:w="4843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7912E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7912E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7912E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7912E1">
              <w:rPr>
                <w:rFonts w:ascii="Arial" w:hAnsi="Arial" w:cs="Arial"/>
                <w:sz w:val="22"/>
                <w:szCs w:val="22"/>
              </w:rPr>
              <w:t>tvor</w:t>
            </w:r>
            <w:r w:rsidRPr="007912E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7912E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7912E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9878BC" w:rsidRPr="007912E1">
        <w:tc>
          <w:tcPr>
            <w:tcW w:w="4843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7912E1">
              <w:rPr>
                <w:rFonts w:ascii="Arial" w:hAnsi="Arial" w:cs="Arial"/>
                <w:sz w:val="22"/>
                <w:szCs w:val="22"/>
              </w:rPr>
              <w:t>d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7912E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878BC" w:rsidRPr="007912E1">
        <w:tc>
          <w:tcPr>
            <w:tcW w:w="4843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7912E1">
              <w:rPr>
                <w:rFonts w:ascii="Arial" w:hAnsi="Arial" w:cs="Arial"/>
                <w:sz w:val="22"/>
                <w:szCs w:val="22"/>
              </w:rPr>
              <w:t>d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7912E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878BC" w:rsidRPr="007912E1">
        <w:tc>
          <w:tcPr>
            <w:tcW w:w="4843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K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7912E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7912E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7912E1">
              <w:rPr>
                <w:rFonts w:ascii="Arial" w:hAnsi="Arial" w:cs="Arial"/>
                <w:sz w:val="22"/>
                <w:szCs w:val="22"/>
              </w:rPr>
              <w:t>ina</w:t>
            </w:r>
            <w:r w:rsidRPr="007912E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7912E1">
              <w:rPr>
                <w:rFonts w:ascii="Arial" w:hAnsi="Arial" w:cs="Arial"/>
                <w:sz w:val="22"/>
                <w:szCs w:val="22"/>
              </w:rPr>
              <w:t>ný maj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7912E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878BC" w:rsidRPr="007912E1">
        <w:tc>
          <w:tcPr>
            <w:tcW w:w="4843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7912E1">
              <w:rPr>
                <w:rFonts w:ascii="Arial" w:hAnsi="Arial" w:cs="Arial"/>
                <w:sz w:val="22"/>
                <w:szCs w:val="22"/>
              </w:rPr>
              <w:t>v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7912E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7912E1">
              <w:rPr>
                <w:rFonts w:ascii="Arial" w:hAnsi="Arial" w:cs="Arial"/>
                <w:sz w:val="22"/>
                <w:szCs w:val="22"/>
              </w:rPr>
              <w:t>ky v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7912E1">
              <w:rPr>
                <w:rFonts w:ascii="Arial" w:hAnsi="Arial" w:cs="Arial"/>
                <w:sz w:val="22"/>
                <w:szCs w:val="22"/>
              </w:rPr>
              <w:t>tane</w:t>
            </w:r>
            <w:r w:rsidRPr="007912E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7912E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7912E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7912E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878BC" w:rsidRPr="007912E1">
        <w:tc>
          <w:tcPr>
            <w:tcW w:w="4843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878BC" w:rsidRPr="007912E1">
        <w:tc>
          <w:tcPr>
            <w:tcW w:w="4843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Pô</w:t>
            </w:r>
            <w:r w:rsidRPr="007912E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7912E1">
              <w:rPr>
                <w:rFonts w:ascii="Arial" w:hAnsi="Arial" w:cs="Arial"/>
                <w:sz w:val="22"/>
                <w:szCs w:val="22"/>
              </w:rPr>
              <w:t>ičky a</w:t>
            </w:r>
            <w:r w:rsidRPr="007912E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7912E1">
              <w:rPr>
                <w:rFonts w:ascii="Arial" w:hAnsi="Arial" w:cs="Arial"/>
                <w:sz w:val="22"/>
                <w:szCs w:val="22"/>
              </w:rPr>
              <w:t>úv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7912E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878BC" w:rsidRPr="007912E1">
        <w:tc>
          <w:tcPr>
            <w:tcW w:w="4843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D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7912E1">
              <w:rPr>
                <w:rFonts w:ascii="Arial" w:hAnsi="Arial" w:cs="Arial"/>
                <w:sz w:val="22"/>
                <w:szCs w:val="22"/>
              </w:rPr>
              <w:t>riv</w:t>
            </w:r>
            <w:r w:rsidRPr="007912E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7912E1">
              <w:rPr>
                <w:rFonts w:ascii="Arial" w:hAnsi="Arial" w:cs="Arial"/>
                <w:sz w:val="22"/>
                <w:szCs w:val="22"/>
              </w:rPr>
              <w:t>to</w:t>
            </w:r>
            <w:r w:rsidRPr="007912E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7912E1">
              <w:rPr>
                <w:rFonts w:ascii="Arial" w:hAnsi="Arial" w:cs="Arial"/>
                <w:sz w:val="22"/>
                <w:szCs w:val="22"/>
              </w:rPr>
              <w:t>op</w:t>
            </w:r>
            <w:r w:rsidRPr="007912E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7912E1">
              <w:rPr>
                <w:rFonts w:ascii="Arial" w:hAnsi="Arial" w:cs="Arial"/>
                <w:sz w:val="22"/>
                <w:szCs w:val="22"/>
              </w:rPr>
              <w:t>rá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7912E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9878BC" w:rsidRPr="00A55E63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878BC" w:rsidRPr="00A55E63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878BC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z w:val="22"/>
          <w:szCs w:val="22"/>
        </w:rPr>
        <w:t>Nakupovaný dlhodobý hmotný majetok sa oceňuje obstarávacou cenou, ktorá zahrňuje cenu obstarania a náklady súvisiace s obstaraním ( prepravu, montáž a pod. )</w:t>
      </w:r>
    </w:p>
    <w:p w:rsidR="009878BC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Súčasťou obstarávacej ceny DHM nie sú úroky z cudzích zdrojov ani realizované kurzové rozdiely, ktoré vznikli do momentu uvedenia dlhodobého majetku do užívania.</w:t>
      </w:r>
    </w:p>
    <w:p w:rsidR="009878BC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878BC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Odpisy dlhodobého nehmotného majetku sú stanovené vychádzajúc z predpokladanej doby jeho používania a predpokladaného priebehu jeho opotrebenia. Odpisovať sa začína prvým dňom mesiaca nasledujúceho po uvedení DM do používania.</w:t>
      </w:r>
    </w:p>
    <w:p w:rsidR="009878BC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878BC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Drobný dlhodobý nehmotný  majetok, ktorého obstarávacia cena ( resp. vlastné náklady ) je 2 400 EUR a nižšia, sa odpisuje jednorázovo pri uvedení do používania.</w:t>
      </w:r>
    </w:p>
    <w:p w:rsidR="009878BC" w:rsidRPr="00A55E63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878BC" w:rsidRPr="00A55E63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878BC" w:rsidRPr="00A55E63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metód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ním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 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nú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hodnotu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účtovná jednotky takéto zmeny nemala.</w:t>
      </w:r>
    </w:p>
    <w:p w:rsidR="009878BC" w:rsidRPr="00A55E63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878BC" w:rsidRPr="00A55E63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  <w:r>
        <w:rPr>
          <w:rFonts w:ascii="Arial" w:hAnsi="Arial" w:cs="Arial"/>
          <w:spacing w:val="-1"/>
          <w:sz w:val="22"/>
          <w:szCs w:val="22"/>
        </w:rPr>
        <w:t xml:space="preserve"> Spoločnosť neúčtovala o dotáciách.</w:t>
      </w:r>
    </w:p>
    <w:p w:rsidR="009878BC" w:rsidRPr="00A55E63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878BC" w:rsidRDefault="009878BC" w:rsidP="00DF211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53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z w:val="22"/>
          <w:szCs w:val="22"/>
        </w:rPr>
        <w:t>: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</w:p>
    <w:p w:rsidR="000C74ED" w:rsidRDefault="000C74ED" w:rsidP="00DF211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53"/>
          <w:sz w:val="22"/>
          <w:szCs w:val="22"/>
        </w:rPr>
      </w:pPr>
    </w:p>
    <w:p w:rsidR="009878BC" w:rsidRDefault="00A4653F" w:rsidP="00DF211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53"/>
          <w:sz w:val="22"/>
          <w:szCs w:val="22"/>
        </w:rPr>
      </w:pPr>
      <w:r>
        <w:rPr>
          <w:rFonts w:ascii="Arial" w:hAnsi="Arial" w:cs="Arial"/>
          <w:spacing w:val="53"/>
          <w:sz w:val="22"/>
          <w:szCs w:val="22"/>
        </w:rPr>
        <w:t>V spoločnosti od 04.10.2019 nastala zmena spoločníka a konateľov.</w:t>
      </w:r>
    </w:p>
    <w:p w:rsidR="00A4653F" w:rsidRDefault="00A4653F" w:rsidP="00DF211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53"/>
          <w:sz w:val="22"/>
          <w:szCs w:val="22"/>
        </w:rPr>
      </w:pPr>
      <w:r>
        <w:rPr>
          <w:rFonts w:ascii="Arial" w:hAnsi="Arial" w:cs="Arial"/>
          <w:spacing w:val="53"/>
          <w:sz w:val="22"/>
          <w:szCs w:val="22"/>
        </w:rPr>
        <w:t xml:space="preserve">Novým spoločníkom je Silvia </w:t>
      </w:r>
      <w:proofErr w:type="spellStart"/>
      <w:r>
        <w:rPr>
          <w:rFonts w:ascii="Arial" w:hAnsi="Arial" w:cs="Arial"/>
          <w:spacing w:val="53"/>
          <w:sz w:val="22"/>
          <w:szCs w:val="22"/>
        </w:rPr>
        <w:t>Budzová</w:t>
      </w:r>
      <w:proofErr w:type="spellEnd"/>
      <w:r>
        <w:rPr>
          <w:rFonts w:ascii="Arial" w:hAnsi="Arial" w:cs="Arial"/>
          <w:spacing w:val="53"/>
          <w:sz w:val="22"/>
          <w:szCs w:val="22"/>
        </w:rPr>
        <w:t xml:space="preserve"> po zosnulom manželovi</w:t>
      </w:r>
    </w:p>
    <w:p w:rsidR="00A4653F" w:rsidRDefault="00A4653F" w:rsidP="00DF211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53"/>
          <w:sz w:val="22"/>
          <w:szCs w:val="22"/>
        </w:rPr>
      </w:pPr>
      <w:r>
        <w:rPr>
          <w:rFonts w:ascii="Arial" w:hAnsi="Arial" w:cs="Arial"/>
          <w:spacing w:val="53"/>
          <w:sz w:val="22"/>
          <w:szCs w:val="22"/>
        </w:rPr>
        <w:t xml:space="preserve">Petrovi </w:t>
      </w:r>
      <w:proofErr w:type="spellStart"/>
      <w:r>
        <w:rPr>
          <w:rFonts w:ascii="Arial" w:hAnsi="Arial" w:cs="Arial"/>
          <w:spacing w:val="53"/>
          <w:sz w:val="22"/>
          <w:szCs w:val="22"/>
        </w:rPr>
        <w:t>Budzovi</w:t>
      </w:r>
      <w:proofErr w:type="spellEnd"/>
      <w:r>
        <w:rPr>
          <w:rFonts w:ascii="Arial" w:hAnsi="Arial" w:cs="Arial"/>
          <w:spacing w:val="53"/>
          <w:sz w:val="22"/>
          <w:szCs w:val="22"/>
        </w:rPr>
        <w:t>.</w:t>
      </w:r>
    </w:p>
    <w:p w:rsidR="009878BC" w:rsidRDefault="00A4653F" w:rsidP="00DF211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53"/>
          <w:sz w:val="22"/>
          <w:szCs w:val="22"/>
        </w:rPr>
      </w:pPr>
      <w:r>
        <w:rPr>
          <w:rFonts w:ascii="Arial" w:hAnsi="Arial" w:cs="Arial"/>
          <w:spacing w:val="53"/>
          <w:sz w:val="22"/>
          <w:szCs w:val="22"/>
        </w:rPr>
        <w:t xml:space="preserve">Konateľ ostáva iba jeden – Ján </w:t>
      </w:r>
      <w:proofErr w:type="spellStart"/>
      <w:r>
        <w:rPr>
          <w:rFonts w:ascii="Arial" w:hAnsi="Arial" w:cs="Arial"/>
          <w:spacing w:val="53"/>
          <w:sz w:val="22"/>
          <w:szCs w:val="22"/>
        </w:rPr>
        <w:t>Budz</w:t>
      </w:r>
      <w:proofErr w:type="spellEnd"/>
      <w:r>
        <w:rPr>
          <w:rFonts w:ascii="Arial" w:hAnsi="Arial" w:cs="Arial"/>
          <w:spacing w:val="53"/>
          <w:sz w:val="22"/>
          <w:szCs w:val="22"/>
        </w:rPr>
        <w:t>.</w:t>
      </w:r>
    </w:p>
    <w:p w:rsidR="009878BC" w:rsidRPr="00A55E63" w:rsidRDefault="009878BC" w:rsidP="00DF211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</w:rPr>
      </w:pPr>
    </w:p>
    <w:p w:rsidR="009878BC" w:rsidRPr="00A55E63" w:rsidRDefault="009878BC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9878BC" w:rsidRPr="00A55E63" w:rsidRDefault="009878BC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9878BC" w:rsidRPr="00A55E63" w:rsidRDefault="009878BC" w:rsidP="00AD749D">
      <w:pPr>
        <w:spacing w:before="11" w:line="260" w:lineRule="exact"/>
        <w:jc w:val="both"/>
        <w:rPr>
          <w:rFonts w:ascii="Arial" w:hAnsi="Arial" w:cs="Arial"/>
        </w:rPr>
      </w:pPr>
    </w:p>
    <w:p w:rsidR="009878BC" w:rsidRDefault="009878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48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bCs/>
          <w:sz w:val="22"/>
          <w:szCs w:val="22"/>
        </w:rPr>
        <w:t>n</w:t>
      </w:r>
      <w:r w:rsidRPr="00A55E63">
        <w:rPr>
          <w:rFonts w:ascii="Arial" w:hAnsi="Arial" w:cs="Arial"/>
          <w:b/>
          <w:bCs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bCs/>
          <w:sz w:val="22"/>
          <w:szCs w:val="22"/>
        </w:rPr>
        <w:t>kladov</w:t>
      </w:r>
      <w:r w:rsidRPr="00A55E63">
        <w:rPr>
          <w:rFonts w:ascii="Arial" w:hAnsi="Arial" w:cs="Arial"/>
          <w:b/>
          <w:bCs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bCs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bCs/>
          <w:sz w:val="22"/>
          <w:szCs w:val="22"/>
        </w:rPr>
        <w:t>lebo</w:t>
      </w:r>
      <w:r w:rsidRPr="00A55E63">
        <w:rPr>
          <w:rFonts w:ascii="Arial" w:hAnsi="Arial" w:cs="Arial"/>
          <w:b/>
          <w:bCs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bCs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bCs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bCs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: netýka sa účtovnej jednotky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</w:p>
    <w:p w:rsidR="009878BC" w:rsidRDefault="009878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48"/>
          <w:sz w:val="22"/>
          <w:szCs w:val="22"/>
        </w:rPr>
      </w:pPr>
    </w:p>
    <w:p w:rsidR="009878BC" w:rsidRPr="00A55E63" w:rsidRDefault="009878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9878BC" w:rsidRPr="00A55E63" w:rsidRDefault="009878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878BC" w:rsidRPr="00A55E63" w:rsidRDefault="009878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  <w:r>
        <w:rPr>
          <w:rFonts w:ascii="Arial" w:hAnsi="Arial" w:cs="Arial"/>
          <w:sz w:val="22"/>
          <w:szCs w:val="22"/>
        </w:rPr>
        <w:t xml:space="preserve"> ako dlhodobý záväzok spoločnosť nevykazuje.</w:t>
      </w:r>
    </w:p>
    <w:p w:rsidR="009878BC" w:rsidRPr="00A55E63" w:rsidRDefault="009878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878BC" w:rsidRDefault="009878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</w:p>
    <w:p w:rsidR="009878BC" w:rsidRDefault="009878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878BC" w:rsidRDefault="009878BC" w:rsidP="00D73E2E">
      <w:pPr>
        <w:pStyle w:val="Zkladntext"/>
      </w:pPr>
      <w:r>
        <w:t>Štruktúra záväzkov (okrem bankových úverov) podľa zostatkovej doby splatnosti je uvedená v nasledujúcej tabuľke:</w:t>
      </w:r>
    </w:p>
    <w:p w:rsidR="009878BC" w:rsidRDefault="009878BC" w:rsidP="00D73E2E">
      <w:pPr>
        <w:pStyle w:val="Zkladntext"/>
      </w:pPr>
    </w:p>
    <w:bookmarkStart w:id="0" w:name="_MON_1122807352"/>
    <w:bookmarkStart w:id="1" w:name="_MON_1122807396"/>
    <w:bookmarkStart w:id="2" w:name="_MON_1122807476"/>
    <w:bookmarkStart w:id="3" w:name="_MON_1122813253"/>
    <w:bookmarkStart w:id="4" w:name="_MON_1122980316"/>
    <w:bookmarkStart w:id="5" w:name="_MON_1123059830"/>
    <w:bookmarkStart w:id="6" w:name="_MON_1127127032"/>
    <w:bookmarkStart w:id="7" w:name="_MON_1147163468"/>
    <w:bookmarkStart w:id="8" w:name="_MON_1149588206"/>
    <w:bookmarkStart w:id="9" w:name="_MON_1149596352"/>
    <w:bookmarkStart w:id="10" w:name="_MON_1173074028"/>
    <w:bookmarkStart w:id="11" w:name="_MON_1204451273"/>
    <w:bookmarkStart w:id="12" w:name="_MON_1204454172"/>
    <w:bookmarkStart w:id="13" w:name="_MON_1204457398"/>
    <w:bookmarkStart w:id="14" w:name="_MON_1235976169"/>
    <w:bookmarkStart w:id="15" w:name="_MON_1266649066"/>
    <w:bookmarkStart w:id="16" w:name="_MON_1266727864"/>
    <w:bookmarkStart w:id="17" w:name="_MON_1298094233"/>
    <w:bookmarkStart w:id="18" w:name="_MON_1298881162"/>
    <w:bookmarkStart w:id="19" w:name="_MON_1298885607"/>
    <w:bookmarkStart w:id="20" w:name="_MON_1298885668"/>
    <w:bookmarkStart w:id="21" w:name="_MON_1328604312"/>
    <w:bookmarkStart w:id="22" w:name="_MON_1329284205"/>
    <w:bookmarkStart w:id="23" w:name="_MON_1360558565"/>
    <w:bookmarkStart w:id="24" w:name="_MON_1391251903"/>
    <w:bookmarkStart w:id="25" w:name="_MON_1391252359"/>
    <w:bookmarkStart w:id="26" w:name="_MON_1391852452"/>
    <w:bookmarkStart w:id="27" w:name="_MON_1394460903"/>
    <w:bookmarkStart w:id="28" w:name="_MON_1394462824"/>
    <w:bookmarkStart w:id="29" w:name="_MON_1394462847"/>
    <w:bookmarkStart w:id="30" w:name="_MON_1394462959"/>
    <w:bookmarkStart w:id="31" w:name="_MON_1394463064"/>
    <w:bookmarkStart w:id="32" w:name="_MON_1394463158"/>
    <w:bookmarkStart w:id="33" w:name="_MON_1425970184"/>
    <w:bookmarkStart w:id="34" w:name="_MON_1066740374"/>
    <w:bookmarkStart w:id="35" w:name="_MON_1066740566"/>
    <w:bookmarkStart w:id="36" w:name="_MON_1066740580"/>
    <w:bookmarkStart w:id="37" w:name="_MON_1066752673"/>
    <w:bookmarkStart w:id="38" w:name="_MON_1066752698"/>
    <w:bookmarkStart w:id="39" w:name="_MON_1094480283"/>
    <w:bookmarkStart w:id="40" w:name="_MON_1122704895"/>
    <w:bookmarkStart w:id="41" w:name="_MON_1122804198"/>
    <w:bookmarkStart w:id="42" w:name="_MON_1122806900"/>
    <w:bookmarkStart w:id="43" w:name="_MON_1122806971"/>
    <w:bookmarkStart w:id="44" w:name="_MON_1122806993"/>
    <w:bookmarkStart w:id="45" w:name="_MON_1122807033"/>
    <w:bookmarkStart w:id="46" w:name="_MON_1122807093"/>
    <w:bookmarkStart w:id="47" w:name="_MON_1122807166"/>
    <w:bookmarkEnd w:id="0"/>
    <w:bookmarkEnd w:id="1"/>
    <w:bookmarkEnd w:id="2"/>
    <w:bookmarkEnd w:id="3"/>
    <w:bookmarkEnd w:id="4"/>
    <w:bookmarkEnd w:id="5"/>
    <w:bookmarkEnd w:id="6"/>
    <w:bookmarkEnd w:id="7"/>
    <w:bookmarkEnd w:id="8"/>
    <w:bookmarkEnd w:id="9"/>
    <w:bookmarkEnd w:id="10"/>
    <w:bookmarkEnd w:id="11"/>
    <w:bookmarkEnd w:id="12"/>
    <w:bookmarkEnd w:id="13"/>
    <w:bookmarkEnd w:id="14"/>
    <w:bookmarkEnd w:id="15"/>
    <w:bookmarkEnd w:id="16"/>
    <w:bookmarkEnd w:id="17"/>
    <w:bookmarkEnd w:id="18"/>
    <w:bookmarkEnd w:id="19"/>
    <w:bookmarkEnd w:id="20"/>
    <w:bookmarkEnd w:id="21"/>
    <w:bookmarkEnd w:id="22"/>
    <w:bookmarkEnd w:id="23"/>
    <w:bookmarkEnd w:id="24"/>
    <w:bookmarkEnd w:id="25"/>
    <w:bookmarkEnd w:id="26"/>
    <w:bookmarkEnd w:id="27"/>
    <w:bookmarkEnd w:id="28"/>
    <w:bookmarkEnd w:id="29"/>
    <w:bookmarkEnd w:id="30"/>
    <w:bookmarkEnd w:id="31"/>
    <w:bookmarkEnd w:id="32"/>
    <w:bookmarkEnd w:id="33"/>
    <w:bookmarkEnd w:id="34"/>
    <w:bookmarkEnd w:id="35"/>
    <w:bookmarkEnd w:id="36"/>
    <w:bookmarkEnd w:id="37"/>
    <w:bookmarkEnd w:id="38"/>
    <w:bookmarkEnd w:id="39"/>
    <w:bookmarkEnd w:id="40"/>
    <w:bookmarkEnd w:id="41"/>
    <w:bookmarkEnd w:id="42"/>
    <w:bookmarkEnd w:id="43"/>
    <w:bookmarkEnd w:id="44"/>
    <w:bookmarkEnd w:id="45"/>
    <w:bookmarkEnd w:id="46"/>
    <w:bookmarkEnd w:id="47"/>
    <w:bookmarkStart w:id="48" w:name="_MON_1122807248"/>
    <w:bookmarkEnd w:id="48"/>
    <w:p w:rsidR="009878BC" w:rsidRDefault="00A4653F" w:rsidP="00D73E2E">
      <w:pPr>
        <w:pStyle w:val="Zkladntext"/>
        <w:rPr>
          <w:rFonts w:cs="Calibri"/>
        </w:rPr>
      </w:pPr>
      <w:r w:rsidRPr="003007F7">
        <w:rPr>
          <w:rFonts w:cs="Calibri"/>
        </w:rPr>
        <w:object w:dxaOrig="8751" w:dyaOrig="2424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8pt;height:120pt" o:ole="">
            <v:imagedata r:id="rId7" o:title=""/>
          </v:shape>
          <o:OLEObject Type="Embed" ProgID="Excel.Sheet.8" ShapeID="_x0000_i1025" DrawAspect="Content" ObjectID="_1686284979" r:id="rId8"/>
        </w:object>
      </w:r>
    </w:p>
    <w:p w:rsidR="009878BC" w:rsidRPr="00A55E63" w:rsidRDefault="009878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878BC" w:rsidRPr="00A55E63" w:rsidRDefault="009878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: </w:t>
      </w:r>
      <w:r w:rsidRPr="00A55E63"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z w:val="22"/>
          <w:szCs w:val="22"/>
        </w:rPr>
        <w:t xml:space="preserve">netýka sa spoločnosti </w:t>
      </w:r>
    </w:p>
    <w:p w:rsidR="009878BC" w:rsidRPr="00A55E63" w:rsidRDefault="009878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878BC" w:rsidRDefault="009878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4.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  <w:r>
        <w:rPr>
          <w:rFonts w:ascii="Arial" w:hAnsi="Arial" w:cs="Arial"/>
          <w:sz w:val="22"/>
          <w:szCs w:val="22"/>
        </w:rPr>
        <w:t xml:space="preserve"> Spoločnosť neposkytla orgánom účtovnej jednotky žiadne pôžičky ani záruky, zabezpečenia a plnenia na súkromné účely. </w:t>
      </w:r>
    </w:p>
    <w:p w:rsidR="009878BC" w:rsidRPr="00A55E63" w:rsidRDefault="009878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878BC" w:rsidRPr="00A55E63" w:rsidRDefault="009878B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878BC" w:rsidRPr="00A55E63" w:rsidRDefault="009878B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9878BC" w:rsidRPr="00A55E63" w:rsidRDefault="009878B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9878BC" w:rsidRDefault="009878BC" w:rsidP="00D73E2E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>Spoločnosť neeviduje finančné povinnosti, ktoré sa neevidujú v súvahe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</w:p>
    <w:p w:rsidR="009878BC" w:rsidRPr="00D73E2E" w:rsidRDefault="009878BC" w:rsidP="00D73E2E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Spoločnosť neeviduje podmienené záväzky</w:t>
      </w:r>
    </w:p>
    <w:p w:rsidR="009878BC" w:rsidRPr="00A55E63" w:rsidRDefault="009878BC" w:rsidP="00D73E2E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Spoločnosť neposkytla účasť na dôchodkových programoch zamestnancov.</w:t>
      </w:r>
    </w:p>
    <w:p w:rsidR="009878BC" w:rsidRPr="00451ED3" w:rsidRDefault="009878B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878BC" w:rsidRPr="00A55E63" w:rsidRDefault="009878B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878BC" w:rsidRDefault="009878B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nformácie o udelení výlučného práva alebo osobitného práva</w:t>
      </w:r>
      <w:r>
        <w:rPr>
          <w:rFonts w:ascii="Arial" w:hAnsi="Arial" w:cs="Arial"/>
          <w:sz w:val="22"/>
          <w:szCs w:val="22"/>
        </w:rPr>
        <w:t>: Spoločnosti nie je udelené výlučné právo alebo osobitné právo, ktorým by sa jej udelilo právo poskytovať služby vo verejnom záujme, pričom by prijímala náhradu za túto činnosť v akejkoľvek forme.</w:t>
      </w:r>
      <w:bookmarkStart w:id="49" w:name="_GoBack"/>
      <w:bookmarkEnd w:id="49"/>
      <w:r w:rsidRPr="00A55E63">
        <w:rPr>
          <w:rFonts w:ascii="Arial" w:hAnsi="Arial" w:cs="Arial"/>
          <w:sz w:val="22"/>
          <w:szCs w:val="22"/>
        </w:rPr>
        <w:t xml:space="preserve"> </w:t>
      </w:r>
    </w:p>
    <w:p w:rsidR="00A4653F" w:rsidRDefault="00A4653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4653F" w:rsidRDefault="00A4653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4653F" w:rsidRDefault="00A4653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Súčasná situácia nemá významný resp. </w:t>
      </w:r>
      <w:r w:rsidR="000833BD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ásadný negatívny vplyv. </w:t>
      </w:r>
    </w:p>
    <w:p w:rsidR="00A4653F" w:rsidRPr="00A55E63" w:rsidRDefault="00A4653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Zistili sme všetky potenciálne dopady CIVID19 na naše podnikateľské aktivity a dospeli sme k záveru, že nemajú významný vplyv na našu schopnosť pokračovať nepretržite v činnosti a fungovať ako zdravý subjekt nasledujúcich 12 mesiacov.</w:t>
      </w:r>
    </w:p>
    <w:sectPr w:rsidR="00A4653F" w:rsidRPr="00A55E63" w:rsidSect="00420BC7">
      <w:headerReference w:type="default" r:id="rId9"/>
      <w:footerReference w:type="default" r:id="rId10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310A7" w:rsidRDefault="000310A7">
      <w:r>
        <w:separator/>
      </w:r>
    </w:p>
  </w:endnote>
  <w:endnote w:type="continuationSeparator" w:id="0">
    <w:p w:rsidR="000310A7" w:rsidRDefault="000310A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878BC" w:rsidRDefault="004C129A">
    <w:pPr>
      <w:spacing w:line="200" w:lineRule="exact"/>
      <w:rPr>
        <w:sz w:val="20"/>
        <w:szCs w:val="20"/>
      </w:rPr>
    </w:pPr>
    <w:r w:rsidRPr="004C129A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9878BC" w:rsidRDefault="009878BC">
                <w:pPr>
                  <w:pStyle w:val="Zkladntext"/>
                  <w:spacing w:line="265" w:lineRule="exact"/>
                  <w:ind w:left="20" w:firstLine="0"/>
                  <w:rPr>
                    <w:rFonts w:cs="Calibri"/>
                  </w:rPr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fldSimple w:instr=" PAGE ">
                  <w:r w:rsidR="000833BD">
                    <w:rPr>
                      <w:noProof/>
                    </w:rPr>
                    <w:t>3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310A7" w:rsidRDefault="000310A7">
      <w:r>
        <w:separator/>
      </w:r>
    </w:p>
  </w:footnote>
  <w:footnote w:type="continuationSeparator" w:id="0">
    <w:p w:rsidR="000310A7" w:rsidRDefault="000310A7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878BC" w:rsidRDefault="009878BC">
    <w:pPr>
      <w:pStyle w:val="Hlavika"/>
    </w:pPr>
  </w:p>
  <w:p w:rsidR="009878BC" w:rsidRDefault="009878BC">
    <w:pPr>
      <w:pStyle w:val="Hlavika"/>
    </w:pPr>
  </w:p>
  <w:p w:rsidR="009878BC" w:rsidRDefault="009878BC">
    <w:pPr>
      <w:pStyle w:val="Hlavika"/>
    </w:pPr>
  </w:p>
  <w:p w:rsidR="009878BC" w:rsidRDefault="009878BC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>
      <w:rPr>
        <w:rFonts w:ascii="Arial" w:hAnsi="Arial" w:cs="Arial"/>
        <w:sz w:val="22"/>
        <w:szCs w:val="22"/>
        <w:bdr w:val="single" w:sz="4" w:space="0" w:color="auto"/>
      </w:rPr>
      <w:t xml:space="preserve">46629653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>
      <w:rPr>
        <w:rFonts w:ascii="Arial" w:hAnsi="Arial" w:cs="Arial"/>
        <w:sz w:val="22"/>
        <w:szCs w:val="22"/>
        <w:bdr w:val="single" w:sz="4" w:space="0" w:color="auto"/>
      </w:rPr>
      <w:t>2023513382</w:t>
    </w:r>
  </w:p>
  <w:p w:rsidR="009878BC" w:rsidRDefault="009878BC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9878BC" w:rsidRDefault="009878BC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66F18FA"/>
    <w:multiLevelType w:val="hybridMultilevel"/>
    <w:tmpl w:val="9474B6EE"/>
    <w:lvl w:ilvl="0" w:tplc="FF5E7914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181" w:hanging="360"/>
      </w:pPr>
    </w:lvl>
    <w:lvl w:ilvl="2" w:tplc="041B001B">
      <w:start w:val="1"/>
      <w:numFmt w:val="lowerRoman"/>
      <w:lvlText w:val="%3."/>
      <w:lvlJc w:val="right"/>
      <w:pPr>
        <w:ind w:left="1901" w:hanging="180"/>
      </w:pPr>
    </w:lvl>
    <w:lvl w:ilvl="3" w:tplc="041B000F">
      <w:start w:val="1"/>
      <w:numFmt w:val="decimal"/>
      <w:lvlText w:val="%4."/>
      <w:lvlJc w:val="left"/>
      <w:pPr>
        <w:ind w:left="2621" w:hanging="360"/>
      </w:pPr>
    </w:lvl>
    <w:lvl w:ilvl="4" w:tplc="041B0019">
      <w:start w:val="1"/>
      <w:numFmt w:val="lowerLetter"/>
      <w:lvlText w:val="%5."/>
      <w:lvlJc w:val="left"/>
      <w:pPr>
        <w:ind w:left="3341" w:hanging="360"/>
      </w:pPr>
    </w:lvl>
    <w:lvl w:ilvl="5" w:tplc="041B001B">
      <w:start w:val="1"/>
      <w:numFmt w:val="lowerRoman"/>
      <w:lvlText w:val="%6."/>
      <w:lvlJc w:val="right"/>
      <w:pPr>
        <w:ind w:left="4061" w:hanging="180"/>
      </w:pPr>
    </w:lvl>
    <w:lvl w:ilvl="6" w:tplc="041B000F">
      <w:start w:val="1"/>
      <w:numFmt w:val="decimal"/>
      <w:lvlText w:val="%7."/>
      <w:lvlJc w:val="left"/>
      <w:pPr>
        <w:ind w:left="4781" w:hanging="360"/>
      </w:pPr>
    </w:lvl>
    <w:lvl w:ilvl="7" w:tplc="041B0019">
      <w:start w:val="1"/>
      <w:numFmt w:val="lowerLetter"/>
      <w:lvlText w:val="%8."/>
      <w:lvlJc w:val="left"/>
      <w:pPr>
        <w:ind w:left="5501" w:hanging="360"/>
      </w:pPr>
    </w:lvl>
    <w:lvl w:ilvl="8" w:tplc="041B001B">
      <w:start w:val="1"/>
      <w:numFmt w:val="lowerRoman"/>
      <w:lvlText w:val="%9."/>
      <w:lvlJc w:val="right"/>
      <w:pPr>
        <w:ind w:left="6221" w:hanging="180"/>
      </w:pPr>
    </w:lvl>
  </w:abstractNum>
  <w:abstractNum w:abstractNumId="2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3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4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>
      <w:start w:val="1"/>
      <w:numFmt w:val="lowerLetter"/>
      <w:lvlText w:val="%2."/>
      <w:lvlJc w:val="left"/>
      <w:pPr>
        <w:ind w:left="1541" w:hanging="360"/>
      </w:pPr>
    </w:lvl>
    <w:lvl w:ilvl="2" w:tplc="041B001B">
      <w:start w:val="1"/>
      <w:numFmt w:val="lowerRoman"/>
      <w:lvlText w:val="%3."/>
      <w:lvlJc w:val="right"/>
      <w:pPr>
        <w:ind w:left="2261" w:hanging="180"/>
      </w:pPr>
    </w:lvl>
    <w:lvl w:ilvl="3" w:tplc="041B000F">
      <w:start w:val="1"/>
      <w:numFmt w:val="decimal"/>
      <w:lvlText w:val="%4."/>
      <w:lvlJc w:val="left"/>
      <w:pPr>
        <w:ind w:left="2981" w:hanging="360"/>
      </w:pPr>
    </w:lvl>
    <w:lvl w:ilvl="4" w:tplc="041B0019">
      <w:start w:val="1"/>
      <w:numFmt w:val="lowerLetter"/>
      <w:lvlText w:val="%5."/>
      <w:lvlJc w:val="left"/>
      <w:pPr>
        <w:ind w:left="3701" w:hanging="360"/>
      </w:pPr>
    </w:lvl>
    <w:lvl w:ilvl="5" w:tplc="041B001B">
      <w:start w:val="1"/>
      <w:numFmt w:val="lowerRoman"/>
      <w:lvlText w:val="%6."/>
      <w:lvlJc w:val="right"/>
      <w:pPr>
        <w:ind w:left="4421" w:hanging="180"/>
      </w:pPr>
    </w:lvl>
    <w:lvl w:ilvl="6" w:tplc="041B000F">
      <w:start w:val="1"/>
      <w:numFmt w:val="decimal"/>
      <w:lvlText w:val="%7."/>
      <w:lvlJc w:val="left"/>
      <w:pPr>
        <w:ind w:left="5141" w:hanging="360"/>
      </w:pPr>
    </w:lvl>
    <w:lvl w:ilvl="7" w:tplc="041B0019">
      <w:start w:val="1"/>
      <w:numFmt w:val="lowerLetter"/>
      <w:lvlText w:val="%8."/>
      <w:lvlJc w:val="left"/>
      <w:pPr>
        <w:ind w:left="5861" w:hanging="360"/>
      </w:pPr>
    </w:lvl>
    <w:lvl w:ilvl="8" w:tplc="041B001B">
      <w:start w:val="1"/>
      <w:numFmt w:val="lowerRoman"/>
      <w:lvlText w:val="%9."/>
      <w:lvlJc w:val="right"/>
      <w:pPr>
        <w:ind w:left="6581" w:hanging="180"/>
      </w:pPr>
    </w:lvl>
  </w:abstractNum>
  <w:abstractNum w:abstractNumId="5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6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7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7"/>
  </w:num>
  <w:num w:numId="3">
    <w:abstractNumId w:val="6"/>
  </w:num>
  <w:num w:numId="4">
    <w:abstractNumId w:val="2"/>
  </w:num>
  <w:num w:numId="5">
    <w:abstractNumId w:val="5"/>
  </w:num>
  <w:num w:numId="6">
    <w:abstractNumId w:val="3"/>
  </w:num>
  <w:num w:numId="7">
    <w:abstractNumId w:val="4"/>
  </w:num>
  <w:num w:numId="8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18434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F404E8"/>
    <w:rsid w:val="000049C5"/>
    <w:rsid w:val="000310A7"/>
    <w:rsid w:val="000833BD"/>
    <w:rsid w:val="000B5776"/>
    <w:rsid w:val="000C4281"/>
    <w:rsid w:val="000C74ED"/>
    <w:rsid w:val="000E383B"/>
    <w:rsid w:val="001406AD"/>
    <w:rsid w:val="0017125C"/>
    <w:rsid w:val="001A04C5"/>
    <w:rsid w:val="001A1B05"/>
    <w:rsid w:val="002401F1"/>
    <w:rsid w:val="002C12B4"/>
    <w:rsid w:val="002D1DF8"/>
    <w:rsid w:val="002D7E6D"/>
    <w:rsid w:val="003007F7"/>
    <w:rsid w:val="00321632"/>
    <w:rsid w:val="00364EFD"/>
    <w:rsid w:val="003657F5"/>
    <w:rsid w:val="00373635"/>
    <w:rsid w:val="00391214"/>
    <w:rsid w:val="003B51DB"/>
    <w:rsid w:val="003D056F"/>
    <w:rsid w:val="003E787A"/>
    <w:rsid w:val="00401155"/>
    <w:rsid w:val="00404779"/>
    <w:rsid w:val="00420BC7"/>
    <w:rsid w:val="00431102"/>
    <w:rsid w:val="00451ED3"/>
    <w:rsid w:val="004A2BF3"/>
    <w:rsid w:val="004C129A"/>
    <w:rsid w:val="004C588B"/>
    <w:rsid w:val="0055784D"/>
    <w:rsid w:val="00560DB1"/>
    <w:rsid w:val="00561B13"/>
    <w:rsid w:val="00611340"/>
    <w:rsid w:val="00623868"/>
    <w:rsid w:val="00637F73"/>
    <w:rsid w:val="00676DB4"/>
    <w:rsid w:val="006831DF"/>
    <w:rsid w:val="006942DC"/>
    <w:rsid w:val="006A7181"/>
    <w:rsid w:val="006D0B2E"/>
    <w:rsid w:val="0073545A"/>
    <w:rsid w:val="00745818"/>
    <w:rsid w:val="00751E01"/>
    <w:rsid w:val="007912E1"/>
    <w:rsid w:val="0079769A"/>
    <w:rsid w:val="007A0B96"/>
    <w:rsid w:val="007B4E00"/>
    <w:rsid w:val="00861175"/>
    <w:rsid w:val="00867B61"/>
    <w:rsid w:val="008771A6"/>
    <w:rsid w:val="00881CB4"/>
    <w:rsid w:val="00892488"/>
    <w:rsid w:val="008A77EB"/>
    <w:rsid w:val="009057C7"/>
    <w:rsid w:val="00913435"/>
    <w:rsid w:val="00916772"/>
    <w:rsid w:val="009804A1"/>
    <w:rsid w:val="009878BC"/>
    <w:rsid w:val="00991B48"/>
    <w:rsid w:val="009A27D0"/>
    <w:rsid w:val="009D4F05"/>
    <w:rsid w:val="009D5C84"/>
    <w:rsid w:val="009F1058"/>
    <w:rsid w:val="009F5F73"/>
    <w:rsid w:val="00A4653F"/>
    <w:rsid w:val="00A55E63"/>
    <w:rsid w:val="00A82108"/>
    <w:rsid w:val="00AA11BC"/>
    <w:rsid w:val="00AD6C8A"/>
    <w:rsid w:val="00AD749D"/>
    <w:rsid w:val="00B15E67"/>
    <w:rsid w:val="00B7440A"/>
    <w:rsid w:val="00B778FD"/>
    <w:rsid w:val="00BD533F"/>
    <w:rsid w:val="00C01CB7"/>
    <w:rsid w:val="00C71636"/>
    <w:rsid w:val="00C72918"/>
    <w:rsid w:val="00CB327D"/>
    <w:rsid w:val="00CC3205"/>
    <w:rsid w:val="00CC5F2B"/>
    <w:rsid w:val="00CD545D"/>
    <w:rsid w:val="00D007FA"/>
    <w:rsid w:val="00D23C30"/>
    <w:rsid w:val="00D477AC"/>
    <w:rsid w:val="00D73E2E"/>
    <w:rsid w:val="00D800DE"/>
    <w:rsid w:val="00DF211F"/>
    <w:rsid w:val="00E00F9D"/>
    <w:rsid w:val="00E1750C"/>
    <w:rsid w:val="00E44C88"/>
    <w:rsid w:val="00E532AD"/>
    <w:rsid w:val="00E70F0E"/>
    <w:rsid w:val="00E73898"/>
    <w:rsid w:val="00EB4798"/>
    <w:rsid w:val="00EB55FA"/>
    <w:rsid w:val="00EE5474"/>
    <w:rsid w:val="00F404E8"/>
    <w:rsid w:val="00F817B0"/>
    <w:rsid w:val="00F81FEC"/>
    <w:rsid w:val="00F944E2"/>
    <w:rsid w:val="00FE294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843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header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20BC7"/>
    <w:pPr>
      <w:widowControl w:val="0"/>
    </w:pPr>
    <w:rPr>
      <w:rFonts w:cs="Calibri"/>
      <w:sz w:val="22"/>
      <w:szCs w:val="22"/>
      <w:lang w:eastAsia="en-US"/>
    </w:rPr>
  </w:style>
  <w:style w:type="paragraph" w:styleId="Nadpis1">
    <w:name w:val="heading 1"/>
    <w:basedOn w:val="Normlny"/>
    <w:link w:val="Nadpis1Char"/>
    <w:uiPriority w:val="99"/>
    <w:qFormat/>
    <w:rsid w:val="00420BC7"/>
    <w:pPr>
      <w:outlineLvl w:val="0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3007F7"/>
    <w:rPr>
      <w:rFonts w:ascii="Cambria" w:hAnsi="Cambria" w:cs="Cambria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420BC7"/>
    <w:pPr>
      <w:widowControl w:val="0"/>
    </w:pPr>
    <w:rPr>
      <w:rFonts w:cs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99"/>
    <w:rsid w:val="00420BC7"/>
    <w:pPr>
      <w:ind w:left="668" w:hanging="567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3007F7"/>
    <w:rPr>
      <w:lang w:eastAsia="en-US"/>
    </w:rPr>
  </w:style>
  <w:style w:type="paragraph" w:styleId="Odsekzoznamu">
    <w:name w:val="List Paragraph"/>
    <w:basedOn w:val="Normlny"/>
    <w:uiPriority w:val="99"/>
    <w:qFormat/>
    <w:rsid w:val="00420BC7"/>
  </w:style>
  <w:style w:type="paragraph" w:customStyle="1" w:styleId="TableParagraph">
    <w:name w:val="Table Paragraph"/>
    <w:basedOn w:val="Normlny"/>
    <w:uiPriority w:val="99"/>
    <w:rsid w:val="00420BC7"/>
  </w:style>
  <w:style w:type="paragraph" w:styleId="Hlavika">
    <w:name w:val="header"/>
    <w:basedOn w:val="Normlny"/>
    <w:link w:val="Hlavik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EB4798"/>
  </w:style>
  <w:style w:type="paragraph" w:styleId="Pta">
    <w:name w:val="footer"/>
    <w:basedOn w:val="Normlny"/>
    <w:link w:val="Pt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EB4798"/>
  </w:style>
  <w:style w:type="table" w:styleId="Mriekatabuky">
    <w:name w:val="Table Grid"/>
    <w:basedOn w:val="Normlnatabuka"/>
    <w:uiPriority w:val="99"/>
    <w:rsid w:val="002D7E6D"/>
    <w:rPr>
      <w:rFonts w:cs="Calibri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345417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5417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5417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Pracovn__h_rok_programu_Microsoft_Office_Excel_97-20031.xls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3</Pages>
  <Words>726</Words>
  <Characters>4144</Characters>
  <Application>Microsoft Office Word</Application>
  <DocSecurity>0</DocSecurity>
  <Lines>34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4861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Alenka</cp:lastModifiedBy>
  <cp:revision>9</cp:revision>
  <dcterms:created xsi:type="dcterms:W3CDTF">2019-06-27T15:35:00Z</dcterms:created>
  <dcterms:modified xsi:type="dcterms:W3CDTF">2021-06-27T05:43:00Z</dcterms:modified>
</cp:coreProperties>
</file>