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94" w:type="dxa"/>
        <w:jc w:val="lef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84"/>
        <w:gridCol w:w="2593"/>
        <w:gridCol w:w="336"/>
        <w:gridCol w:w="341"/>
        <w:gridCol w:w="336"/>
        <w:gridCol w:w="336"/>
        <w:gridCol w:w="341"/>
        <w:gridCol w:w="336"/>
        <w:gridCol w:w="341"/>
        <w:gridCol w:w="336"/>
        <w:gridCol w:w="567"/>
        <w:gridCol w:w="336"/>
        <w:gridCol w:w="337"/>
        <w:gridCol w:w="336"/>
        <w:gridCol w:w="338"/>
      </w:tblGrid>
      <w:tr>
        <w:trPr/>
        <w:tc>
          <w:tcPr>
            <w:tcW w:w="29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Poznámky (Úč  NUJ 3 – 01)</w:t>
            </w:r>
          </w:p>
        </w:tc>
        <w:tc>
          <w:tcPr>
            <w:tcW w:w="25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781" w:type="dxa"/>
        <w:jc w:val="left"/>
        <w:tblInd w:w="11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77"/>
        <w:gridCol w:w="6803"/>
      </w:tblGrid>
      <w:tr>
        <w:trPr>
          <w:trHeight w:val="284" w:hRule="atLeast"/>
        </w:trPr>
        <w:tc>
          <w:tcPr>
            <w:tcW w:w="297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97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Obec Rohožník</w:t>
            </w:r>
          </w:p>
        </w:tc>
      </w:tr>
      <w:tr>
        <w:trPr>
          <w:trHeight w:val="284" w:hRule="atLeast"/>
        </w:trPr>
        <w:tc>
          <w:tcPr>
            <w:tcW w:w="297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Školské námestie 406/1, 906 38 Rohožník</w:t>
            </w:r>
          </w:p>
        </w:tc>
      </w:tr>
      <w:tr>
        <w:trPr>
          <w:trHeight w:val="178" w:hRule="atLeast"/>
        </w:trPr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3.7.2017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  <w:t xml:space="preserve">Údaje uvedené v Poznámkach sú v mene EUR, ak nie je uvedené inak. </w:t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p>
      <w:pPr>
        <w:pStyle w:val="Textopatrenia"/>
        <w:spacing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981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44"/>
        <w:gridCol w:w="6967"/>
      </w:tblGrid>
      <w:tr>
        <w:trPr>
          <w:trHeight w:val="284" w:hRule="atLeast"/>
        </w:trPr>
        <w:tc>
          <w:tcPr>
            <w:tcW w:w="2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Monika Czeilingerová, štatutárna zástupkyňa a riaditeľka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(Správna rada)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Peter Švaral, predseda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PharmDr. Elena Šurláková,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MUDr. Jana Vrablicová,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(Revízor)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Marušca Feriková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0"/>
        <w:gridCol w:w="6971"/>
      </w:tblGrid>
      <w:tr>
        <w:trPr>
          <w:trHeight w:val="284" w:hRule="atLeast"/>
        </w:trPr>
        <w:tc>
          <w:tcPr>
            <w:tcW w:w="283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Poskytovanie sociálnej pomoci a humanitárnej starostlivosti </w:t>
            </w:r>
          </w:p>
        </w:tc>
      </w:tr>
      <w:tr>
        <w:trPr>
          <w:trHeight w:val="284" w:hRule="atLeast"/>
        </w:trPr>
        <w:tc>
          <w:tcPr>
            <w:tcW w:w="283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Tvorba, rozvoj, ochrana, obnova a prezentácia duchovných a kultúrnych hodnôt.</w:t>
            </w:r>
          </w:p>
        </w:tc>
      </w:tr>
      <w:tr>
        <w:trPr>
          <w:trHeight w:val="284" w:hRule="atLeast"/>
        </w:trPr>
        <w:tc>
          <w:tcPr>
            <w:tcW w:w="2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nevykonáva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50" w:type="pct"/>
        <w:jc w:val="left"/>
        <w:tblInd w:w="11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432"/>
        <w:gridCol w:w="2612"/>
        <w:gridCol w:w="2634"/>
      </w:tblGrid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</w:tcPr>
          <w:p>
            <w:pPr>
              <w:pStyle w:val="Textopatrenia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6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sz w:val="16"/>
                <w:szCs w:val="16"/>
              </w:rPr>
              <w:t>31</w:t>
            </w:r>
          </w:p>
        </w:tc>
        <w:tc>
          <w:tcPr>
            <w:tcW w:w="26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26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6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nie je zriaďovateľom žiadnej inej účtovnej jednotky. 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Účtovná jednotka predpokladá pokračovať vo svojej činnosti aj v nasledujúcom účtovnom období.</w:t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nezmenila v priebehu účtovného obdobia účtovné metódy a ani účtovné zásady. Účtovné metódy a účtovné zásady boli konzistentne aplikované v porovnaní s bezprostredne predchádzajúcim účtovným obdobím. 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Nenastali žiadne iné zmeny účtovných zásad a účtovných metód.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753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265"/>
        <w:gridCol w:w="3487"/>
      </w:tblGrid>
      <w:tr>
        <w:trPr>
          <w:trHeight w:val="251" w:hRule="atLeast"/>
        </w:trPr>
        <w:tc>
          <w:tcPr>
            <w:tcW w:w="6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51" w:hRule="atLeast"/>
        </w:trPr>
        <w:tc>
          <w:tcPr>
            <w:tcW w:w="6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51" w:hRule="atLeast"/>
        </w:trPr>
        <w:tc>
          <w:tcPr>
            <w:tcW w:w="6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iným spôsobom - darom</w:t>
            </w:r>
          </w:p>
        </w:tc>
        <w:tc>
          <w:tcPr>
            <w:tcW w:w="3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51" w:hRule="atLeast"/>
        </w:trPr>
        <w:tc>
          <w:tcPr>
            <w:tcW w:w="6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51" w:hRule="atLeast"/>
        </w:trPr>
        <w:tc>
          <w:tcPr>
            <w:tcW w:w="6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51" w:hRule="atLeast"/>
        </w:trPr>
        <w:tc>
          <w:tcPr>
            <w:tcW w:w="6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50" w:type="pct"/>
        <w:jc w:val="left"/>
        <w:tblInd w:w="11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265"/>
        <w:gridCol w:w="2477"/>
        <w:gridCol w:w="2465"/>
        <w:gridCol w:w="2470"/>
      </w:tblGrid>
      <w:tr>
        <w:trPr>
          <w:trHeight w:val="250" w:hRule="atLeast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50" w:hRule="atLeast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Hydraulický mobilný zdvihák</w:t>
            </w:r>
          </w:p>
        </w:tc>
        <w:tc>
          <w:tcPr>
            <w:tcW w:w="2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1/48</w:t>
            </w:r>
          </w:p>
        </w:tc>
        <w:tc>
          <w:tcPr>
            <w:tcW w:w="2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  <w:tr>
        <w:trPr>
          <w:trHeight w:val="250" w:hRule="atLeast"/>
        </w:trPr>
        <w:tc>
          <w:tcPr>
            <w:tcW w:w="22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Osobný automobil</w:t>
            </w:r>
          </w:p>
        </w:tc>
        <w:tc>
          <w:tcPr>
            <w:tcW w:w="2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1/48</w:t>
            </w:r>
          </w:p>
        </w:tc>
        <w:tc>
          <w:tcPr>
            <w:tcW w:w="2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neúčtovala o opravných položkách k majetku.   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Organizácia neeviduje dlhodobý nehmotný majetok</w:t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573" w:type="dxa"/>
        <w:jc w:val="left"/>
        <w:tblInd w:w="-9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0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470"/>
        <w:gridCol w:w="709"/>
        <w:gridCol w:w="848"/>
        <w:gridCol w:w="850"/>
        <w:gridCol w:w="847"/>
        <w:gridCol w:w="988"/>
        <w:gridCol w:w="708"/>
        <w:gridCol w:w="854"/>
        <w:gridCol w:w="847"/>
        <w:gridCol w:w="848"/>
        <w:gridCol w:w="752"/>
        <w:gridCol w:w="851"/>
      </w:tblGrid>
      <w:tr>
        <w:trPr>
          <w:trHeight w:val="1020" w:hRule="atLeast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hmot. majetku</w:t>
            </w:r>
          </w:p>
        </w:tc>
        <w:tc>
          <w:tcPr>
            <w:tcW w:w="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1 715,00</w:t>
            </w:r>
          </w:p>
        </w:tc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1 715,00</w:t>
            </w:r>
          </w:p>
        </w:tc>
      </w:tr>
      <w:tr>
        <w:trPr>
          <w:trHeight w:val="288" w:hRule="atLeast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12 977,97</w:t>
            </w:r>
          </w:p>
        </w:tc>
        <w:tc>
          <w:tcPr>
            <w:tcW w:w="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12 977,97</w:t>
            </w:r>
          </w:p>
        </w:tc>
      </w:tr>
      <w:tr>
        <w:trPr>
          <w:trHeight w:val="288" w:hRule="atLeast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12 977,97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-12 977,97</w:t>
            </w:r>
          </w:p>
        </w:tc>
        <w:tc>
          <w:tcPr>
            <w:tcW w:w="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-12 977,97</w:t>
            </w:r>
          </w:p>
        </w:tc>
      </w:tr>
      <w:tr>
        <w:trPr>
          <w:trHeight w:val="408" w:hRule="atLeast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1 715,00</w:t>
            </w:r>
          </w:p>
        </w:tc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14 692,97</w:t>
            </w:r>
          </w:p>
        </w:tc>
      </w:tr>
      <w:tr>
        <w:trPr>
          <w:trHeight w:val="408" w:hRule="atLeast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35,73</w:t>
            </w:r>
          </w:p>
        </w:tc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35,73</w:t>
            </w:r>
          </w:p>
        </w:tc>
      </w:tr>
      <w:tr>
        <w:trPr>
          <w:trHeight w:val="288" w:hRule="atLeast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428,75</w:t>
            </w:r>
          </w:p>
        </w:tc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1 066,86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1 495,61</w:t>
            </w:r>
          </w:p>
        </w:tc>
      </w:tr>
      <w:tr>
        <w:trPr>
          <w:trHeight w:val="288" w:hRule="atLeast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464,48</w:t>
            </w:r>
          </w:p>
        </w:tc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1 066,86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1 531,34</w:t>
            </w:r>
          </w:p>
        </w:tc>
      </w:tr>
      <w:tr>
        <w:trPr>
          <w:trHeight w:val="408" w:hRule="atLeast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0572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1 679,27</w:t>
            </w:r>
          </w:p>
        </w:tc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1 679,27</w:t>
            </w:r>
          </w:p>
        </w:tc>
      </w:tr>
      <w:tr>
        <w:trPr>
          <w:trHeight w:val="408" w:hRule="atLeast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1 250,52</w:t>
            </w:r>
          </w:p>
        </w:tc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11 911,11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13 161,63</w:t>
            </w:r>
          </w:p>
        </w:tc>
      </w:tr>
      <w:tr>
        <w:trPr>
          <w:trHeight w:val="288" w:hRule="atLeast"/>
        </w:trPr>
        <w:tc>
          <w:tcPr>
            <w:tcW w:w="1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nedisponuje s dlhodobým majetkom, na ktorý je zriadené záložné právo, resp. pri ktorom má účtovná jednotka obmedzené právo s ním nakladať.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realizuje svoju činnosť v prenajatých priestoroch od obce Rohožník, poistenie nehnuteľnosti je súčasťou nájomného. Poistenie jednotlivých zložiek majetku organizácia nemá uzatvorené.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neúčtuje o dlhodobom finančnom majetku.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>Organizácia neúčtovala o opravnej položke k dlhodobému finančnému majetku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tbl>
      <w:tblPr>
        <w:tblW w:w="10185" w:type="dxa"/>
        <w:jc w:val="lef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60"/>
        <w:gridCol w:w="3450"/>
        <w:gridCol w:w="3475"/>
      </w:tblGrid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17 224,93</w:t>
            </w:r>
          </w:p>
        </w:tc>
        <w:tc>
          <w:tcPr>
            <w:tcW w:w="3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871,20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574,50</w:t>
            </w:r>
          </w:p>
        </w:tc>
        <w:tc>
          <w:tcPr>
            <w:tcW w:w="3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289,50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43 060,68</w:t>
            </w:r>
          </w:p>
        </w:tc>
        <w:tc>
          <w:tcPr>
            <w:tcW w:w="3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45 700,28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60 860,11</w:t>
            </w:r>
          </w:p>
        </w:tc>
        <w:tc>
          <w:tcPr>
            <w:tcW w:w="34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46 860,98</w:t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/>
      </w:pPr>
      <w:r>
        <w:rPr>
          <w:sz w:val="18"/>
          <w:szCs w:val="18"/>
        </w:rPr>
        <w:t xml:space="preserve">Organizácia vykazuje konečný stav zásob k 31.12.2020 vo výške 1 521,47 EUR (stav zásob k 31.12.2019 bol vo výške 1 126,76 EUR), ktorý predstavuje nespotrebované potravinové zásoby ku koncu roka v kuchyni na základe vykonanej fyzickej inventúry. Organizácia neúčtuje o opravnej položke k zásobám.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164"/>
        <w:gridCol w:w="4654"/>
        <w:gridCol w:w="2160"/>
      </w:tblGrid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6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Predaj služieb – stravné a ubytovanie</w:t>
            </w:r>
          </w:p>
        </w:tc>
        <w:tc>
          <w:tcPr>
            <w:tcW w:w="46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služieb – hlavná činnosť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29 118,40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46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29 118,40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9  o vývoji opravných položiek k pohľadávkam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neúčtovala o opravných položkách k pohľadávkam v priebehu účtovného obdobia.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10"/>
        <w:gridCol w:w="2930"/>
        <w:gridCol w:w="3138"/>
      </w:tblGrid>
      <w:tr>
        <w:trPr>
          <w:trHeight w:val="284" w:hRule="atLeast"/>
        </w:trPr>
        <w:tc>
          <w:tcPr>
            <w:tcW w:w="391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0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1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48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29 118,40</w:t>
            </w:r>
          </w:p>
        </w:tc>
        <w:tc>
          <w:tcPr>
            <w:tcW w:w="3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24 735,57</w:t>
            </w:r>
          </w:p>
        </w:tc>
      </w:tr>
      <w:tr>
        <w:trPr>
          <w:trHeight w:val="284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29 118,40</w:t>
            </w:r>
          </w:p>
        </w:tc>
        <w:tc>
          <w:tcPr>
            <w:tcW w:w="3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24 735,57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30"/>
        <w:gridCol w:w="4889"/>
        <w:gridCol w:w="2159"/>
      </w:tblGrid>
      <w:tr>
        <w:trPr>
          <w:trHeight w:val="284" w:hRule="atLeast"/>
        </w:trPr>
        <w:tc>
          <w:tcPr>
            <w:tcW w:w="2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poistenia Kooperatíva č. 6599443752 na rok 2021,doména,predplatné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208,21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7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Nezisková organizácia bola zapísaná do Registra poskytovateľov sociálnych služieb Bratislavského samosprávneho kraja dňa 27.09.2017 pod registračným číslom 246/2017-SP. </w:t>
      </w:r>
    </w:p>
    <w:p>
      <w:pPr>
        <w:pStyle w:val="Normal"/>
        <w:numPr>
          <w:ilvl w:val="0"/>
          <w:numId w:val="7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Organizácia neúčtovala o opravách významných chýb minulého obdobia v priebehu účtovného obdobia 2020.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>
          <w:highlight w:val="yellow"/>
        </w:rPr>
      </w:pPr>
      <w:r>
        <w:rPr>
          <w:highlight w:val="yellow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800" w:type="pct"/>
        <w:jc w:val="lef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98"/>
        <w:gridCol w:w="1139"/>
        <w:gridCol w:w="1138"/>
        <w:gridCol w:w="1141"/>
        <w:gridCol w:w="1138"/>
        <w:gridCol w:w="1223"/>
      </w:tblGrid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10" w:hRule="atLeast"/>
        </w:trPr>
        <w:tc>
          <w:tcPr>
            <w:tcW w:w="95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95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Fondy zo zisku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568,66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16 077,52</w:t>
            </w: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16 646,18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16 077,52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9 916,63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-16 077,52</w:t>
            </w: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9 916,63</w:t>
            </w:r>
          </w:p>
        </w:tc>
      </w:tr>
      <w:tr>
        <w:trPr>
          <w:trHeight w:val="255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16 646,18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9 916,63</w:t>
            </w:r>
          </w:p>
        </w:tc>
        <w:tc>
          <w:tcPr>
            <w:tcW w:w="1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1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2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26 562,81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3850" w:type="pct"/>
        <w:jc w:val="left"/>
        <w:tblInd w:w="-13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435"/>
        <w:gridCol w:w="2247"/>
      </w:tblGrid>
      <w:tr>
        <w:trPr>
          <w:trHeight w:val="146" w:hRule="atLeast"/>
        </w:trPr>
        <w:tc>
          <w:tcPr>
            <w:tcW w:w="5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146" w:hRule="atLeast"/>
        </w:trPr>
        <w:tc>
          <w:tcPr>
            <w:tcW w:w="5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16 077,52</w:t>
            </w:r>
          </w:p>
        </w:tc>
      </w:tr>
      <w:tr>
        <w:trPr>
          <w:trHeight w:val="146" w:hRule="atLeast"/>
        </w:trPr>
        <w:tc>
          <w:tcPr>
            <w:tcW w:w="76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146" w:hRule="atLeast"/>
        </w:trPr>
        <w:tc>
          <w:tcPr>
            <w:tcW w:w="5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16 077,52</w:t>
            </w:r>
          </w:p>
        </w:tc>
      </w:tr>
      <w:tr>
        <w:trPr>
          <w:trHeight w:val="146" w:hRule="atLeast"/>
        </w:trPr>
        <w:tc>
          <w:tcPr>
            <w:tcW w:w="5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76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146" w:hRule="atLeast"/>
        </w:trPr>
        <w:tc>
          <w:tcPr>
            <w:tcW w:w="5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color w:val="000000"/>
                <w:sz w:val="16"/>
                <w:szCs w:val="16"/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color w:val="000000"/>
                <w:sz w:val="16"/>
                <w:szCs w:val="16"/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color w:val="000000"/>
                <w:sz w:val="16"/>
                <w:szCs w:val="16"/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color w:val="000000"/>
                <w:sz w:val="16"/>
                <w:szCs w:val="16"/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highlight w:val="yellow"/>
              </w:rPr>
            </w:pPr>
            <w:r>
              <w:rPr>
                <w:color w:val="000000"/>
                <w:sz w:val="16"/>
                <w:szCs w:val="16"/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</w:tr>
      <w:tr>
        <w:trPr>
          <w:trHeight w:val="146" w:hRule="atLeast"/>
        </w:trPr>
        <w:tc>
          <w:tcPr>
            <w:tcW w:w="54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60"/>
        <w:gridCol w:w="1079"/>
        <w:gridCol w:w="1412"/>
        <w:gridCol w:w="1412"/>
        <w:gridCol w:w="1409"/>
        <w:gridCol w:w="1405"/>
      </w:tblGrid>
      <w:tr>
        <w:trPr>
          <w:trHeight w:val="284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Rezerva na štatutárny audit, účt. závierka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600,00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800,00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600,00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800,00</w:t>
            </w:r>
          </w:p>
        </w:tc>
      </w:tr>
      <w:tr>
        <w:trPr>
          <w:trHeight w:val="284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nevyčerpanú dovolenku vrát. odvodov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16 222,97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11 502,28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16 222,97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11 502,28</w:t>
            </w:r>
          </w:p>
        </w:tc>
      </w:tr>
      <w:tr>
        <w:trPr>
          <w:trHeight w:val="284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16 822,97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12 302,28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16 822,97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12 302,28</w:t>
            </w:r>
          </w:p>
        </w:tc>
      </w:tr>
      <w:tr>
        <w:trPr>
          <w:trHeight w:val="284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0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16 822,97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12 302,28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16 822,97</w:t>
            </w:r>
          </w:p>
        </w:tc>
        <w:tc>
          <w:tcPr>
            <w:tcW w:w="1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12 302,28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9921" w:type="dxa"/>
        <w:jc w:val="lef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93"/>
        <w:gridCol w:w="1336"/>
        <w:gridCol w:w="1357"/>
        <w:gridCol w:w="1559"/>
        <w:gridCol w:w="1276"/>
      </w:tblGrid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záväzky - stravné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384,40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384,40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záväzky spolu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384,40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384,40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0,00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9921" w:type="dxa"/>
        <w:jc w:val="lef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93"/>
        <w:gridCol w:w="2691"/>
        <w:gridCol w:w="2837"/>
      </w:tblGrid>
      <w:tr>
        <w:trPr>
          <w:trHeight w:val="284" w:hRule="atLeast"/>
        </w:trPr>
        <w:tc>
          <w:tcPr>
            <w:tcW w:w="439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5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3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9 142,67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1 103,84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472,82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9 142,67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1 576,66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 záväzkoch</w:t>
      </w:r>
    </w:p>
    <w:tbl>
      <w:tblPr>
        <w:tblW w:w="5000" w:type="pct"/>
        <w:jc w:val="lef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81"/>
        <w:gridCol w:w="2497"/>
        <w:gridCol w:w="2500"/>
      </w:tblGrid>
      <w:tr>
        <w:trPr>
          <w:trHeight w:val="284" w:hRule="atLeast"/>
        </w:trPr>
        <w:tc>
          <w:tcPr>
            <w:tcW w:w="498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472,82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50 621,86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34 559,38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50 621,86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35 032,20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12 299,01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4 373,30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12 299,01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4 373,30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62 920,87</w:t>
            </w:r>
          </w:p>
        </w:tc>
        <w:tc>
          <w:tcPr>
            <w:tcW w:w="25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39 405,50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24"/>
        <w:gridCol w:w="3147"/>
        <w:gridCol w:w="3107"/>
      </w:tblGrid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4 373,30</w:t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2 451,94</w:t>
            </w:r>
          </w:p>
        </w:tc>
      </w:tr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1 659,33</w:t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3 175,36</w:t>
            </w:r>
          </w:p>
        </w:tc>
      </w:tr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1 500,85</w:t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1 254,00</w:t>
            </w:r>
          </w:p>
        </w:tc>
      </w:tr>
      <w:tr>
        <w:trPr>
          <w:trHeight w:val="284" w:hRule="atLeast"/>
        </w:trPr>
        <w:tc>
          <w:tcPr>
            <w:tcW w:w="3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4 531,78</w:t>
            </w:r>
          </w:p>
        </w:tc>
        <w:tc>
          <w:tcPr>
            <w:tcW w:w="3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4 373,30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Účtovná jednotka neeviduje prijaté bankové úvery, pôžičky ani iné výpomoci. 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neeviduje významné položky na tomto účte časového rozlíšenia. 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významných položkách výnosov budúcich období 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5"/>
        <w:gridCol w:w="1550"/>
        <w:gridCol w:w="1550"/>
        <w:gridCol w:w="1550"/>
        <w:gridCol w:w="1557"/>
      </w:tblGrid>
      <w:tr>
        <w:trPr>
          <w:trHeight w:val="284" w:hRule="atLeast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darom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highlight w:val="yellow"/>
              </w:rPr>
            </w:pPr>
            <w:r>
              <w:rPr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1 679,27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428,75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1 250,52</w:t>
            </w:r>
          </w:p>
        </w:tc>
      </w:tr>
      <w:tr>
        <w:trPr>
          <w:trHeight w:val="284" w:hRule="atLeast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grantu na obstaranie motorového vozidla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2 000,00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166,66</w:t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1 833,34</w:t>
            </w:r>
          </w:p>
        </w:tc>
      </w:tr>
      <w:tr>
        <w:trPr>
          <w:trHeight w:val="284" w:hRule="atLeast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  <w:highlight w:val="yellow"/>
              </w:rPr>
            </w:r>
          </w:p>
        </w:tc>
      </w:tr>
      <w:tr>
        <w:trPr>
          <w:trHeight w:val="284" w:hRule="atLeast"/>
        </w:trPr>
        <w:tc>
          <w:tcPr>
            <w:tcW w:w="4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</w:t>
      </w:r>
    </w:p>
    <w:p>
      <w:pPr>
        <w:pStyle w:val="Normal"/>
        <w:spacing w:lineRule="auto" w:line="240" w:before="0" w:after="120"/>
        <w:rPr/>
      </w:pPr>
      <w:r>
        <w:rPr>
          <w:sz w:val="18"/>
          <w:szCs w:val="18"/>
        </w:rPr>
        <w:t xml:space="preserve">Organizácia má prenajatý dlhodobý finančný majetok formou finančného lízingu: Dacia Dokker v obstarávacej cene 12 672,17 EUR.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4024"/>
        <w:gridCol w:w="2972"/>
        <w:gridCol w:w="2982"/>
      </w:tblGrid>
      <w:tr>
        <w:trPr>
          <w:trHeight w:val="284" w:hRule="atLeast"/>
        </w:trPr>
        <w:tc>
          <w:tcPr>
            <w:tcW w:w="40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 služby, z toho</w:t>
            </w:r>
          </w:p>
        </w:tc>
        <w:tc>
          <w:tcPr>
            <w:tcW w:w="297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8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257 717,12</w:t>
            </w:r>
          </w:p>
        </w:tc>
        <w:tc>
          <w:tcPr>
            <w:tcW w:w="297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256 296,51</w:t>
            </w:r>
          </w:p>
        </w:tc>
        <w:tc>
          <w:tcPr>
            <w:tcW w:w="298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1 420,61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prijaté od fyzických osôb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prijaté od iných organizácií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Obec Rohožník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80 000,00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Ministerstvo práce, sociálnych vecí a rodiny Slovenskej republiky-vitamíny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410,00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Ministerstvo práce, sociálnych vecí a rodiny Slovenskej republiky-pandemické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15 826,00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Ministerstvo práce, sociálnych vecí a rodiny Slovenskej republiky-dotácia na mzdy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173 562,58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Orange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Úrad práce, sociálnych vecí a rodiny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4 943,17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výnosov.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potravín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38 039,16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pohonných látok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899,72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Čistiace a hygienické potreby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4 899,15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 položky spotreby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2 268,43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Spotreba materiálu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46 106,46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energií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25 800,00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Spotreba energie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25 800,00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SW a licencie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4 063,08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i/>
                <w:sz w:val="16"/>
                <w:szCs w:val="16"/>
              </w:rPr>
              <w:t>Ekonomické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5 000,00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Telekomunikačné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998,76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Revízie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4 819,70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Školenia a kurzy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854,73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1 096,73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služby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16 833,00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Poplatky banke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226,42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 xml:space="preserve">Poistenie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398,26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i/>
                <w:sz w:val="16"/>
                <w:szCs w:val="16"/>
              </w:rPr>
              <w:t>2 979,67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ostatné náklady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sz w:val="16"/>
                <w:szCs w:val="16"/>
              </w:rPr>
              <w:t>3 604,35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05"/>
        <w:gridCol w:w="2728"/>
        <w:gridCol w:w="2245"/>
      </w:tblGrid>
      <w:tr>
        <w:trPr>
          <w:trHeight w:val="284" w:hRule="atLeast"/>
        </w:trPr>
        <w:tc>
          <w:tcPr>
            <w:tcW w:w="4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 xml:space="preserve">Materiál </w:t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 xml:space="preserve">Služby </w:t>
            </w:r>
          </w:p>
        </w:tc>
        <w:tc>
          <w:tcPr>
            <w:tcW w:w="27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75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nákladov. 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-2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607"/>
        <w:gridCol w:w="3170"/>
      </w:tblGrid>
      <w:tr>
        <w:trPr>
          <w:trHeight w:val="284" w:hRule="atLeast"/>
        </w:trPr>
        <w:tc>
          <w:tcPr>
            <w:tcW w:w="6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závierky*</w:t>
            </w:r>
          </w:p>
        </w:tc>
        <w:tc>
          <w:tcPr>
            <w:tcW w:w="31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500,00</w:t>
            </w:r>
          </w:p>
        </w:tc>
      </w:tr>
      <w:tr>
        <w:trPr>
          <w:trHeight w:val="284" w:hRule="atLeast"/>
        </w:trPr>
        <w:tc>
          <w:tcPr>
            <w:tcW w:w="66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8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500,00</w:t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  <w:t>* hodnota neobsahuje zákonnú DPH vo výške 100 EUR.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Opis údajov na podsúvahových účtoch</w:t>
      </w:r>
    </w:p>
    <w:p>
      <w:pPr>
        <w:pStyle w:val="Normal"/>
        <w:spacing w:lineRule="auto" w:line="240" w:before="0" w:after="0"/>
        <w:rPr/>
      </w:pPr>
      <w:r>
        <w:rPr>
          <w:sz w:val="18"/>
          <w:szCs w:val="18"/>
        </w:rPr>
        <w:t xml:space="preserve">Nezisková organizácia má v prenájme nehnuteľnosť na adrese Pri Potoku 45/3,  906 38 Rohožník. Tieto priestory využíva na prevádzku zariadenia pre seniorov (vrátane ubytovania, stravovania), zariadenie opatrovateľskej služby, zariadenia práčovne a iné služby spojené s verejnoprospešnou činnosťou. Ročné náklady na prenájom sú 1 EUR. Zmluva s prenajímateľom je uzatvorená na dobu neurčitú od 01.01.2018. Nezisková organizácia vykazuje náklady na elektrickú energiu, vodné a stočné a na plyn, celková výška týchto nákladov za rok 2020 bola 25 800,-EUR.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Ďalšie informácie</w:t>
      </w:r>
    </w:p>
    <w:p>
      <w:pPr>
        <w:pStyle w:val="Textopatrenia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Textopatrenia"/>
        <w:numPr>
          <w:ilvl w:val="0"/>
          <w:numId w:val="12"/>
        </w:numPr>
        <w:spacing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Textopatrenia"/>
        <w:numPr>
          <w:ilvl w:val="0"/>
          <w:numId w:val="12"/>
        </w:numPr>
        <w:spacing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opčných obchodov,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4"/>
        </w:numPr>
        <w:spacing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iné povinnosti. 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ostatné finančné povinnosti,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nehnuteľných kultúrnych pamiatok, ktoré sú v správe alebo vo vlastníctve účtovnej jednotky.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vo vlastníctve ani v správe žiadne kultúrne pamiatky.</w:t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Informácie o významných skutočnostiach, ktoré nastali medzi dňom, ku ktorému sa zostavuje účtovná závierka a dňom jej zostavenia.</w:t>
      </w:r>
    </w:p>
    <w:p>
      <w:pPr>
        <w:pStyle w:val="Normal"/>
        <w:spacing w:lineRule="auto" w:line="240" w:before="0" w:after="120"/>
        <w:ind w:left="3" w:hanging="0"/>
        <w:rPr>
          <w:sz w:val="18"/>
          <w:szCs w:val="18"/>
        </w:rPr>
      </w:pPr>
      <w:r>
        <w:rPr>
          <w:sz w:val="18"/>
          <w:szCs w:val="18"/>
        </w:rPr>
        <w:t xml:space="preserve">Koncom roka 2019 sa prvýkrát objavili správy z Číny o koronavíruse. V prvých mesiacoch roka 2020 sa vírus rozšíril do celého sveta a jeho negatívny vplyv nadobudol veľké rozmery. Aj keď v čase zverejnenia tejto účtovnej závierky vedenie neziskovej organizácie nezaznamenalo významné obmedzenie svojej činnosti, nakoľko sa však situácia stále mení, nemožno predvídať budúce účinky/dopady tejto pandémie. 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Vedenie neziskovej organizácie bude pokračovať v monitorovaní potenciálneho dopadu a podnikne všetky možné kroky na zmiernenie akýchkoľvek negatívnych účinkov na neziskovú organizáciu, jej klientov a zamestnancov.</w:t>
      </w:r>
    </w:p>
    <w:p>
      <w:pPr>
        <w:pStyle w:val="Textopatrenia"/>
        <w:spacing w:before="0" w:after="120"/>
        <w:ind w:left="3" w:hanging="0"/>
        <w:rPr>
          <w:sz w:val="18"/>
          <w:szCs w:val="18"/>
        </w:rPr>
      </w:pPr>
      <w:r>
        <w:rPr>
          <w:sz w:val="18"/>
          <w:szCs w:val="18"/>
        </w:rPr>
        <w:t>Medzi dňom zostavenia účtovnej závierky a dňom, ku ktorému sa účtovná závierka zostavuje, nenastali žiadne iné významné skutočnosti, ktoré by mali významný vplyv na údaje vykázané v účtovnej závierke.</w:t>
      </w:r>
    </w:p>
    <w:p>
      <w:pPr>
        <w:pStyle w:val="Textopatrenia"/>
        <w:spacing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" w:hanging="0"/>
        <w:rPr/>
      </w:pPr>
      <w:r>
        <w:rPr/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decimal"/>
      <w:lvlText w:val="(%1)"/>
      <w:lvlJc w:val="left"/>
      <w:pPr>
        <w:ind w:left="360" w:hanging="360"/>
      </w:pPr>
      <w:rPr>
        <w:sz w:val="18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</w:numbering>
</file>

<file path=word/settings.xml><?xml version="1.0" encoding="utf-8"?>
<w:settings xmlns:w="http://schemas.openxmlformats.org/wordprocessingml/2006/main">
  <w:zoom w:percent="160"/>
  <w:embedSystemFonts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cs="Arial Narrow" w:eastAsia="Times New Roman"/>
      <w:color w:val="00000A"/>
      <w:sz w:val="20"/>
      <w:szCs w:val="20"/>
      <w:lang w:eastAsia="cs-CZ" w:val="sk-SK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 w:customStyle="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Pr>
      <w:b/>
      <w:bCs/>
      <w:i w:val="false"/>
      <w:iCs w:val="false"/>
    </w:rPr>
  </w:style>
  <w:style w:type="character" w:styleId="ListLabel6" w:customStyle="1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Pr>
      <w:b/>
      <w:bCs/>
      <w:i w:val="false"/>
      <w:iCs w:val="false"/>
    </w:rPr>
  </w:style>
  <w:style w:type="character" w:styleId="ListLabel9" w:customStyle="1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 w:customStyle="1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 w:customStyle="1">
    <w:name w:val="ListLabel 11"/>
    <w:qFormat/>
    <w:rPr>
      <w:rFonts w:cs="Symbol"/>
      <w:b/>
      <w:sz w:val="16"/>
    </w:rPr>
  </w:style>
  <w:style w:type="character" w:styleId="ListLabel12" w:customStyle="1">
    <w:name w:val="ListLabel 12"/>
    <w:qFormat/>
    <w:rPr>
      <w:rFonts w:cs="Courier New"/>
    </w:rPr>
  </w:style>
  <w:style w:type="character" w:styleId="ListLabel13" w:customStyle="1">
    <w:name w:val="ListLabel 13"/>
    <w:qFormat/>
    <w:rPr>
      <w:rFonts w:cs="Wingdings"/>
    </w:rPr>
  </w:style>
  <w:style w:type="character" w:styleId="ListLabel14" w:customStyle="1">
    <w:name w:val="ListLabel 14"/>
    <w:qFormat/>
    <w:rPr>
      <w:rFonts w:cs="Symbol"/>
    </w:rPr>
  </w:style>
  <w:style w:type="character" w:styleId="ListLabel15" w:customStyle="1">
    <w:name w:val="ListLabel 15"/>
    <w:qFormat/>
    <w:rPr>
      <w:rFonts w:cs="Courier New"/>
    </w:rPr>
  </w:style>
  <w:style w:type="character" w:styleId="ListLabel16" w:customStyle="1">
    <w:name w:val="ListLabel 16"/>
    <w:qFormat/>
    <w:rPr>
      <w:rFonts w:cs="Wingdings"/>
    </w:rPr>
  </w:style>
  <w:style w:type="character" w:styleId="ListLabel17" w:customStyle="1">
    <w:name w:val="ListLabel 17"/>
    <w:qFormat/>
    <w:rPr>
      <w:rFonts w:cs="Symbol"/>
    </w:rPr>
  </w:style>
  <w:style w:type="character" w:styleId="ListLabel18" w:customStyle="1">
    <w:name w:val="ListLabel 18"/>
    <w:qFormat/>
    <w:rPr>
      <w:rFonts w:cs="Courier New"/>
    </w:rPr>
  </w:style>
  <w:style w:type="character" w:styleId="ListLabel19" w:customStyle="1">
    <w:name w:val="ListLabel 19"/>
    <w:qFormat/>
    <w:rPr>
      <w:rFonts w:cs="Wingdings"/>
    </w:rPr>
  </w:style>
  <w:style w:type="character" w:styleId="ListLabel20" w:customStyle="1">
    <w:name w:val="ListLabel 20"/>
    <w:qFormat/>
    <w:rPr>
      <w:rFonts w:cs="Symbol"/>
      <w:sz w:val="16"/>
    </w:rPr>
  </w:style>
  <w:style w:type="character" w:styleId="ListLabel21" w:customStyle="1">
    <w:name w:val="ListLabel 21"/>
    <w:qFormat/>
    <w:rPr>
      <w:rFonts w:cs="Courier New"/>
    </w:rPr>
  </w:style>
  <w:style w:type="character" w:styleId="ListLabel22" w:customStyle="1">
    <w:name w:val="ListLabel 22"/>
    <w:qFormat/>
    <w:rPr>
      <w:rFonts w:cs="Wingdings"/>
    </w:rPr>
  </w:style>
  <w:style w:type="character" w:styleId="ListLabel23" w:customStyle="1">
    <w:name w:val="ListLabel 23"/>
    <w:qFormat/>
    <w:rPr>
      <w:rFonts w:cs="Symbol"/>
    </w:rPr>
  </w:style>
  <w:style w:type="character" w:styleId="ListLabel24" w:customStyle="1">
    <w:name w:val="ListLabel 24"/>
    <w:qFormat/>
    <w:rPr>
      <w:rFonts w:cs="Courier New"/>
    </w:rPr>
  </w:style>
  <w:style w:type="character" w:styleId="ListLabel25" w:customStyle="1">
    <w:name w:val="ListLabel 25"/>
    <w:qFormat/>
    <w:rPr>
      <w:rFonts w:cs="Wingdings"/>
    </w:rPr>
  </w:style>
  <w:style w:type="character" w:styleId="ListLabel26" w:customStyle="1">
    <w:name w:val="ListLabel 26"/>
    <w:qFormat/>
    <w:rPr>
      <w:rFonts w:cs="Symbol"/>
    </w:rPr>
  </w:style>
  <w:style w:type="character" w:styleId="ListLabel27" w:customStyle="1">
    <w:name w:val="ListLabel 27"/>
    <w:qFormat/>
    <w:rPr>
      <w:rFonts w:cs="Courier New"/>
    </w:rPr>
  </w:style>
  <w:style w:type="character" w:styleId="ListLabel28" w:customStyle="1">
    <w:name w:val="ListLabel 28"/>
    <w:qFormat/>
    <w:rPr>
      <w:rFonts w:cs="Wingdings"/>
    </w:rPr>
  </w:style>
  <w:style w:type="character" w:styleId="ListLabel29" w:customStyle="1">
    <w:name w:val="ListLabel 29"/>
    <w:qFormat/>
    <w:rPr>
      <w:rFonts w:cs="Symbol"/>
      <w:sz w:val="16"/>
    </w:rPr>
  </w:style>
  <w:style w:type="character" w:styleId="ListLabel30" w:customStyle="1">
    <w:name w:val="ListLabel 30"/>
    <w:qFormat/>
    <w:rPr>
      <w:rFonts w:cs="Courier New"/>
    </w:rPr>
  </w:style>
  <w:style w:type="character" w:styleId="ListLabel31" w:customStyle="1">
    <w:name w:val="ListLabel 31"/>
    <w:qFormat/>
    <w:rPr>
      <w:rFonts w:cs="Wingdings"/>
    </w:rPr>
  </w:style>
  <w:style w:type="character" w:styleId="ListLabel32" w:customStyle="1">
    <w:name w:val="ListLabel 32"/>
    <w:qFormat/>
    <w:rPr>
      <w:rFonts w:cs="Symbol"/>
    </w:rPr>
  </w:style>
  <w:style w:type="character" w:styleId="ListLabel33" w:customStyle="1">
    <w:name w:val="ListLabel 33"/>
    <w:qFormat/>
    <w:rPr>
      <w:rFonts w:cs="Courier New"/>
    </w:rPr>
  </w:style>
  <w:style w:type="character" w:styleId="ListLabel34" w:customStyle="1">
    <w:name w:val="ListLabel 34"/>
    <w:qFormat/>
    <w:rPr>
      <w:rFonts w:cs="Wingdings"/>
    </w:rPr>
  </w:style>
  <w:style w:type="character" w:styleId="ListLabel35" w:customStyle="1">
    <w:name w:val="ListLabel 35"/>
    <w:qFormat/>
    <w:rPr>
      <w:rFonts w:cs="Symbol"/>
    </w:rPr>
  </w:style>
  <w:style w:type="character" w:styleId="ListLabel36" w:customStyle="1">
    <w:name w:val="ListLabel 36"/>
    <w:qFormat/>
    <w:rPr>
      <w:rFonts w:cs="Courier New"/>
    </w:rPr>
  </w:style>
  <w:style w:type="character" w:styleId="ListLabel37" w:customStyle="1">
    <w:name w:val="ListLabel 37"/>
    <w:qFormat/>
    <w:rPr>
      <w:rFonts w:cs="Wingdings"/>
    </w:rPr>
  </w:style>
  <w:style w:type="character" w:styleId="ListLabel38" w:customStyle="1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 w:customStyle="1">
    <w:name w:val="ListLabel 39"/>
    <w:qFormat/>
    <w:rPr>
      <w:rFonts w:cs="Arial"/>
      <w:b/>
      <w:bCs/>
      <w:i w:val="false"/>
      <w:iCs w:val="false"/>
      <w:sz w:val="24"/>
      <w:szCs w:val="24"/>
    </w:rPr>
  </w:style>
  <w:style w:type="character" w:styleId="ListLabel40" w:customStyle="1">
    <w:name w:val="ListLabel 40"/>
    <w:qFormat/>
    <w:rPr>
      <w:b/>
      <w:bCs/>
      <w:i w:val="false"/>
      <w:iCs w:val="false"/>
    </w:rPr>
  </w:style>
  <w:style w:type="character" w:styleId="ListLabel41" w:customStyle="1">
    <w:name w:val="ListLabel 41"/>
    <w:qFormat/>
    <w:rPr>
      <w:b w:val="false"/>
      <w:bCs w:val="false"/>
      <w:i w:val="false"/>
      <w:iCs w:val="false"/>
      <w:sz w:val="16"/>
    </w:rPr>
  </w:style>
  <w:style w:type="character" w:styleId="ListLabel42" w:customStyle="1">
    <w:name w:val="ListLabel 42"/>
    <w:qFormat/>
    <w:rPr>
      <w:b w:val="false"/>
      <w:bCs w:val="false"/>
      <w:i w:val="false"/>
      <w:iCs w:val="false"/>
      <w:sz w:val="18"/>
    </w:rPr>
  </w:style>
  <w:style w:type="character" w:styleId="ListLabel43" w:customStyle="1">
    <w:name w:val="ListLabel 43"/>
    <w:qFormat/>
    <w:rPr>
      <w:rFonts w:cs="Symbol"/>
      <w:b/>
      <w:sz w:val="16"/>
    </w:rPr>
  </w:style>
  <w:style w:type="character" w:styleId="ListLabel44" w:customStyle="1">
    <w:name w:val="ListLabel 44"/>
    <w:qFormat/>
    <w:rPr>
      <w:rFonts w:cs="Courier New"/>
    </w:rPr>
  </w:style>
  <w:style w:type="character" w:styleId="ListLabel45" w:customStyle="1">
    <w:name w:val="ListLabel 45"/>
    <w:qFormat/>
    <w:rPr>
      <w:rFonts w:cs="Wingdings"/>
    </w:rPr>
  </w:style>
  <w:style w:type="character" w:styleId="ListLabel46" w:customStyle="1">
    <w:name w:val="ListLabel 46"/>
    <w:qFormat/>
    <w:rPr>
      <w:rFonts w:cs="Symbol"/>
    </w:rPr>
  </w:style>
  <w:style w:type="character" w:styleId="ListLabel47" w:customStyle="1">
    <w:name w:val="ListLabel 47"/>
    <w:qFormat/>
    <w:rPr>
      <w:rFonts w:cs="Courier New"/>
    </w:rPr>
  </w:style>
  <w:style w:type="character" w:styleId="ListLabel48" w:customStyle="1">
    <w:name w:val="ListLabel 48"/>
    <w:qFormat/>
    <w:rPr>
      <w:rFonts w:cs="Wingdings"/>
    </w:rPr>
  </w:style>
  <w:style w:type="character" w:styleId="ListLabel49" w:customStyle="1">
    <w:name w:val="ListLabel 49"/>
    <w:qFormat/>
    <w:rPr>
      <w:rFonts w:cs="Symbol"/>
    </w:rPr>
  </w:style>
  <w:style w:type="character" w:styleId="ListLabel50" w:customStyle="1">
    <w:name w:val="ListLabel 50"/>
    <w:qFormat/>
    <w:rPr>
      <w:rFonts w:cs="Courier New"/>
    </w:rPr>
  </w:style>
  <w:style w:type="character" w:styleId="ListLabel51" w:customStyle="1">
    <w:name w:val="ListLabel 51"/>
    <w:qFormat/>
    <w:rPr>
      <w:rFonts w:cs="Wingdings"/>
    </w:rPr>
  </w:style>
  <w:style w:type="character" w:styleId="ListLabel52" w:customStyle="1">
    <w:name w:val="ListLabel 52"/>
    <w:qFormat/>
    <w:rPr>
      <w:rFonts w:cs="Symbol"/>
      <w:sz w:val="16"/>
    </w:rPr>
  </w:style>
  <w:style w:type="character" w:styleId="ListLabel53" w:customStyle="1">
    <w:name w:val="ListLabel 53"/>
    <w:qFormat/>
    <w:rPr>
      <w:rFonts w:cs="Courier New"/>
    </w:rPr>
  </w:style>
  <w:style w:type="character" w:styleId="ListLabel54" w:customStyle="1">
    <w:name w:val="ListLabel 54"/>
    <w:qFormat/>
    <w:rPr>
      <w:rFonts w:cs="Wingdings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Courier New"/>
    </w:rPr>
  </w:style>
  <w:style w:type="character" w:styleId="ListLabel57" w:customStyle="1">
    <w:name w:val="ListLabel 57"/>
    <w:qFormat/>
    <w:rPr>
      <w:rFonts w:cs="Wingdings"/>
    </w:rPr>
  </w:style>
  <w:style w:type="character" w:styleId="ListLabel58" w:customStyle="1">
    <w:name w:val="ListLabel 58"/>
    <w:qFormat/>
    <w:rPr>
      <w:rFonts w:cs="Symbol"/>
    </w:rPr>
  </w:style>
  <w:style w:type="character" w:styleId="ListLabel59" w:customStyle="1">
    <w:name w:val="ListLabel 59"/>
    <w:qFormat/>
    <w:rPr>
      <w:rFonts w:cs="Courier New"/>
    </w:rPr>
  </w:style>
  <w:style w:type="character" w:styleId="ListLabel60" w:customStyle="1">
    <w:name w:val="ListLabel 60"/>
    <w:qFormat/>
    <w:rPr>
      <w:rFonts w:cs="Wingdings"/>
    </w:rPr>
  </w:style>
  <w:style w:type="character" w:styleId="ListLabel61" w:customStyle="1">
    <w:name w:val="ListLabel 61"/>
    <w:qFormat/>
    <w:rPr>
      <w:rFonts w:cs="Symbol"/>
      <w:sz w:val="16"/>
    </w:rPr>
  </w:style>
  <w:style w:type="character" w:styleId="ListLabel62" w:customStyle="1">
    <w:name w:val="ListLabel 62"/>
    <w:qFormat/>
    <w:rPr>
      <w:rFonts w:cs="Courier New"/>
    </w:rPr>
  </w:style>
  <w:style w:type="character" w:styleId="ListLabel63" w:customStyle="1">
    <w:name w:val="ListLabel 63"/>
    <w:qFormat/>
    <w:rPr>
      <w:rFonts w:cs="Wingdings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Courier New"/>
    </w:rPr>
  </w:style>
  <w:style w:type="character" w:styleId="ListLabel66" w:customStyle="1">
    <w:name w:val="ListLabel 66"/>
    <w:qFormat/>
    <w:rPr>
      <w:rFonts w:cs="Wingdings"/>
    </w:rPr>
  </w:style>
  <w:style w:type="character" w:styleId="ListLabel67" w:customStyle="1">
    <w:name w:val="ListLabel 67"/>
    <w:qFormat/>
    <w:rPr>
      <w:rFonts w:cs="Symbol"/>
    </w:rPr>
  </w:style>
  <w:style w:type="character" w:styleId="ListLabel68" w:customStyle="1">
    <w:name w:val="ListLabel 68"/>
    <w:qFormat/>
    <w:rPr>
      <w:rFonts w:cs="Courier New"/>
    </w:rPr>
  </w:style>
  <w:style w:type="character" w:styleId="ListLabel69" w:customStyle="1">
    <w:name w:val="ListLabel 69"/>
    <w:qFormat/>
    <w:rPr>
      <w:rFonts w:cs="Wingdings"/>
    </w:rPr>
  </w:style>
  <w:style w:type="character" w:styleId="ListLabel70" w:customStyle="1">
    <w:name w:val="ListLabel 70"/>
    <w:qFormat/>
    <w:rPr>
      <w:rFonts w:cs="Arial"/>
      <w:b/>
      <w:bCs/>
      <w:i w:val="false"/>
      <w:iCs w:val="false"/>
      <w:sz w:val="24"/>
      <w:szCs w:val="24"/>
    </w:rPr>
  </w:style>
  <w:style w:type="character" w:styleId="ListLabel71" w:customStyle="1">
    <w:name w:val="ListLabel 71"/>
    <w:qFormat/>
    <w:rPr>
      <w:b/>
      <w:bCs/>
      <w:i w:val="false"/>
      <w:iCs w:val="false"/>
    </w:rPr>
  </w:style>
  <w:style w:type="character" w:styleId="ListLabel72" w:customStyle="1">
    <w:name w:val="ListLabel 72"/>
    <w:qFormat/>
    <w:rPr>
      <w:b w:val="false"/>
      <w:bCs w:val="false"/>
      <w:i w:val="false"/>
      <w:iCs w:val="false"/>
      <w:sz w:val="16"/>
    </w:rPr>
  </w:style>
  <w:style w:type="character" w:styleId="ListLabel73" w:customStyle="1">
    <w:name w:val="ListLabel 73"/>
    <w:qFormat/>
    <w:rPr>
      <w:b w:val="false"/>
      <w:bCs w:val="false"/>
      <w:i w:val="false"/>
      <w:iCs w:val="false"/>
      <w:sz w:val="18"/>
    </w:rPr>
  </w:style>
  <w:style w:type="character" w:styleId="ListLabel74" w:customStyle="1">
    <w:name w:val="ListLabel 74"/>
    <w:qFormat/>
    <w:rPr>
      <w:rFonts w:cs="Symbol"/>
      <w:b/>
      <w:sz w:val="16"/>
    </w:rPr>
  </w:style>
  <w:style w:type="character" w:styleId="ListLabel75" w:customStyle="1">
    <w:name w:val="ListLabel 75"/>
    <w:qFormat/>
    <w:rPr>
      <w:rFonts w:cs="Courier New"/>
    </w:rPr>
  </w:style>
  <w:style w:type="character" w:styleId="ListLabel76" w:customStyle="1">
    <w:name w:val="ListLabel 76"/>
    <w:qFormat/>
    <w:rPr>
      <w:rFonts w:cs="Wingdings"/>
    </w:rPr>
  </w:style>
  <w:style w:type="character" w:styleId="ListLabel77" w:customStyle="1">
    <w:name w:val="ListLabel 77"/>
    <w:qFormat/>
    <w:rPr>
      <w:rFonts w:cs="Symbol"/>
    </w:rPr>
  </w:style>
  <w:style w:type="character" w:styleId="ListLabel78" w:customStyle="1">
    <w:name w:val="ListLabel 78"/>
    <w:qFormat/>
    <w:rPr>
      <w:rFonts w:cs="Courier New"/>
    </w:rPr>
  </w:style>
  <w:style w:type="character" w:styleId="ListLabel79" w:customStyle="1">
    <w:name w:val="ListLabel 79"/>
    <w:qFormat/>
    <w:rPr>
      <w:rFonts w:cs="Wingdings"/>
    </w:rPr>
  </w:style>
  <w:style w:type="character" w:styleId="ListLabel80" w:customStyle="1">
    <w:name w:val="ListLabel 80"/>
    <w:qFormat/>
    <w:rPr>
      <w:rFonts w:cs="Symbol"/>
    </w:rPr>
  </w:style>
  <w:style w:type="character" w:styleId="ListLabel81" w:customStyle="1">
    <w:name w:val="ListLabel 81"/>
    <w:qFormat/>
    <w:rPr>
      <w:rFonts w:cs="Courier New"/>
    </w:rPr>
  </w:style>
  <w:style w:type="character" w:styleId="ListLabel82" w:customStyle="1">
    <w:name w:val="ListLabel 82"/>
    <w:qFormat/>
    <w:rPr>
      <w:rFonts w:cs="Wingdings"/>
    </w:rPr>
  </w:style>
  <w:style w:type="character" w:styleId="ListLabel83" w:customStyle="1">
    <w:name w:val="ListLabel 83"/>
    <w:qFormat/>
    <w:rPr>
      <w:rFonts w:cs="Symbol"/>
      <w:sz w:val="16"/>
    </w:rPr>
  </w:style>
  <w:style w:type="character" w:styleId="ListLabel84" w:customStyle="1">
    <w:name w:val="ListLabel 84"/>
    <w:qFormat/>
    <w:rPr>
      <w:rFonts w:cs="Courier New"/>
    </w:rPr>
  </w:style>
  <w:style w:type="character" w:styleId="ListLabel85" w:customStyle="1">
    <w:name w:val="ListLabel 85"/>
    <w:qFormat/>
    <w:rPr>
      <w:rFonts w:cs="Wingdings"/>
    </w:rPr>
  </w:style>
  <w:style w:type="character" w:styleId="ListLabel86" w:customStyle="1">
    <w:name w:val="ListLabel 86"/>
    <w:qFormat/>
    <w:rPr>
      <w:rFonts w:cs="Symbol"/>
    </w:rPr>
  </w:style>
  <w:style w:type="character" w:styleId="ListLabel87" w:customStyle="1">
    <w:name w:val="ListLabel 87"/>
    <w:qFormat/>
    <w:rPr>
      <w:rFonts w:cs="Courier New"/>
    </w:rPr>
  </w:style>
  <w:style w:type="character" w:styleId="ListLabel88" w:customStyle="1">
    <w:name w:val="ListLabel 88"/>
    <w:qFormat/>
    <w:rPr>
      <w:rFonts w:cs="Wingdings"/>
    </w:rPr>
  </w:style>
  <w:style w:type="character" w:styleId="ListLabel89" w:customStyle="1">
    <w:name w:val="ListLabel 89"/>
    <w:qFormat/>
    <w:rPr>
      <w:rFonts w:cs="Symbol"/>
    </w:rPr>
  </w:style>
  <w:style w:type="character" w:styleId="ListLabel90" w:customStyle="1">
    <w:name w:val="ListLabel 90"/>
    <w:qFormat/>
    <w:rPr>
      <w:rFonts w:cs="Courier New"/>
    </w:rPr>
  </w:style>
  <w:style w:type="character" w:styleId="ListLabel91" w:customStyle="1">
    <w:name w:val="ListLabel 91"/>
    <w:qFormat/>
    <w:rPr>
      <w:rFonts w:cs="Wingdings"/>
    </w:rPr>
  </w:style>
  <w:style w:type="character" w:styleId="ListLabel92" w:customStyle="1">
    <w:name w:val="ListLabel 92"/>
    <w:qFormat/>
    <w:rPr>
      <w:rFonts w:cs="Symbol"/>
      <w:sz w:val="16"/>
    </w:rPr>
  </w:style>
  <w:style w:type="character" w:styleId="ListLabel93" w:customStyle="1">
    <w:name w:val="ListLabel 93"/>
    <w:qFormat/>
    <w:rPr>
      <w:rFonts w:cs="Courier New"/>
    </w:rPr>
  </w:style>
  <w:style w:type="character" w:styleId="ListLabel94" w:customStyle="1">
    <w:name w:val="ListLabel 94"/>
    <w:qFormat/>
    <w:rPr>
      <w:rFonts w:cs="Wingdings"/>
    </w:rPr>
  </w:style>
  <w:style w:type="character" w:styleId="ListLabel95" w:customStyle="1">
    <w:name w:val="ListLabel 95"/>
    <w:qFormat/>
    <w:rPr>
      <w:rFonts w:cs="Symbol"/>
    </w:rPr>
  </w:style>
  <w:style w:type="character" w:styleId="ListLabel96" w:customStyle="1">
    <w:name w:val="ListLabel 96"/>
    <w:qFormat/>
    <w:rPr>
      <w:rFonts w:cs="Courier New"/>
    </w:rPr>
  </w:style>
  <w:style w:type="character" w:styleId="ListLabel97" w:customStyle="1">
    <w:name w:val="ListLabel 97"/>
    <w:qFormat/>
    <w:rPr>
      <w:rFonts w:cs="Wingdings"/>
    </w:rPr>
  </w:style>
  <w:style w:type="character" w:styleId="ListLabel98" w:customStyle="1">
    <w:name w:val="ListLabel 98"/>
    <w:qFormat/>
    <w:rPr>
      <w:rFonts w:cs="Symbol"/>
    </w:rPr>
  </w:style>
  <w:style w:type="character" w:styleId="ListLabel99" w:customStyle="1">
    <w:name w:val="ListLabel 99"/>
    <w:qFormat/>
    <w:rPr>
      <w:rFonts w:cs="Courier New"/>
    </w:rPr>
  </w:style>
  <w:style w:type="character" w:styleId="ListLabel100" w:customStyle="1">
    <w:name w:val="ListLabel 100"/>
    <w:qFormat/>
    <w:rPr>
      <w:rFonts w:cs="Wingdings"/>
    </w:rPr>
  </w:style>
  <w:style w:type="character" w:styleId="ListLabel101" w:customStyle="1">
    <w:name w:val="ListLabel 101"/>
    <w:qFormat/>
    <w:rPr>
      <w:sz w:val="18"/>
      <w:szCs w:val="16"/>
    </w:rPr>
  </w:style>
  <w:style w:type="character" w:styleId="ListLabel102" w:customStyle="1">
    <w:name w:val="ListLabel 102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emboss w:val="false"/>
      <w:imprint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103" w:customStyle="1">
    <w:name w:val="ListLabel 103"/>
    <w:qFormat/>
    <w:rPr>
      <w:rFonts w:cs="Times New Roman"/>
    </w:rPr>
  </w:style>
  <w:style w:type="character" w:styleId="ListLabel104" w:customStyle="1">
    <w:name w:val="ListLabel 104"/>
    <w:qFormat/>
    <w:rPr>
      <w:rFonts w:cs="Times New Roman"/>
    </w:rPr>
  </w:style>
  <w:style w:type="character" w:styleId="ListLabel105" w:customStyle="1">
    <w:name w:val="ListLabel 105"/>
    <w:qFormat/>
    <w:rPr>
      <w:rFonts w:cs="Times New Roman"/>
    </w:rPr>
  </w:style>
  <w:style w:type="character" w:styleId="ListLabel106" w:customStyle="1">
    <w:name w:val="ListLabel 106"/>
    <w:qFormat/>
    <w:rPr>
      <w:rFonts w:cs="Times New Roman"/>
    </w:rPr>
  </w:style>
  <w:style w:type="character" w:styleId="ListLabel107" w:customStyle="1">
    <w:name w:val="ListLabel 107"/>
    <w:qFormat/>
    <w:rPr>
      <w:rFonts w:cs="Times New Roman"/>
    </w:rPr>
  </w:style>
  <w:style w:type="character" w:styleId="ListLabel108" w:customStyle="1">
    <w:name w:val="ListLabel 108"/>
    <w:qFormat/>
    <w:rPr>
      <w:rFonts w:cs="Times New Roman"/>
    </w:rPr>
  </w:style>
  <w:style w:type="character" w:styleId="ListLabel109" w:customStyle="1">
    <w:name w:val="ListLabel 109"/>
    <w:qFormat/>
    <w:rPr>
      <w:rFonts w:cs="Times New Roman"/>
    </w:rPr>
  </w:style>
  <w:style w:type="character" w:styleId="ListLabel110" w:customStyle="1">
    <w:name w:val="ListLabel 110"/>
    <w:qFormat/>
    <w:rPr>
      <w:rFonts w:cs="Times New Roman"/>
    </w:rPr>
  </w:style>
  <w:style w:type="character" w:styleId="ListLabel111" w:customStyle="1">
    <w:name w:val="ListLabel 111"/>
    <w:qFormat/>
    <w:rPr>
      <w:b/>
      <w:i w:val="false"/>
      <w:sz w:val="18"/>
    </w:rPr>
  </w:style>
  <w:style w:type="character" w:styleId="ListLabel112" w:customStyle="1">
    <w:name w:val="ListLabel 112"/>
    <w:qFormat/>
    <w:rPr>
      <w:rFonts w:cs="Arial"/>
      <w:b/>
      <w:bCs/>
      <w:i w:val="false"/>
      <w:iCs w:val="false"/>
      <w:sz w:val="24"/>
      <w:szCs w:val="24"/>
    </w:rPr>
  </w:style>
  <w:style w:type="character" w:styleId="ListLabel113" w:customStyle="1">
    <w:name w:val="ListLabel 113"/>
    <w:qFormat/>
    <w:rPr>
      <w:b/>
      <w:bCs/>
      <w:i w:val="false"/>
      <w:iCs w:val="false"/>
    </w:rPr>
  </w:style>
  <w:style w:type="character" w:styleId="ListLabel114" w:customStyle="1">
    <w:name w:val="ListLabel 114"/>
    <w:qFormat/>
    <w:rPr>
      <w:b w:val="false"/>
      <w:bCs w:val="false"/>
      <w:i w:val="false"/>
      <w:iCs w:val="false"/>
      <w:sz w:val="16"/>
    </w:rPr>
  </w:style>
  <w:style w:type="character" w:styleId="ListLabel115" w:customStyle="1">
    <w:name w:val="ListLabel 115"/>
    <w:qFormat/>
    <w:rPr>
      <w:b w:val="false"/>
      <w:bCs w:val="false"/>
      <w:i w:val="false"/>
      <w:iCs w:val="false"/>
      <w:sz w:val="18"/>
    </w:rPr>
  </w:style>
  <w:style w:type="character" w:styleId="ListLabel116" w:customStyle="1">
    <w:name w:val="ListLabel 116"/>
    <w:qFormat/>
    <w:rPr>
      <w:rFonts w:cs="Symbol"/>
      <w:sz w:val="16"/>
    </w:rPr>
  </w:style>
  <w:style w:type="character" w:styleId="ListLabel117" w:customStyle="1">
    <w:name w:val="ListLabel 117"/>
    <w:qFormat/>
    <w:rPr>
      <w:rFonts w:cs="Courier New"/>
    </w:rPr>
  </w:style>
  <w:style w:type="character" w:styleId="ListLabel118" w:customStyle="1">
    <w:name w:val="ListLabel 118"/>
    <w:qFormat/>
    <w:rPr>
      <w:rFonts w:cs="Wingdings"/>
    </w:rPr>
  </w:style>
  <w:style w:type="character" w:styleId="ListLabel119" w:customStyle="1">
    <w:name w:val="ListLabel 119"/>
    <w:qFormat/>
    <w:rPr>
      <w:rFonts w:cs="Symbol"/>
    </w:rPr>
  </w:style>
  <w:style w:type="character" w:styleId="ListLabel120" w:customStyle="1">
    <w:name w:val="ListLabel 120"/>
    <w:qFormat/>
    <w:rPr>
      <w:rFonts w:cs="Courier New"/>
    </w:rPr>
  </w:style>
  <w:style w:type="character" w:styleId="ListLabel121" w:customStyle="1">
    <w:name w:val="ListLabel 121"/>
    <w:qFormat/>
    <w:rPr>
      <w:rFonts w:cs="Wingdings"/>
    </w:rPr>
  </w:style>
  <w:style w:type="character" w:styleId="ListLabel122" w:customStyle="1">
    <w:name w:val="ListLabel 122"/>
    <w:qFormat/>
    <w:rPr>
      <w:rFonts w:cs="Symbol"/>
    </w:rPr>
  </w:style>
  <w:style w:type="character" w:styleId="ListLabel123" w:customStyle="1">
    <w:name w:val="ListLabel 123"/>
    <w:qFormat/>
    <w:rPr>
      <w:rFonts w:cs="Courier New"/>
    </w:rPr>
  </w:style>
  <w:style w:type="character" w:styleId="ListLabel124" w:customStyle="1">
    <w:name w:val="ListLabel 124"/>
    <w:qFormat/>
    <w:rPr>
      <w:rFonts w:cs="Wingdings"/>
    </w:rPr>
  </w:style>
  <w:style w:type="character" w:styleId="ListLabel125" w:customStyle="1">
    <w:name w:val="ListLabel 125"/>
    <w:qFormat/>
    <w:rPr>
      <w:sz w:val="18"/>
      <w:szCs w:val="16"/>
    </w:rPr>
  </w:style>
  <w:style w:type="character" w:styleId="ListLabel126" w:customStyle="1">
    <w:name w:val="ListLabel 126"/>
    <w:qFormat/>
    <w:rPr>
      <w:b/>
      <w:i w:val="false"/>
      <w:sz w:val="18"/>
    </w:rPr>
  </w:style>
  <w:style w:type="character" w:styleId="ListLabel127" w:customStyle="1">
    <w:name w:val="ListLabel 127"/>
    <w:qFormat/>
    <w:rPr>
      <w:rFonts w:cs="Arial"/>
      <w:b/>
      <w:bCs/>
      <w:i w:val="false"/>
      <w:iCs w:val="false"/>
      <w:sz w:val="24"/>
      <w:szCs w:val="24"/>
    </w:rPr>
  </w:style>
  <w:style w:type="character" w:styleId="ListLabel128" w:customStyle="1">
    <w:name w:val="ListLabel 128"/>
    <w:qFormat/>
    <w:rPr>
      <w:b/>
      <w:bCs/>
      <w:i w:val="false"/>
      <w:iCs w:val="false"/>
    </w:rPr>
  </w:style>
  <w:style w:type="character" w:styleId="ListLabel129" w:customStyle="1">
    <w:name w:val="ListLabel 129"/>
    <w:qFormat/>
    <w:rPr>
      <w:b w:val="false"/>
      <w:bCs w:val="false"/>
      <w:i w:val="false"/>
      <w:iCs w:val="false"/>
      <w:sz w:val="16"/>
    </w:rPr>
  </w:style>
  <w:style w:type="character" w:styleId="ListLabel130" w:customStyle="1">
    <w:name w:val="ListLabel 130"/>
    <w:qFormat/>
    <w:rPr>
      <w:b w:val="false"/>
      <w:bCs w:val="false"/>
      <w:i w:val="false"/>
      <w:iCs w:val="false"/>
      <w:sz w:val="18"/>
    </w:rPr>
  </w:style>
  <w:style w:type="character" w:styleId="ListLabel131" w:customStyle="1">
    <w:name w:val="ListLabel 131"/>
    <w:qFormat/>
    <w:rPr>
      <w:rFonts w:cs="Symbol"/>
      <w:sz w:val="16"/>
    </w:rPr>
  </w:style>
  <w:style w:type="character" w:styleId="ListLabel132" w:customStyle="1">
    <w:name w:val="ListLabel 132"/>
    <w:qFormat/>
    <w:rPr>
      <w:rFonts w:cs="Courier New"/>
    </w:rPr>
  </w:style>
  <w:style w:type="character" w:styleId="ListLabel133" w:customStyle="1">
    <w:name w:val="ListLabel 133"/>
    <w:qFormat/>
    <w:rPr>
      <w:rFonts w:cs="Wingdings"/>
    </w:rPr>
  </w:style>
  <w:style w:type="character" w:styleId="ListLabel134" w:customStyle="1">
    <w:name w:val="ListLabel 134"/>
    <w:qFormat/>
    <w:rPr>
      <w:rFonts w:cs="Symbol"/>
    </w:rPr>
  </w:style>
  <w:style w:type="character" w:styleId="ListLabel135" w:customStyle="1">
    <w:name w:val="ListLabel 135"/>
    <w:qFormat/>
    <w:rPr>
      <w:rFonts w:cs="Courier New"/>
    </w:rPr>
  </w:style>
  <w:style w:type="character" w:styleId="ListLabel136" w:customStyle="1">
    <w:name w:val="ListLabel 136"/>
    <w:qFormat/>
    <w:rPr>
      <w:rFonts w:cs="Wingdings"/>
    </w:rPr>
  </w:style>
  <w:style w:type="character" w:styleId="ListLabel137" w:customStyle="1">
    <w:name w:val="ListLabel 137"/>
    <w:qFormat/>
    <w:rPr>
      <w:rFonts w:cs="Symbol"/>
    </w:rPr>
  </w:style>
  <w:style w:type="character" w:styleId="ListLabel138" w:customStyle="1">
    <w:name w:val="ListLabel 138"/>
    <w:qFormat/>
    <w:rPr>
      <w:rFonts w:cs="Courier New"/>
    </w:rPr>
  </w:style>
  <w:style w:type="character" w:styleId="ListLabel139" w:customStyle="1">
    <w:name w:val="ListLabel 139"/>
    <w:qFormat/>
    <w:rPr>
      <w:rFonts w:cs="Wingdings"/>
    </w:rPr>
  </w:style>
  <w:style w:type="character" w:styleId="ListLabel140" w:customStyle="1">
    <w:name w:val="ListLabel 140"/>
    <w:qFormat/>
    <w:rPr>
      <w:sz w:val="18"/>
      <w:szCs w:val="16"/>
    </w:rPr>
  </w:style>
  <w:style w:type="character" w:styleId="ListLabel141" w:customStyle="1">
    <w:name w:val="ListLabel 141"/>
    <w:qFormat/>
    <w:rPr>
      <w:b w:val="false"/>
      <w:i w:val="false"/>
      <w:sz w:val="18"/>
    </w:rPr>
  </w:style>
  <w:style w:type="character" w:styleId="ListLabel142">
    <w:name w:val="ListLabel 142"/>
    <w:qFormat/>
    <w:rPr>
      <w:rFonts w:cs="Arial"/>
      <w:b/>
      <w:bCs/>
      <w:i w:val="false"/>
      <w:iCs w:val="false"/>
      <w:sz w:val="24"/>
      <w:szCs w:val="24"/>
    </w:rPr>
  </w:style>
  <w:style w:type="character" w:styleId="ListLabel143">
    <w:name w:val="ListLabel 143"/>
    <w:qFormat/>
    <w:rPr>
      <w:b/>
      <w:bCs/>
      <w:i w:val="false"/>
      <w:iCs w:val="false"/>
    </w:rPr>
  </w:style>
  <w:style w:type="character" w:styleId="ListLabel144">
    <w:name w:val="ListLabel 144"/>
    <w:qFormat/>
    <w:rPr>
      <w:b w:val="false"/>
      <w:bCs w:val="false"/>
      <w:i w:val="false"/>
      <w:iCs w:val="false"/>
      <w:sz w:val="16"/>
    </w:rPr>
  </w:style>
  <w:style w:type="character" w:styleId="ListLabel145">
    <w:name w:val="ListLabel 145"/>
    <w:qFormat/>
    <w:rPr>
      <w:b w:val="false"/>
      <w:bCs w:val="false"/>
      <w:i w:val="false"/>
      <w:iCs w:val="false"/>
      <w:sz w:val="18"/>
    </w:rPr>
  </w:style>
  <w:style w:type="character" w:styleId="ListLabel146">
    <w:name w:val="ListLabel 146"/>
    <w:qFormat/>
    <w:rPr>
      <w:rFonts w:cs="Symbol"/>
      <w:sz w:val="16"/>
    </w:rPr>
  </w:style>
  <w:style w:type="character" w:styleId="ListLabel147">
    <w:name w:val="ListLabel 147"/>
    <w:qFormat/>
    <w:rPr>
      <w:rFonts w:cs="Courier New"/>
    </w:rPr>
  </w:style>
  <w:style w:type="character" w:styleId="ListLabel148">
    <w:name w:val="ListLabel 148"/>
    <w:qFormat/>
    <w:rPr>
      <w:rFonts w:cs="Wingdings"/>
    </w:rPr>
  </w:style>
  <w:style w:type="character" w:styleId="ListLabel149">
    <w:name w:val="ListLabel 149"/>
    <w:qFormat/>
    <w:rPr>
      <w:rFonts w:cs="Symbol"/>
    </w:rPr>
  </w:style>
  <w:style w:type="character" w:styleId="ListLabel150">
    <w:name w:val="ListLabel 150"/>
    <w:qFormat/>
    <w:rPr>
      <w:rFonts w:cs="Courier New"/>
    </w:rPr>
  </w:style>
  <w:style w:type="character" w:styleId="ListLabel151">
    <w:name w:val="ListLabel 151"/>
    <w:qFormat/>
    <w:rPr>
      <w:rFonts w:cs="Wingdings"/>
    </w:rPr>
  </w:style>
  <w:style w:type="character" w:styleId="ListLabel152">
    <w:name w:val="ListLabel 152"/>
    <w:qFormat/>
    <w:rPr>
      <w:rFonts w:cs="Symbol"/>
    </w:rPr>
  </w:style>
  <w:style w:type="character" w:styleId="ListLabel153">
    <w:name w:val="ListLabel 153"/>
    <w:qFormat/>
    <w:rPr>
      <w:rFonts w:cs="Courier New"/>
    </w:rPr>
  </w:style>
  <w:style w:type="character" w:styleId="ListLabel154">
    <w:name w:val="ListLabel 154"/>
    <w:qFormat/>
    <w:rPr>
      <w:rFonts w:cs="Wingdings"/>
    </w:rPr>
  </w:style>
  <w:style w:type="character" w:styleId="ListLabel155">
    <w:name w:val="ListLabel 155"/>
    <w:qFormat/>
    <w:rPr>
      <w:sz w:val="18"/>
      <w:szCs w:val="16"/>
    </w:rPr>
  </w:style>
  <w:style w:type="character" w:styleId="ListLabel156">
    <w:name w:val="ListLabel 156"/>
    <w:qFormat/>
    <w:rPr>
      <w:b w:val="false"/>
      <w:i w:val="false"/>
      <w:sz w:val="18"/>
    </w:rPr>
  </w:style>
  <w:style w:type="paragraph" w:styleId="Nadpis" w:customStyle="1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/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</w:pPr>
    <w:rPr>
      <w:rFonts w:cs="Arial"/>
      <w:i/>
      <w:iCs/>
      <w:sz w:val="24"/>
      <w:szCs w:val="24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cs="Arial" w:eastAsia="Times New Roman"/>
      <w:color w:val="000000"/>
      <w:sz w:val="24"/>
      <w:szCs w:val="24"/>
      <w:lang w:eastAsia="cs-CZ" w:val="sk-SK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cs="Arial" w:eastAsia="Times New Roman"/>
      <w:b/>
      <w:bCs/>
      <w:color w:val="00000A"/>
      <w:sz w:val="24"/>
      <w:szCs w:val="24"/>
      <w:lang w:eastAsia="cs-CZ" w:val="sk-SK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cs="Arial" w:eastAsia="Times New Roman"/>
      <w:color w:val="00000A"/>
      <w:sz w:val="16"/>
      <w:szCs w:val="16"/>
      <w:lang w:eastAsia="cs-CZ" w:val="sk-SK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cs="Arial" w:eastAsia="Times New Roman"/>
      <w:color w:val="00000A"/>
      <w:sz w:val="24"/>
      <w:szCs w:val="24"/>
      <w:lang w:eastAsia="cs-CZ" w:val="sk-SK" w:bidi="ar-SA"/>
    </w:rPr>
  </w:style>
  <w:style w:type="paragraph" w:styleId="Textopatrenia" w:customStyle="1">
    <w:name w:val="Text opatrenia"/>
    <w:qFormat/>
    <w:rsid w:val="00503a66"/>
    <w:pPr>
      <w:widowControl/>
      <w:bidi w:val="0"/>
      <w:spacing w:before="120" w:after="120"/>
      <w:jc w:val="both"/>
    </w:pPr>
    <w:rPr>
      <w:rFonts w:ascii="Arial Narrow" w:hAnsi="Arial Narrow" w:cs="Arial Narrow" w:eastAsia="Times New Roman"/>
      <w:color w:val="00000A"/>
      <w:sz w:val="20"/>
      <w:szCs w:val="22"/>
      <w:lang w:eastAsia="cs-CZ" w:val="sk-SK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 w:customStyle="1">
    <w:name w:val="Obsah tabuľky"/>
    <w:basedOn w:val="Normal"/>
    <w:qFormat/>
    <w:pPr/>
    <w:rPr/>
  </w:style>
  <w:style w:type="paragraph" w:styleId="Nadpistabuky" w:customStyle="1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451</TotalTime>
  <Application>LibreOffice/5.3.4.2$Windows_x86 LibreOffice_project/f82d347ccc0be322489bf7da61d7e4ad13fe2ff3</Application>
  <Pages>17</Pages>
  <Words>3534</Words>
  <Characters>21313</Characters>
  <CharactersWithSpaces>24304</CharactersWithSpaces>
  <Paragraphs>648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2018-03-26T09:24:00Z</dcterms:created>
  <dc:creator>Vlaďka</dc:creator>
  <dc:description/>
  <dc:language>sk-SK</dc:language>
  <cp:lastModifiedBy>Martin Johanes</cp:lastModifiedBy>
  <cp:lastPrinted>2014-01-20T21:18:00Z</cp:lastPrinted>
  <dcterms:modified xsi:type="dcterms:W3CDTF">2021-06-29T13:53:00Z</dcterms:modified>
  <cp:revision>343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