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194" w:type="dxa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84"/>
        <w:gridCol w:w="2593"/>
        <w:gridCol w:w="336"/>
        <w:gridCol w:w="341"/>
        <w:gridCol w:w="336"/>
        <w:gridCol w:w="336"/>
        <w:gridCol w:w="341"/>
        <w:gridCol w:w="336"/>
        <w:gridCol w:w="341"/>
        <w:gridCol w:w="336"/>
        <w:gridCol w:w="567"/>
        <w:gridCol w:w="336"/>
        <w:gridCol w:w="337"/>
        <w:gridCol w:w="336"/>
        <w:gridCol w:w="338"/>
      </w:tblGrid>
      <w:tr>
        <w:trPr/>
        <w:tc>
          <w:tcPr>
            <w:tcW w:w="2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  <w:lang w:eastAsia="sk-SK"/>
              </w:rPr>
              <w:t>Poznámky (Úč  NUJ 3 – 01)</w:t>
            </w:r>
          </w:p>
        </w:tc>
        <w:tc>
          <w:tcPr>
            <w:tcW w:w="25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left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IČO 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/SID</w:t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keepNext/>
              <w:numPr>
                <w:ilvl w:val="0"/>
                <w:numId w:val="0"/>
              </w:numPr>
              <w:spacing w:lineRule="auto" w:line="240" w:before="60" w:after="60"/>
              <w:jc w:val="center"/>
              <w:outlineLvl w:val="2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</w:tr>
    </w:tbl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2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I.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Všeobecné údaje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9781" w:type="dxa"/>
        <w:jc w:val="left"/>
        <w:tblInd w:w="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77"/>
        <w:gridCol w:w="6803"/>
      </w:tblGrid>
      <w:tr>
        <w:trPr>
          <w:trHeight w:val="284" w:hRule="atLeast"/>
        </w:trPr>
        <w:tc>
          <w:tcPr>
            <w:tcW w:w="297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Obec Rohožník</w:t>
            </w:r>
          </w:p>
        </w:tc>
      </w:tr>
      <w:tr>
        <w:trPr>
          <w:trHeight w:val="284" w:hRule="atLeast"/>
        </w:trPr>
        <w:tc>
          <w:tcPr>
            <w:tcW w:w="2977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Školské námestie 406/1, 906 38 Rohožník</w:t>
            </w:r>
          </w:p>
        </w:tc>
      </w:tr>
      <w:tr>
        <w:trPr>
          <w:trHeight w:val="178" w:hRule="atLeast"/>
        </w:trPr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3.7.2017</w:t>
            </w:r>
          </w:p>
        </w:tc>
      </w:tr>
    </w:tbl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  <w:t xml:space="preserve">Údaje uvedené v Poznámkach sú v mene EUR, ak nie je uvedené inak. </w:t>
      </w:r>
    </w:p>
    <w:p>
      <w:pPr>
        <w:pStyle w:val="Normal"/>
        <w:spacing w:lineRule="auto" w:line="240"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Informácie o členoch štatutárnych orgánov, dozorných orgánov a iných orgánov účtovnej jednotky; uvádzajú sa mená a priezviská členov štatutárnych orgánov, dozorných orgánov a iných orgánov účtovnej jednotky.</w:t>
      </w:r>
    </w:p>
    <w:p>
      <w:pPr>
        <w:pStyle w:val="Textopatrenia"/>
        <w:spacing w:before="0" w:after="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981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44"/>
        <w:gridCol w:w="6967"/>
      </w:tblGrid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(Štatutár)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Monika Czeilingerová, štatutárna zástupkyňa a riaditeľka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Štatutárne orgány:</w:t>
            </w:r>
          </w:p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(Správna rada)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Peter Švaral, predseda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PharmDr. Elena Šurláková,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MUDr. Jana Vrablicová, členka správnej rady</w:t>
            </w:r>
          </w:p>
        </w:tc>
      </w:tr>
      <w:tr>
        <w:trPr>
          <w:trHeight w:val="284" w:hRule="atLeast"/>
        </w:trPr>
        <w:tc>
          <w:tcPr>
            <w:tcW w:w="284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2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Dozorný orgán:</w:t>
            </w:r>
          </w:p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(Revízor)</w:t>
            </w:r>
          </w:p>
        </w:tc>
        <w:tc>
          <w:tcPr>
            <w:tcW w:w="6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Mgr. Marušca Feriková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9802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0"/>
        <w:gridCol w:w="6971"/>
      </w:tblGrid>
      <w:tr>
        <w:trPr>
          <w:trHeight w:val="284" w:hRule="atLeast"/>
        </w:trPr>
        <w:tc>
          <w:tcPr>
            <w:tcW w:w="283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Hlavná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Poskytovanie sociálnej pomoci a humanitárnej starostlivosti </w:t>
            </w:r>
          </w:p>
        </w:tc>
      </w:tr>
      <w:tr>
        <w:trPr>
          <w:trHeight w:val="284" w:hRule="atLeast"/>
        </w:trPr>
        <w:tc>
          <w:tcPr>
            <w:tcW w:w="283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Tvorba, rozvoj, ochrana, obnova a prezentácia duchovných a kultúrnych hodnôt.</w:t>
            </w:r>
          </w:p>
        </w:tc>
      </w:tr>
      <w:tr>
        <w:trPr>
          <w:trHeight w:val="284" w:hRule="atLeast"/>
        </w:trPr>
        <w:tc>
          <w:tcPr>
            <w:tcW w:w="2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Podnikateľská činnosť:</w:t>
            </w:r>
          </w:p>
        </w:tc>
        <w:tc>
          <w:tcPr>
            <w:tcW w:w="69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nevykonáva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>
      <w:pPr>
        <w:pStyle w:val="Normal"/>
        <w:spacing w:lineRule="auto" w:line="240" w:before="0" w:after="120"/>
        <w:ind w:firstLine="36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 ods. 4  o počte zamestnancov a dobrovoľníkov:</w:t>
      </w:r>
    </w:p>
    <w:tbl>
      <w:tblPr>
        <w:tblW w:w="4850" w:type="pct"/>
        <w:jc w:val="left"/>
        <w:tblInd w:w="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432"/>
        <w:gridCol w:w="2612"/>
        <w:gridCol w:w="2634"/>
      </w:tblGrid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Textopatrenia"/>
              <w:spacing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obdobie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/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>
        <w:trPr>
          <w:trHeight w:val="205" w:hRule="atLeast"/>
        </w:trPr>
        <w:tc>
          <w:tcPr>
            <w:tcW w:w="44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26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extopatrenia"/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organizáciách v zriaďovateľskej pôsobnosti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nie je zriaďovateľom žiadnej inej účtovnej jednotky. </w:t>
      </w:r>
    </w:p>
    <w:p>
      <w:pPr>
        <w:pStyle w:val="Normal"/>
        <w:numPr>
          <w:ilvl w:val="0"/>
          <w:numId w:val="2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Údaje podľa čl. I, III a IV  sa uvádzajú v textovej podobe a tabuľkovej podobe.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20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účtovných zásadách a účtovných metódach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Informácia, či je účtovná závierka zostavená za splnenia predpokladu, že účtovná jednotka bude nepretržite pokračovať vo svojej činnosti.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Účtovná jednotka predpokladá pokračovať vo svojej činnosti aj v nasledujúcom účtovnom období.</w:t>
        <w:tab/>
        <w:t xml:space="preserve"> </w:t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nezmenila v priebehu účtovného obdobia účtovné metódy a ani účtovné zásady. Účtovné metódy a účtovné zásady boli konzistentne aplikované v porovnaní s bezprostredne predchádzajúcim účtovným obdobím. 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Nenastali žiadne iné zmeny účtovných zásad a účtovných metód.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Spôsob oceňovania jednotlivých položiek majetku a záväzkov v členení na</w:t>
      </w:r>
    </w:p>
    <w:tbl>
      <w:tblPr>
        <w:tblW w:w="9753" w:type="dxa"/>
        <w:jc w:val="right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265"/>
        <w:gridCol w:w="3487"/>
      </w:tblGrid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Majetok a záväzky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Spôsob oceňovania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kúpou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vlastnou činnosťou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nehmotný majetok obstaraný iným spôsobom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kúpou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hmotný majetok obstaraný vlastnou činnosťou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hmotný majetok obstaraný iným spôsobom - darom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dlhodobý finančný majetok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 obstaraný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kúpou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Obstarávacia cena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vytvorené vlastnou činnosťou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vytvorené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zásoby obstarané iným spôsobom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Neboli obstarané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pohľadávky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krátkodobý finančný majetok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časové rozlíšenie na strane aktív súvahy 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záväzky, vrátane rezerv, dlhopisov, pôžičiek a úverov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časové rozlíšenie na strane pasív súvahy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Menovitou hodnotou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deriváty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majetok a záväzky zabezpečené derivátmi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  <w:tr>
        <w:trPr>
          <w:trHeight w:val="251" w:hRule="atLeast"/>
        </w:trPr>
        <w:tc>
          <w:tcPr>
            <w:tcW w:w="6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1"/>
                <w:numId w:val="4"/>
              </w:numPr>
              <w:tabs>
                <w:tab w:val="left" w:pos="363" w:leader="none"/>
              </w:tabs>
              <w:spacing w:lineRule="auto" w:line="240" w:before="0" w:after="0"/>
              <w:ind w:left="357" w:hanging="357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prenajatý majetok a majetok obstaraný na základe finančného prenájmu</w:t>
            </w:r>
          </w:p>
        </w:tc>
        <w:tc>
          <w:tcPr>
            <w:tcW w:w="3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Netýka sa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Spôsob zostavenia odpisového plánu pre jednotlivé druhy dlhodobého hmotného majetku  a dlhodobého nehmotného majetku, pričom sa uvádza doba odpisovania, použité sadzby odpisov a odpisové metódy pri určení účtovných odpisov. </w:t>
      </w:r>
    </w:p>
    <w:tbl>
      <w:tblPr>
        <w:tblW w:w="4850" w:type="pct"/>
        <w:jc w:val="left"/>
        <w:tblInd w:w="117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265"/>
        <w:gridCol w:w="2477"/>
        <w:gridCol w:w="2465"/>
        <w:gridCol w:w="2470"/>
      </w:tblGrid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Druh dlhodobého majetku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Doba odpisovania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Sadzby odpisov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b/>
                <w:b/>
                <w:bCs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b/>
                <w:bCs/>
                <w:sz w:val="16"/>
                <w:szCs w:val="16"/>
                <w:lang w:val="sk-SK"/>
              </w:rPr>
              <w:t>Odpisová metóda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Hydraulický mobilný zdvihák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  <w:tr>
        <w:trPr>
          <w:trHeight w:val="250" w:hRule="atLeast"/>
        </w:trPr>
        <w:tc>
          <w:tcPr>
            <w:tcW w:w="22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left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Osobný automobil</w:t>
            </w:r>
          </w:p>
        </w:tc>
        <w:tc>
          <w:tcPr>
            <w:tcW w:w="24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4 roky</w:t>
            </w:r>
          </w:p>
        </w:tc>
        <w:tc>
          <w:tcPr>
            <w:tcW w:w="24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1/48</w:t>
            </w:r>
          </w:p>
        </w:tc>
        <w:tc>
          <w:tcPr>
            <w:tcW w:w="2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5" w:type="dxa"/>
            </w:tcMar>
            <w:vAlign w:val="center"/>
          </w:tcPr>
          <w:p>
            <w:pPr>
              <w:pStyle w:val="Telotextu"/>
              <w:jc w:val="center"/>
              <w:rPr>
                <w:rFonts w:ascii="Arial Narrow" w:hAnsi="Arial Narrow" w:cs="Arial Narrow"/>
                <w:sz w:val="16"/>
                <w:szCs w:val="16"/>
                <w:lang w:val="sk-SK"/>
              </w:rPr>
            </w:pPr>
            <w:r>
              <w:rPr>
                <w:rFonts w:cs="Arial Narrow" w:ascii="Arial Narrow" w:hAnsi="Arial Narrow"/>
                <w:sz w:val="16"/>
                <w:szCs w:val="16"/>
                <w:lang w:val="sk-SK"/>
              </w:rPr>
              <w:t>rovnomerne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3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Zásady pre zohľadnenie zníženia hodnoty majetku – účtovná jednotka uplatňuje: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majetku.  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Čl. III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dopĺňajú a vysvetľujú údaje v súvahe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dlhodobom nehmotnom majetku a dlhodobom hmotnom majetku za bežné účtovné obdobie: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>
      <w:pPr>
        <w:pStyle w:val="Normal"/>
        <w:numPr>
          <w:ilvl w:val="0"/>
          <w:numId w:val="6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zostatkových cenách dlhodobého majetku na začiatku bežného účtovného obdobia a na konci bežného účtovného obdobia.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  o stave a pohybe dlhodobého nehmotného majetku a dlhodobého hmotného majetku: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Organizácia neeviduje dlhodobý nehmotný majetok</w:t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č. 2</w:t>
      </w:r>
    </w:p>
    <w:tbl>
      <w:tblPr>
        <w:tblW w:w="10573" w:type="dxa"/>
        <w:jc w:val="left"/>
        <w:tblInd w:w="-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40" w:type="dxa"/>
          <w:bottom w:w="0" w:type="dxa"/>
          <w:right w:w="70" w:type="dxa"/>
        </w:tblCellMar>
        <w:tblLook w:firstRow="1" w:noVBand="0" w:lastRow="0" w:firstColumn="1" w:lastColumn="0" w:noHBand="0" w:val="00a0"/>
      </w:tblPr>
      <w:tblGrid>
        <w:gridCol w:w="1470"/>
        <w:gridCol w:w="709"/>
        <w:gridCol w:w="848"/>
        <w:gridCol w:w="850"/>
        <w:gridCol w:w="847"/>
        <w:gridCol w:w="988"/>
        <w:gridCol w:w="708"/>
        <w:gridCol w:w="854"/>
        <w:gridCol w:w="847"/>
        <w:gridCol w:w="848"/>
        <w:gridCol w:w="752"/>
        <w:gridCol w:w="851"/>
      </w:tblGrid>
      <w:tr>
        <w:trPr>
          <w:trHeight w:val="1020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Pozemky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Umelecké diela a zbierky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Stavby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Samost. hnuteľné veci a súbory hnut. vecí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Dopravné prostriedky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Pestova-teľské celky trvalých porastov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Základné stádo a ťažné zvieratá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Drobný a ostatný dlhodobý hmotný majetok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Obst.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dlhodob. hmot. majetku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Poskyt predd. na dlho-dobý hmotný majetok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Spolu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Prvotné ocenenie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-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1 715,00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1 715,00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12 977,97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12 977,97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-12 977,97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-12 977,97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1 715,00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14 692,97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 xml:space="preserve">Oprávky – </w:t>
            </w: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35,73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35,73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428,75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1 066,86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1 495,61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464,48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1 066,86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1 531,34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b/>
                <w:bCs/>
                <w:color w:val="000000"/>
                <w:sz w:val="16"/>
                <w:szCs w:val="16"/>
                <w:lang w:eastAsia="sk-SK"/>
              </w:rPr>
              <w:t>Opravné položky</w:t>
            </w:r>
            <w:r>
              <w:rPr>
                <w:color w:val="000000"/>
                <w:sz w:val="16"/>
                <w:szCs w:val="16"/>
                <w:lang w:eastAsia="sk-SK"/>
              </w:rPr>
              <w:t xml:space="preserve"> – 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 </w:t>
            </w: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</w:tr>
      <w:tr>
        <w:trPr>
          <w:trHeight w:val="288" w:hRule="atLeast"/>
        </w:trPr>
        <w:tc>
          <w:tcPr>
            <w:tcW w:w="1057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Zostatková hodnota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1 679,27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1 679,27</w:t>
            </w:r>
          </w:p>
        </w:tc>
      </w:tr>
      <w:tr>
        <w:trPr>
          <w:trHeight w:val="40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4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Stav na konci bežného účtovného obdobia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1 250,52</w:t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11 911,11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lang w:eastAsia="sk-SK"/>
              </w:rPr>
            </w:pPr>
            <w:r>
              <w:rPr>
                <w:color w:val="000000"/>
                <w:sz w:val="16"/>
                <w:szCs w:val="16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color w:val="000000"/>
                <w:sz w:val="16"/>
                <w:szCs w:val="16"/>
                <w:lang w:eastAsia="sk-SK"/>
              </w:rPr>
              <w:t>13 161,63</w:t>
            </w:r>
          </w:p>
        </w:tc>
      </w:tr>
      <w:tr>
        <w:trPr>
          <w:trHeight w:val="288" w:hRule="atLeast"/>
        </w:trPr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9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7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left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cs="Calibri" w:ascii="Calibri" w:hAnsi="Calibri"/>
                <w:color w:val="000000"/>
                <w:sz w:val="22"/>
                <w:szCs w:val="22"/>
                <w:lang w:eastAsia="sk-SK"/>
              </w:rPr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dlhodobého majetku, na ktorý je zriadené záložné právo a dlhodobého majetku, pri ktorom má účtovná jednotka obmedzené právo s ním nakladať: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nedisponuje s dlhodobým majetkom, na ktorý je zriadené záložné právo, resp. pri ktorom má účtovná jednotka obmedzené právo s ním nakladať.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spôsobe a výške poistenia dlhodobého nehmotného majetku a dlhodobého hmotného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realizuje svoju činnosť v prenajatých priestoroch od obce Rohožník, poistenie nehnuteľnosti je súčasťou nájomného. Poistenie jednotlivých zložiek majetku organizácia nemá uzatvorené.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Údaje o štruktúre dlhodobého finančného majetku za bežné účtovné obdobie a jeho umiestnenie v členení podľa položiek súvahy a o zmenách, ktoré sa uskutočnili v priebehu bežného účtovného obdobia v jednotlivých položkách dlhodobého  finančného  majetku.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Organizácia neúčtuje o dlhodobom finančnom majetku.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Informácia o výške tvorby, zníženia a zúčtovania opravných položiek k dlhodobému finančnému majetku a opis dôvodu ich tvorby, zníženia a zúčtovania.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>Organizácia neúčtovala o opravnej položke k dlhodobému finančnému majetku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o významných položkách krátkodobého finančného majetku a  o ocenení krátkodobého finančného majetku  reálnou hodnotou ku dňu, ku ktorému sa zostavuje účtovná závierka, pričom sa uvádza vplyv takéhoto ocenenia na výsledok hospodárenia účtovnej jednotky.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6  o položkách krátkodobého finančného majetku</w:t>
      </w:r>
    </w:p>
    <w:tbl>
      <w:tblPr>
        <w:tblW w:w="10185" w:type="dxa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3450"/>
        <w:gridCol w:w="3475"/>
      </w:tblGrid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na konci bezprostredne predchádzajúceho účtovného obdobia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Pokladnica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17 224,93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871,20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Ceniny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574,50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289,50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Bežné bankové účty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43 060,68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45 700,28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Peniaze na ceste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28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60 860,11</w:t>
            </w:r>
          </w:p>
        </w:tc>
        <w:tc>
          <w:tcPr>
            <w:tcW w:w="34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46 860,98</w:t>
            </w:r>
          </w:p>
        </w:tc>
      </w:tr>
    </w:tbl>
    <w:p>
      <w:pPr>
        <w:pStyle w:val="Normal"/>
        <w:spacing w:lineRule="auto" w:line="240" w:before="0" w:after="120"/>
        <w:ind w:left="36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zásobám,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vykazuje konečný stav zásob k 31.12.2020 vo výške 1 521,47 EUR (stav zásob k 31.12.2019 bol vo výške 1 126,76 EUR), ktorý predstavuje nespotrebované potravinové zásoby ku koncu roka v kuchyni na základe vykonanej fyzickej inventúry. Organizácia neúčtuje o opravnej položke k zásobám. </w:t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Opis významných pohľadávok v nadväznosti na položky súvahy a v členení na pohľadávky za hlavnú činnosť a podnikateľskú činnosť.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164"/>
        <w:gridCol w:w="4654"/>
        <w:gridCol w:w="2160"/>
      </w:tblGrid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Významné pohľadávky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Opis 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Predaj služieb – stravné a ubytovanie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Predaj služieb – hlavná činnosť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29 118,40</w:t>
            </w:r>
          </w:p>
        </w:tc>
      </w:tr>
      <w:tr>
        <w:trPr>
          <w:trHeight w:val="284" w:hRule="atLeast"/>
        </w:trPr>
        <w:tc>
          <w:tcPr>
            <w:tcW w:w="31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46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29 118,40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 opravných položiek k pohľadávkam,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9  o vývoji opravných položiek k pohľadávkam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neúčtovala o opravných položkách k pohľadávkam v priebehu účtovného obdobia.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 pohľadávok do lehoty splatnosti a po lehote splatnosti.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 xml:space="preserve">Tabuľka k čl. III ods. 10  o pohľadávkach do lehoty splatnosti a po lehote splatnosti 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910"/>
        <w:gridCol w:w="2930"/>
        <w:gridCol w:w="3138"/>
      </w:tblGrid>
      <w:tr>
        <w:trPr>
          <w:trHeight w:val="284" w:hRule="atLeast"/>
        </w:trPr>
        <w:tc>
          <w:tcPr>
            <w:tcW w:w="39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606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3910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48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do lehoty splatnosti</w:t>
            </w:r>
          </w:p>
        </w:tc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Pohľadávky po lehote splatnosti</w:t>
            </w:r>
          </w:p>
        </w:tc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29 118,40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24 735,57</w:t>
            </w:r>
          </w:p>
        </w:tc>
      </w:tr>
      <w:tr>
        <w:trPr>
          <w:trHeight w:val="284" w:hRule="atLeast"/>
        </w:trPr>
        <w:tc>
          <w:tcPr>
            <w:tcW w:w="3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29 118,40</w:t>
            </w:r>
          </w:p>
        </w:tc>
        <w:tc>
          <w:tcPr>
            <w:tcW w:w="3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24 735,57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Prehľad významných položiek časového rozlíšenia nákladov budúcich období a príjmov budúcich období.</w:t>
      </w:r>
    </w:p>
    <w:tbl>
      <w:tblPr>
        <w:tblW w:w="50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2930"/>
        <w:gridCol w:w="4889"/>
        <w:gridCol w:w="2159"/>
      </w:tblGrid>
      <w:tr>
        <w:trPr>
          <w:trHeight w:val="284" w:hRule="atLeast"/>
        </w:trPr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časového rozlíšenia nákladov 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29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Časové rozlíšenie nákladov</w:t>
            </w:r>
          </w:p>
        </w:tc>
        <w:tc>
          <w:tcPr>
            <w:tcW w:w="48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poistenia Kooperatíva č. 6599443752 na rok 2021,doména,predplatné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208,21</w:t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Opis a výška zmien vlastných zdrojov krytia neobežného majetku a obežného majetku podľa položiek súvahy za bežné účtovné obdobie, a to </w:t>
      </w:r>
    </w:p>
    <w:p>
      <w:pPr>
        <w:pStyle w:val="Normal"/>
        <w:numPr>
          <w:ilvl w:val="0"/>
          <w:numId w:val="7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bežného účtovného obdobia, jednotlivé prírastky, úbytky, presuny a zostatok na konci bežného účtovného obdobia,</w:t>
      </w:r>
    </w:p>
    <w:p>
      <w:pPr>
        <w:pStyle w:val="Normal"/>
        <w:spacing w:lineRule="auto" w:line="240"/>
        <w:rPr>
          <w:sz w:val="18"/>
          <w:szCs w:val="18"/>
        </w:rPr>
      </w:pPr>
      <w:r>
        <w:rPr>
          <w:sz w:val="18"/>
          <w:szCs w:val="18"/>
        </w:rPr>
        <w:t xml:space="preserve">Nezisková organizácia bola zapísaná do Registra poskytovateľov sociálnych služieb Bratislavského samosprávneho kraja dňa 27.09.2017 pod registračným číslom 246/2017-SP. </w:t>
      </w:r>
    </w:p>
    <w:p>
      <w:pPr>
        <w:pStyle w:val="Normal"/>
        <w:numPr>
          <w:ilvl w:val="0"/>
          <w:numId w:val="7"/>
        </w:numPr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Organizácia neúčtovala o opravách významných chýb minulého obdobia v priebehu účtovného obdobia 2020.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rPr>
          <w:highlight w:val="yellow"/>
        </w:rPr>
      </w:pPr>
      <w:r>
        <w:rPr>
          <w:highlight w:val="yellow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12 o zmenách vlastných zdrojov krytia neobežného majetku a obežného majetku</w:t>
      </w:r>
      <w:r>
        <w:rPr>
          <w:i/>
          <w:iCs/>
          <w:sz w:val="18"/>
          <w:szCs w:val="18"/>
        </w:rPr>
        <w:t xml:space="preserve">    </w:t>
      </w:r>
    </w:p>
    <w:tbl>
      <w:tblPr>
        <w:tblW w:w="480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98"/>
        <w:gridCol w:w="1139"/>
        <w:gridCol w:w="1138"/>
        <w:gridCol w:w="1141"/>
        <w:gridCol w:w="1138"/>
        <w:gridCol w:w="1223"/>
      </w:tblGrid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Prírastky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(+)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Úbytky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(-)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Presuny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(+, -)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</w:rPr>
              <w:t>Imanie a fondy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numPr>
                <w:ilvl w:val="0"/>
                <w:numId w:val="8"/>
              </w:numPr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957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Fondy zo zisku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/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568,66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16 077,52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16 646,18</w:t>
            </w:r>
          </w:p>
        </w:tc>
      </w:tr>
      <w:tr>
        <w:trPr>
          <w:trHeight w:val="210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16 077,52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9 916,63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-16 077,52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9 916,63</w:t>
            </w:r>
          </w:p>
        </w:tc>
      </w:tr>
      <w:tr>
        <w:trPr>
          <w:trHeight w:val="255" w:hRule="atLeast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1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16 646,18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9 916,63</w:t>
            </w:r>
          </w:p>
        </w:tc>
        <w:tc>
          <w:tcPr>
            <w:tcW w:w="1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2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26 562,81</w:t>
            </w:r>
          </w:p>
        </w:tc>
      </w:tr>
    </w:tbl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Informácia o rozdelení účtovného zisku alebo vysporiadaní účtovnej straty vykázanej v minulých účtovných obdobiach.</w:t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13 o rozdelení účtovného zisku alebo vysporiadaní účtovnej straty</w:t>
      </w:r>
    </w:p>
    <w:tbl>
      <w:tblPr>
        <w:tblW w:w="3850" w:type="pct"/>
        <w:jc w:val="left"/>
        <w:tblInd w:w="-131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5435"/>
        <w:gridCol w:w="2247"/>
      </w:tblGrid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Názov položky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TopHead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Bezprostredne predchádzajúce účtovné obdobie</w:t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16 077,52</w:t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</w:t>
            </w:r>
            <w:r>
              <w:rPr>
                <w:sz w:val="16"/>
                <w:szCs w:val="16"/>
              </w:rPr>
              <w:t>ondu tvoreného podľa osobitného predpisu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16 077,52</w:t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768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Prevod do n</w:t>
            </w:r>
            <w:r>
              <w:rPr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146" w:hRule="atLeast"/>
        </w:trPr>
        <w:tc>
          <w:tcPr>
            <w:tcW w:w="54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22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</w:r>
          </w:p>
        </w:tc>
      </w:tr>
    </w:tbl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Opis a výška cudzích zdrojov, a to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a) o  tvorbe a použití rezerv</w:t>
      </w:r>
    </w:p>
    <w:tbl>
      <w:tblPr>
        <w:tblW w:w="50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260"/>
        <w:gridCol w:w="1079"/>
        <w:gridCol w:w="1412"/>
        <w:gridCol w:w="1412"/>
        <w:gridCol w:w="1409"/>
        <w:gridCol w:w="1405"/>
      </w:tblGrid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Zrušenie alebo zníženie rezerv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Zákonné rezervy spolu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  <w:highlight w:val="yellow"/>
              </w:rPr>
            </w:pPr>
            <w:r>
              <w:rPr>
                <w:b/>
                <w:bCs/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Rezerva na štatutárny audit, účt. závierka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800,00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600,00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800,00</w:t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Rezerva na nevyčerpanú dovolenku vrát. odvodov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16 222,97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11 502,28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16 222,97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11 502,28</w:t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Ostatné rezervy spolu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16 822,97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12 302,28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16 822,97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12 302,28</w:t>
            </w:r>
          </w:p>
        </w:tc>
      </w:tr>
      <w:tr>
        <w:trPr>
          <w:trHeight w:val="284" w:hRule="atLeast"/>
        </w:trPr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0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16 822,97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12 302,28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16 822,97</w:t>
            </w:r>
          </w:p>
        </w:tc>
        <w:tc>
          <w:tcPr>
            <w:tcW w:w="1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4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12 302,28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významných položkách na účtoch 325 - Ostatné záväzky a 379 – Iné záväzky; uvádza sa začiatočný stav, prírastky, úbytky a konečný zostatok podľa jednotlivých druhov záväzkov,</w:t>
      </w:r>
    </w:p>
    <w:tbl>
      <w:tblPr>
        <w:tblW w:w="9921" w:type="dxa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1336"/>
        <w:gridCol w:w="1357"/>
        <w:gridCol w:w="1559"/>
        <w:gridCol w:w="1276"/>
      </w:tblGrid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Významné položky ostatných a iných záväzkov 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Začiatočný stav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Konečný zostatok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Iné záväzky - stravné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384,40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384,40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záväzky spolu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384,40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384,40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0,00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 o výške záväzkov do lehoty splatnosti a po lehote splatnosti,</w:t>
      </w:r>
    </w:p>
    <w:tbl>
      <w:tblPr>
        <w:tblW w:w="9921" w:type="dxa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393"/>
        <w:gridCol w:w="2691"/>
        <w:gridCol w:w="2837"/>
      </w:tblGrid>
      <w:tr>
        <w:trPr>
          <w:trHeight w:val="284" w:hRule="atLeast"/>
        </w:trPr>
        <w:tc>
          <w:tcPr>
            <w:tcW w:w="43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552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39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9 142,67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1 103,84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472,82</w:t>
            </w:r>
          </w:p>
        </w:tc>
      </w:tr>
      <w:tr>
        <w:trPr>
          <w:trHeight w:val="284" w:hRule="atLeast"/>
        </w:trPr>
        <w:tc>
          <w:tcPr>
            <w:tcW w:w="43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Záväzky spolu</w:t>
            </w:r>
          </w:p>
        </w:tc>
        <w:tc>
          <w:tcPr>
            <w:tcW w:w="26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9 142,67</w:t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1 576,66</w:t>
            </w:r>
          </w:p>
        </w:tc>
      </w:tr>
    </w:tbl>
    <w:p>
      <w:pPr>
        <w:pStyle w:val="Normal"/>
        <w:spacing w:lineRule="auto" w:line="240" w:before="0" w:after="0"/>
        <w:ind w:left="36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9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výške záväzkov podľa zostatkovej doby splatnosti v členení podľa položiek súvahy </w:t>
      </w:r>
    </w:p>
    <w:p>
      <w:pPr>
        <w:pStyle w:val="Normal"/>
        <w:spacing w:lineRule="auto" w:line="240" w:before="0" w:after="0"/>
        <w:ind w:left="72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c) a d) o záväzkoch</w:t>
      </w:r>
    </w:p>
    <w:tbl>
      <w:tblPr>
        <w:tblW w:w="50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981"/>
        <w:gridCol w:w="2497"/>
        <w:gridCol w:w="2500"/>
      </w:tblGrid>
      <w:tr>
        <w:trPr>
          <w:trHeight w:val="284" w:hRule="atLeast"/>
        </w:trPr>
        <w:tc>
          <w:tcPr>
            <w:tcW w:w="498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49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</w:t>
            </w:r>
          </w:p>
        </w:tc>
      </w:tr>
      <w:tr>
        <w:trPr>
          <w:trHeight w:val="284" w:hRule="atLeast"/>
        </w:trPr>
        <w:tc>
          <w:tcPr>
            <w:tcW w:w="498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lang w:eastAsia="sk-SK"/>
              </w:rPr>
            </w:pPr>
            <w:r>
              <w:rPr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  <w:lang w:eastAsia="sk-SK"/>
              </w:rPr>
              <w:t>472,82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50 621,86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34 559,38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50 621,86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35 032,20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12 299,01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4 373,30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b/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>12 299,01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sz w:val="16"/>
                <w:szCs w:val="16"/>
              </w:rPr>
              <w:t>4 373,30</w:t>
            </w:r>
          </w:p>
        </w:tc>
      </w:tr>
      <w:tr>
        <w:trPr>
          <w:trHeight w:val="284" w:hRule="atLeast"/>
        </w:trPr>
        <w:tc>
          <w:tcPr>
            <w:tcW w:w="49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Krátkodobé a dlhodobé záväzky spolu</w:t>
            </w:r>
          </w:p>
        </w:tc>
        <w:tc>
          <w:tcPr>
            <w:tcW w:w="24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62 920,87</w:t>
            </w:r>
          </w:p>
        </w:tc>
        <w:tc>
          <w:tcPr>
            <w:tcW w:w="25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39 405,50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 záväzkoch zo sociálneho fondu; uvádza sa začiatočný stav, tvorba a čerpanie sociálneho fondu počas účtovného obdobia a zostatok na konci účtovného obdobia,</w:t>
      </w:r>
    </w:p>
    <w:p>
      <w:pPr>
        <w:pStyle w:val="Normal"/>
        <w:spacing w:lineRule="auto" w:line="240" w:before="0" w:after="120"/>
        <w:ind w:left="360" w:hanging="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14 písm. e) o vývoji sociálneho fondu</w:t>
      </w:r>
    </w:p>
    <w:tbl>
      <w:tblPr>
        <w:tblW w:w="50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3724"/>
        <w:gridCol w:w="3147"/>
        <w:gridCol w:w="3107"/>
      </w:tblGrid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prvému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4 373,30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2 451,94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na ťarchu nákladov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1 659,33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3 175,36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Tvorba zo zisku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Čerpanie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1 500,85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1 254,00</w:t>
            </w:r>
          </w:p>
        </w:tc>
      </w:tr>
      <w:tr>
        <w:trPr>
          <w:trHeight w:val="284" w:hRule="atLeast"/>
        </w:trPr>
        <w:tc>
          <w:tcPr>
            <w:tcW w:w="37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4 531,78</w:t>
            </w:r>
          </w:p>
        </w:tc>
        <w:tc>
          <w:tcPr>
            <w:tcW w:w="3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4 373,30</w:t>
            </w:r>
          </w:p>
        </w:tc>
      </w:tr>
    </w:tbl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>
      <w:pPr>
        <w:pStyle w:val="Normal"/>
        <w:spacing w:lineRule="auto" w:line="240" w:before="0" w:after="120"/>
        <w:rPr>
          <w:iCs/>
          <w:sz w:val="18"/>
          <w:szCs w:val="18"/>
        </w:rPr>
      </w:pPr>
      <w:r>
        <w:rPr>
          <w:bCs/>
          <w:iCs/>
          <w:sz w:val="18"/>
          <w:szCs w:val="18"/>
        </w:rPr>
        <w:t xml:space="preserve">Účtovná jednotka neeviduje prijaté bankové úvery, pôžičky ani iné výpomoci. </w:t>
      </w:r>
    </w:p>
    <w:p>
      <w:pPr>
        <w:pStyle w:val="Normal"/>
        <w:numPr>
          <w:ilvl w:val="0"/>
          <w:numId w:val="9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prehľad o významných položkách časového rozlíšenia výdavkov budúcich období.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neeviduje významné položky na tomto účte časového rozlíšenia. </w:t>
      </w:r>
    </w:p>
    <w:p>
      <w:pPr>
        <w:pStyle w:val="Normal"/>
        <w:spacing w:lineRule="auto" w:line="240"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5"/>
        </w:numPr>
        <w:spacing w:lineRule="auto" w:line="240" w:before="0" w:after="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Prehľad o významných položkách výnosov budúcich období 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</w:r>
    </w:p>
    <w:p>
      <w:pPr>
        <w:pStyle w:val="Normal"/>
        <w:spacing w:lineRule="auto" w:line="240" w:before="0" w:after="120"/>
        <w:rPr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III ods. 15 o významných položkách výnosov budúcich období</w:t>
      </w:r>
    </w:p>
    <w:tbl>
      <w:tblPr>
        <w:tblW w:w="10382" w:type="dxa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175"/>
        <w:gridCol w:w="1550"/>
        <w:gridCol w:w="1550"/>
        <w:gridCol w:w="1550"/>
        <w:gridCol w:w="1557"/>
      </w:tblGrid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  <w:lang w:eastAsia="sk-SK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obstaraného darom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majetku  obstaraného z finančného daru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1 679,27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428,75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1 250,52</w:t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grantu na obstaranie motorového vozidla 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2 000,00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166,66</w:t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1 833,34</w:t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</w:r>
          </w:p>
        </w:tc>
      </w:tr>
      <w:tr>
        <w:trPr>
          <w:trHeight w:val="284" w:hRule="atLeast"/>
        </w:trPr>
        <w:tc>
          <w:tcPr>
            <w:tcW w:w="4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5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5"/>
        </w:numPr>
        <w:spacing w:lineRule="auto" w:line="240"/>
        <w:rPr>
          <w:sz w:val="18"/>
          <w:szCs w:val="18"/>
        </w:rPr>
      </w:pPr>
      <w:r>
        <w:rPr>
          <w:sz w:val="18"/>
          <w:szCs w:val="18"/>
        </w:rPr>
        <w:t>Údaje o majetku prenajatom formou finančného prenájmu</w:t>
      </w:r>
    </w:p>
    <w:p>
      <w:pPr>
        <w:pStyle w:val="Normal"/>
        <w:spacing w:lineRule="auto" w:line="240" w:before="0" w:after="120"/>
        <w:rPr/>
      </w:pPr>
      <w:r>
        <w:rPr>
          <w:sz w:val="18"/>
          <w:szCs w:val="18"/>
        </w:rPr>
        <w:t xml:space="preserve">Organizácia má prenajatý dlhodobý finančný majetok formou finančného lízingu: Dacia Dokker v obstarávacej cene 12 672,17 EUR. 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IV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Informácie, ktoré dopĺňajú a vysvetľujú údaje vo výkaze ziskov a strát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tržieb za vlastné výkony a tovar s uvedením ich opisu a vyčíslením hodnoty tržieb podľa jednotlivých hlavných druhov výrobkov,  služieb hlavnej činnosti a podnikateľskej činnosti účtovnej jednotky.</w:t>
      </w:r>
    </w:p>
    <w:tbl>
      <w:tblPr>
        <w:tblW w:w="5000" w:type="pct"/>
        <w:jc w:val="right"/>
        <w:tblInd w:w="0" w:type="dxa"/>
        <w:tblBorders>
          <w:top w:val="single" w:sz="6" w:space="0" w:color="00000A"/>
          <w:left w:val="single" w:sz="6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top w:w="0" w:type="dxa"/>
          <w:left w:w="-7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024"/>
        <w:gridCol w:w="2972"/>
        <w:gridCol w:w="2982"/>
      </w:tblGrid>
      <w:tr>
        <w:trPr>
          <w:trHeight w:val="284" w:hRule="atLeast"/>
        </w:trPr>
        <w:tc>
          <w:tcPr>
            <w:tcW w:w="4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adpis3"/>
              <w:spacing w:before="0" w:after="0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cs="Arial Narrow" w:ascii="Arial Narrow" w:hAnsi="Arial Narrow"/>
                <w:sz w:val="16"/>
                <w:szCs w:val="16"/>
              </w:rPr>
              <w:t>Prehľad tržieb za vlastné výkony a služby, z toho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Hlavná činnosť</w:t>
            </w:r>
          </w:p>
        </w:tc>
        <w:tc>
          <w:tcPr>
            <w:tcW w:w="2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Podnikateľská činnosť</w:t>
            </w:r>
          </w:p>
        </w:tc>
      </w:tr>
      <w:tr>
        <w:trPr>
          <w:trHeight w:val="284" w:hRule="atLeast"/>
        </w:trPr>
        <w:tc>
          <w:tcPr>
            <w:tcW w:w="40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257 717,12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256 296,51</w:t>
            </w:r>
          </w:p>
        </w:tc>
        <w:tc>
          <w:tcPr>
            <w:tcW w:w="29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  <w:insideH w:val="single" w:sz="6" w:space="0" w:color="00000A"/>
              <w:insideV w:val="single" w:sz="6" w:space="0" w:color="00000A"/>
            </w:tcBorders>
            <w:shd w:color="auto" w:fill="auto" w:val="clear"/>
            <w:tcMar>
              <w:left w:w="-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color w:val="000000"/>
                <w:sz w:val="16"/>
                <w:szCs w:val="16"/>
              </w:rPr>
              <w:t>1 420,61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prijatých darov, osobitných výnosov, zákonných poplatkov a iných ostatných výnosov. 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položiek prijatých darov, osobitných výnosov, zákonných poplatkov a iných ostatných výnosov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fyzických osôb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Sponzorské prijaté od iných organizácií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 dotácií a grantov, ktoré účtovná jednotka prijala v priebehu bežného účtovného obdobia.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Obec Rohožník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80 000,00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>Ministerstvo práce, sociálnych vecí a rodiny Slovenskej republiky-vitamíny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410,00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republiky-pandemické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15 826,00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Ministerstvo práce, sociálnych vecí a rodiny Slovenskej republiky-dotácia na mzdy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173 562,58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Orange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Úrad práce, sociálnych vecí a rodiny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4 943,17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výnosov; uvádza sa aj celková suma kurzových ziskov, pričom  osobitne sa uvádza hodnota kurzových ziskov účtovaná ku dňu, ku ktorému sa zostavuje účtovná závierka.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výnosov.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 xml:space="preserve">Opis a vyčíslenie hodnoty významných položiek nákladov, nákladov na ostatné služby, osobitných nákladov a iných ostatných nákladov. 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719"/>
        <w:gridCol w:w="3058"/>
      </w:tblGrid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Opis významných nákladov, nákladov na ostatné služby, osobitné náklady a iné ostatné náklady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potravín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38 039,16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pohonných látok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899,72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Čistiace a hygienické potreby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4 899,15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 položky spotreby materiálu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2 268,43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materiálu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46 106,46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Spotreba energií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25 800,00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Spotreba energie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25 800,00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SW a licencie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4 063,08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i/>
                <w:sz w:val="16"/>
                <w:szCs w:val="16"/>
              </w:rPr>
              <w:t>Ekonomické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5 000,00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Telekomunikačné služby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998,76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Revízie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4 819,70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Školenia a kurzy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854,73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1 096,73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Ostatné služby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16 833,00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Poplatky banke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226,42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Poistenie 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398,26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i/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Iné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i/>
                <w:sz w:val="16"/>
                <w:szCs w:val="16"/>
              </w:rPr>
              <w:t>2 979,67</w:t>
            </w:r>
          </w:p>
        </w:tc>
      </w:tr>
      <w:tr>
        <w:trPr>
          <w:trHeight w:val="284" w:hRule="atLeast"/>
        </w:trPr>
        <w:tc>
          <w:tcPr>
            <w:tcW w:w="67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Iné ostatné náklady spolu</w:t>
            </w:r>
          </w:p>
        </w:tc>
        <w:tc>
          <w:tcPr>
            <w:tcW w:w="3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sz w:val="16"/>
                <w:szCs w:val="16"/>
              </w:rPr>
              <w:t>3 604,35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o účele a výške použitia podielu zaplatenej dane za bežné účtovné obdobie.</w:t>
      </w:r>
    </w:p>
    <w:p>
      <w:pPr>
        <w:pStyle w:val="Normal"/>
        <w:spacing w:lineRule="auto" w:line="240" w:before="0" w:after="120"/>
        <w:rPr>
          <w:b/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Tabuľka k čl. IV  ods. 6 o účele a výške použitia podielu zaplatenej dane    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4805"/>
        <w:gridCol w:w="2728"/>
        <w:gridCol w:w="2245"/>
      </w:tblGrid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Materiál 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48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sz w:val="16"/>
                <w:szCs w:val="16"/>
              </w:rPr>
              <w:t xml:space="preserve">Služby </w:t>
            </w:r>
          </w:p>
        </w:tc>
        <w:tc>
          <w:tcPr>
            <w:tcW w:w="27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  <w:tr>
        <w:trPr>
          <w:trHeight w:val="284" w:hRule="atLeast"/>
        </w:trPr>
        <w:tc>
          <w:tcPr>
            <w:tcW w:w="753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2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a suma významných položiek finančných nákladov; uvádza sa aj celková suma kurzových strát, pričom osobitne sa uvádza hodnota kurzových strát účtovaná ku dňu, ku ktorému sa zostavuje účtovná závierka.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  <w:t xml:space="preserve">Organizácia nevykazuje významné položky finančných nákladov. </w:t>
      </w:r>
    </w:p>
    <w:p>
      <w:pPr>
        <w:pStyle w:val="Normal"/>
        <w:spacing w:lineRule="auto" w:line="240" w:before="0" w:after="0"/>
        <w:ind w:left="6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0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V účtovnej jednotke, ktorá má povinnosť overenia účtovnej závierky audítorom, sa uvedie vymedzenie a suma nákladov za účtovné obdobie v členení na náklady za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overenie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uisťovacie audítorské služby s výnimkou overenia účtovnej závierky,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súvisiace audítorské služby,</w:t>
      </w:r>
    </w:p>
    <w:p>
      <w:pPr>
        <w:pStyle w:val="Normal"/>
        <w:numPr>
          <w:ilvl w:val="0"/>
          <w:numId w:val="11"/>
        </w:numPr>
        <w:spacing w:lineRule="auto" w:line="240"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daňové poradenstvo,</w:t>
      </w:r>
    </w:p>
    <w:p>
      <w:pPr>
        <w:pStyle w:val="Normal"/>
        <w:numPr>
          <w:ilvl w:val="0"/>
          <w:numId w:val="11"/>
        </w:numPr>
        <w:spacing w:lineRule="auto" w:line="240"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>ostatné neaudítorské služby.</w:t>
      </w:r>
    </w:p>
    <w:p>
      <w:pPr>
        <w:pStyle w:val="Normal"/>
        <w:spacing w:lineRule="auto" w:line="240" w:before="0" w:after="120"/>
        <w:rPr>
          <w:b/>
          <w:b/>
          <w:bCs/>
          <w:i/>
          <w:i/>
          <w:iCs/>
          <w:sz w:val="18"/>
          <w:szCs w:val="18"/>
        </w:rPr>
      </w:pPr>
      <w:r>
        <w:rPr>
          <w:b/>
          <w:bCs/>
          <w:i/>
          <w:iCs/>
          <w:sz w:val="18"/>
          <w:szCs w:val="18"/>
        </w:rPr>
        <w:t>Tabuľka k čl. IV  ods. 8 o nákladoch vynaložených v súvislosti s auditom účtovnej závierky</w:t>
      </w:r>
    </w:p>
    <w:tbl>
      <w:tblPr>
        <w:tblW w:w="4900" w:type="pct"/>
        <w:jc w:val="left"/>
        <w:tblInd w:w="-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83" w:type="dxa"/>
          <w:bottom w:w="0" w:type="dxa"/>
          <w:right w:w="108" w:type="dxa"/>
        </w:tblCellMar>
        <w:tblLook w:firstRow="1" w:noVBand="0" w:lastRow="0" w:firstColumn="1" w:lastColumn="0" w:noHBand="0" w:val="00a0"/>
      </w:tblPr>
      <w:tblGrid>
        <w:gridCol w:w="6607"/>
        <w:gridCol w:w="3170"/>
      </w:tblGrid>
      <w:tr>
        <w:trPr>
          <w:trHeight w:val="284" w:hRule="atLeast"/>
        </w:trPr>
        <w:tc>
          <w:tcPr>
            <w:tcW w:w="6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Jednotlivé druhy nákladov za</w:t>
            </w:r>
          </w:p>
        </w:tc>
        <w:tc>
          <w:tcPr>
            <w:tcW w:w="3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eastAsia="sk-SK"/>
              </w:rPr>
              <w:t>Suma</w:t>
            </w:r>
          </w:p>
        </w:tc>
      </w:tr>
      <w:tr>
        <w:trPr>
          <w:trHeight w:val="284" w:hRule="atLeast"/>
        </w:trPr>
        <w:tc>
          <w:tcPr>
            <w:tcW w:w="6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overenie účtovnej závierky*</w:t>
            </w:r>
          </w:p>
        </w:tc>
        <w:tc>
          <w:tcPr>
            <w:tcW w:w="3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16"/>
                <w:szCs w:val="16"/>
              </w:rPr>
              <w:t>500,00</w:t>
            </w:r>
          </w:p>
        </w:tc>
      </w:tr>
      <w:tr>
        <w:trPr>
          <w:trHeight w:val="284" w:hRule="atLeast"/>
        </w:trPr>
        <w:tc>
          <w:tcPr>
            <w:tcW w:w="66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left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31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8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b/>
                <w:bCs/>
                <w:sz w:val="16"/>
                <w:szCs w:val="16"/>
              </w:rPr>
              <w:t>500,00</w:t>
            </w:r>
          </w:p>
        </w:tc>
      </w:tr>
    </w:tbl>
    <w:p>
      <w:pPr>
        <w:pStyle w:val="Normal"/>
        <w:spacing w:lineRule="auto" w:line="240" w:before="0" w:after="0"/>
        <w:rPr>
          <w:sz w:val="16"/>
          <w:szCs w:val="16"/>
        </w:rPr>
      </w:pPr>
      <w:r>
        <w:rPr>
          <w:sz w:val="16"/>
          <w:szCs w:val="16"/>
        </w:rPr>
        <w:t>* hodnota neobsahuje zákonnú DPH vo výške 100 EUR.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Opis údajov na podsúvahových účtoch</w:t>
      </w:r>
    </w:p>
    <w:p>
      <w:pPr>
        <w:pStyle w:val="Normal"/>
        <w:spacing w:lineRule="auto" w:line="240" w:before="0" w:after="0"/>
        <w:rPr/>
      </w:pPr>
      <w:r>
        <w:rPr>
          <w:sz w:val="18"/>
          <w:szCs w:val="18"/>
        </w:rPr>
        <w:t xml:space="preserve">Nezisková organizácia má v prenájme nehnuteľnosť na adrese Pri Potoku 45/3,  906 38 Rohožník. Tieto priestory využíva na prevádzku zariadenia pre seniorov (vrátane ubytovania, stravovania), zariadenie opatrovateľskej služby, zariadenia práčovne a iné služby spojené s verejnoprospešnou činnosťou. Ročné náklady na prenájom sú 1 EUR. Zmluva s prenajímateľom je uzatvorená na dobu neurčitú od 01.01.2018. Nezisková organizácia vykazuje náklady na elektrickú energiu, vodné a stočné a na plyn, celková výška týchto nákladov za rok 2020 bola 25 800,-EUR. </w:t>
      </w:r>
    </w:p>
    <w:p>
      <w:pPr>
        <w:pStyle w:val="Normal"/>
        <w:spacing w:lineRule="auto" w:line="240"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keepNext/>
        <w:numPr>
          <w:ilvl w:val="0"/>
          <w:numId w:val="0"/>
        </w:numPr>
        <w:spacing w:lineRule="auto" w:line="240" w:before="0" w:after="0"/>
        <w:jc w:val="center"/>
        <w:outlineLvl w:val="0"/>
        <w:rPr>
          <w:b/>
          <w:b/>
          <w:bCs/>
        </w:rPr>
      </w:pPr>
      <w:r>
        <w:rPr>
          <w:b/>
          <w:bCs/>
        </w:rPr>
        <w:t>Čl. VI</w:t>
      </w:r>
    </w:p>
    <w:p>
      <w:pPr>
        <w:pStyle w:val="Normal"/>
        <w:keepNext/>
        <w:numPr>
          <w:ilvl w:val="0"/>
          <w:numId w:val="0"/>
        </w:numPr>
        <w:spacing w:lineRule="auto" w:line="240" w:before="0" w:after="120"/>
        <w:jc w:val="center"/>
        <w:outlineLvl w:val="1"/>
        <w:rPr>
          <w:b/>
          <w:b/>
          <w:bCs/>
        </w:rPr>
      </w:pPr>
      <w:r>
        <w:rPr>
          <w:b/>
          <w:bCs/>
        </w:rPr>
        <w:t>Ďalšie informácie</w:t>
      </w:r>
    </w:p>
    <w:p>
      <w:pPr>
        <w:pStyle w:val="Textopatrenia"/>
        <w:numPr>
          <w:ilvl w:val="0"/>
          <w:numId w:val="12"/>
        </w:numPr>
        <w:rPr>
          <w:sz w:val="18"/>
          <w:szCs w:val="18"/>
        </w:rPr>
      </w:pPr>
      <w:r>
        <w:rPr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57" w:hanging="357"/>
        <w:rPr>
          <w:sz w:val="18"/>
          <w:szCs w:val="18"/>
        </w:rPr>
      </w:pPr>
      <w:r>
        <w:rPr>
          <w:sz w:val="18"/>
          <w:szCs w:val="18"/>
        </w:rPr>
        <w:t>Opis a hodnota iných pasív vyplývajúcich zo súdnych rozhodnutí, z poskytnutých záruk, zo všeobecne záväzných právnych predpisov, z ručenia podľa jednotlivých druhov ručenia;  takýmito inými pasívami sú: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>
      <w:pPr>
        <w:pStyle w:val="Textopatrenia"/>
        <w:numPr>
          <w:ilvl w:val="0"/>
          <w:numId w:val="13"/>
        </w:numPr>
        <w:spacing w:before="0" w:after="120"/>
        <w:rPr>
          <w:sz w:val="18"/>
          <w:szCs w:val="18"/>
        </w:rPr>
      </w:pPr>
      <w:r>
        <w:rPr>
          <w:sz w:val="18"/>
          <w:szCs w:val="18"/>
          <w:lang w:eastAsia="sk-SK"/>
        </w:rPr>
        <w:t>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iné aktíva alebo pasíva,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Textopatrenia"/>
        <w:numPr>
          <w:ilvl w:val="0"/>
          <w:numId w:val="12"/>
        </w:numPr>
        <w:spacing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Opis významných položiek ostatných finančných povinností, ktoré sa nesledujú v účtovníctve a neuvádzajú sa v súvahe; pri každej položke sa uvádza jej opis, výška a údaj, či sa týka spriaznených osôb, a to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devízových termínovaných obchodov a iných finančných derivátov,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opčných obchodov,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zákonná povinnosť alebo zmluvná povinnosť odobrať určité produkty alebo služby, napríklad z dodávateľských alebo odberateľských zmlúv,</w:t>
      </w:r>
    </w:p>
    <w:p>
      <w:pPr>
        <w:pStyle w:val="Textopatrenia"/>
        <w:numPr>
          <w:ilvl w:val="0"/>
          <w:numId w:val="14"/>
        </w:numPr>
        <w:spacing w:before="0" w:after="0"/>
        <w:ind w:left="720" w:hanging="357"/>
        <w:rPr>
          <w:sz w:val="18"/>
          <w:szCs w:val="18"/>
        </w:rPr>
      </w:pPr>
      <w:r>
        <w:rPr>
          <w:sz w:val="18"/>
          <w:szCs w:val="18"/>
        </w:rPr>
        <w:t>povinnosť z leasingových, nájomných, servisných, poistných, koncesionárskych, licenčných zmlúv a podobných zmlúv,</w:t>
      </w:r>
    </w:p>
    <w:p>
      <w:pPr>
        <w:pStyle w:val="Textopatrenia"/>
        <w:numPr>
          <w:ilvl w:val="0"/>
          <w:numId w:val="14"/>
        </w:numPr>
        <w:spacing w:before="0" w:after="120"/>
        <w:ind w:left="720" w:hanging="357"/>
        <w:rPr>
          <w:sz w:val="18"/>
          <w:szCs w:val="18"/>
        </w:rPr>
      </w:pPr>
      <w:r>
        <w:rPr>
          <w:sz w:val="18"/>
          <w:szCs w:val="18"/>
        </w:rPr>
        <w:t xml:space="preserve">iné povinnosti. 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ostatné finančné povinnosti, ktoré by nevykazovala v súvahe.</w:t>
      </w:r>
    </w:p>
    <w:p>
      <w:pPr>
        <w:pStyle w:val="Textopatrenia"/>
        <w:spacing w:before="0" w:after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Prehľad nehnuteľných kultúrnych pamiatok, ktoré sú v správe alebo vo vlastníctve účtovnej jednotky.</w:t>
      </w:r>
    </w:p>
    <w:p>
      <w:pPr>
        <w:pStyle w:val="Textopatrenia"/>
        <w:rPr>
          <w:sz w:val="18"/>
          <w:szCs w:val="18"/>
        </w:rPr>
      </w:pPr>
      <w:r>
        <w:rPr>
          <w:sz w:val="18"/>
          <w:szCs w:val="18"/>
        </w:rPr>
        <w:t>Účtovná jednotka nemá vo vlastníctve ani v správe žiadne kultúrne pamiatky.</w:t>
      </w:r>
    </w:p>
    <w:p>
      <w:pPr>
        <w:pStyle w:val="Normal"/>
        <w:numPr>
          <w:ilvl w:val="0"/>
          <w:numId w:val="12"/>
        </w:numPr>
        <w:spacing w:lineRule="auto" w:line="240" w:before="0" w:after="120"/>
        <w:ind w:left="360" w:hanging="357"/>
        <w:rPr>
          <w:sz w:val="18"/>
          <w:szCs w:val="18"/>
        </w:rPr>
      </w:pPr>
      <w:r>
        <w:rPr>
          <w:sz w:val="18"/>
          <w:szCs w:val="18"/>
        </w:rPr>
        <w:t>Informácie o významných skutočnostiach, ktoré nastali medzi dňom, ku ktorému sa zostavuje účtovná závierka a dňom jej zostavenia.</w:t>
      </w:r>
    </w:p>
    <w:p>
      <w:pPr>
        <w:pStyle w:val="Normal"/>
        <w:spacing w:lineRule="auto" w:line="240"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 xml:space="preserve">Koncom roka 2019 sa prvýkrát objavili správy z Číny o koronavíruse. V prvých mesiacoch roka 2020 sa vírus rozšíril do celého sveta a jeho negatívny vplyv nadobudol veľké rozmery. Aj keď v čase zverejnenia tejto účtovnej závierky vedenie neziskovej organizácie nezaznamenalo významné obmedzenie svojej činnosti, nakoľko sa však situácia stále mení, nemožno predvídať budúce účinky/dopady tejto pandémie.  </w:t>
      </w:r>
    </w:p>
    <w:p>
      <w:pPr>
        <w:pStyle w:val="Normal"/>
        <w:spacing w:lineRule="auto" w:line="240" w:before="0" w:after="120"/>
        <w:rPr>
          <w:sz w:val="18"/>
          <w:szCs w:val="18"/>
        </w:rPr>
      </w:pPr>
      <w:r>
        <w:rPr>
          <w:sz w:val="18"/>
          <w:szCs w:val="18"/>
        </w:rPr>
        <w:t>Vedenie neziskovej organizácie bude pokračovať v monitorovaní potenciálneho dopadu a podnikne všetky možné kroky na zmiernenie akýchkoľvek negatívnych účinkov na neziskovú organizáciu, jej klientov a zamestnancov.</w:t>
      </w:r>
    </w:p>
    <w:p>
      <w:pPr>
        <w:pStyle w:val="Textopatrenia"/>
        <w:spacing w:before="0" w:after="120"/>
        <w:ind w:left="3" w:hanging="0"/>
        <w:rPr>
          <w:sz w:val="18"/>
          <w:szCs w:val="18"/>
        </w:rPr>
      </w:pPr>
      <w:r>
        <w:rPr>
          <w:sz w:val="18"/>
          <w:szCs w:val="18"/>
        </w:rPr>
        <w:t>Medzi dňom zostavenia účtovnej závierky a dňom, ku ktorému sa účtovná závierka zostavuje, nenastali žiadne iné významné skutočnosti, ktoré by mali významný vplyv na údaje vykázané v účtovnej závierke.</w:t>
      </w:r>
    </w:p>
    <w:p>
      <w:pPr>
        <w:pStyle w:val="Textopatrenia"/>
        <w:spacing w:before="0" w:after="0"/>
        <w:ind w:left="3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spacing w:lineRule="auto" w:line="240" w:before="0" w:after="120"/>
        <w:ind w:left="3" w:hanging="0"/>
        <w:rPr/>
      </w:pPr>
      <w:r>
        <w:rPr/>
      </w:r>
    </w:p>
    <w:sectPr>
      <w:footerReference w:type="default" r:id="rId2"/>
      <w:type w:val="nextPage"/>
      <w:pgSz w:w="11906" w:h="16838"/>
      <w:pgMar w:left="964" w:right="964" w:header="0" w:top="1304" w:footer="454" w:bottom="1021" w:gutter="0"/>
      <w:pgNumType w:start="7" w:fmt="decimal"/>
      <w:formProt w:val="false"/>
      <w:textDirection w:val="lrTb"/>
      <w:docGrid w:type="default" w:linePitch="272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libri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spacing w:before="120" w:after="120"/>
      <w:jc w:val="right"/>
      <w:rPr/>
    </w:pPr>
    <w:r>
      <w:rPr/>
      <w:fldChar w:fldCharType="begin"/>
    </w:r>
    <w:r>
      <w:instrText> PAGE </w:instrText>
    </w:r>
    <w:r>
      <w:fldChar w:fldCharType="separate"/>
    </w:r>
    <w:r>
      <w:t>7</w:t>
    </w:r>
    <w:r>
      <w:fldChar w:fldCharType="end"/>
    </w:r>
  </w:p>
  <w:p>
    <w:pPr>
      <w:pStyle w:val="Pta"/>
      <w:tabs>
        <w:tab w:val="center" w:pos="4536" w:leader="none"/>
        <w:tab w:val="right" w:pos="9072" w:leader="none"/>
      </w:tabs>
      <w:spacing w:before="120" w:after="120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upperRoman"/>
      <w:suff w:val="nothing"/>
      <w:lvlText w:val="Čl. %1."/>
      <w:lvlJc w:val="center"/>
      <w:pPr>
        <w:ind w:left="0" w:hanging="0"/>
      </w:pPr>
      <w:rPr>
        <w:sz w:val="24"/>
        <w:i w:val="false"/>
        <w:b/>
        <w:szCs w:val="24"/>
        <w:iCs w:val="false"/>
        <w:bCs/>
        <w:rFonts w:cs="Arial"/>
      </w:r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i w:val="false"/>
        <w:b/>
        <w:iCs w:val="false"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sz w:val="16"/>
        <w:i w:val="false"/>
        <w:b w:val="false"/>
        <w:iCs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sz w:val="18"/>
        <w:i w:val="false"/>
        <w:b w:val="false"/>
        <w:iCs w:val="false"/>
        <w:bCs w:val="false"/>
      </w:rPr>
    </w:lvl>
    <w:lvl w:ilvl="3">
      <w:start w:val="1"/>
      <w:numFmt w:val="none"/>
      <w:suff w:val="nothing"/>
      <w:lvlText w:val=""/>
      <w:lvlJc w:val="left"/>
      <w:pPr>
        <w:ind w:left="1440" w:hanging="360"/>
      </w:pPr>
    </w:lvl>
    <w:lvl w:ilvl="4">
      <w:start w:val="1"/>
      <w:numFmt w:val="none"/>
      <w:suff w:val="nothing"/>
      <w:lvlText w:val=""/>
      <w:lvlJc w:val="left"/>
      <w:pPr>
        <w:ind w:left="1800" w:hanging="360"/>
      </w:pPr>
    </w:lvl>
    <w:lvl w:ilvl="5">
      <w:start w:val="1"/>
      <w:numFmt w:val="none"/>
      <w:suff w:val="nothing"/>
      <w:lvlText w:val=""/>
      <w:lvlJc w:val="left"/>
      <w:pPr>
        <w:ind w:left="2160" w:hanging="360"/>
      </w:pPr>
    </w:lvl>
    <w:lvl w:ilvl="6">
      <w:start w:val="1"/>
      <w:numFmt w:val="none"/>
      <w:suff w:val="nothing"/>
      <w:lvlText w:val=""/>
      <w:lvlJc w:val="left"/>
      <w:pPr>
        <w:ind w:left="2520" w:hanging="360"/>
      </w:pPr>
    </w:lvl>
    <w:lvl w:ilvl="7">
      <w:start w:val="1"/>
      <w:numFmt w:val="none"/>
      <w:suff w:val="nothing"/>
      <w:lvlText w:val=""/>
      <w:lvlJc w:val="left"/>
      <w:pPr>
        <w:ind w:left="2880" w:hanging="360"/>
      </w:pPr>
    </w:lvl>
    <w:lvl w:ilvl="8">
      <w:start w:val="1"/>
      <w:numFmt w:val="none"/>
      <w:suff w:val="nothing"/>
      <w:lvlText w:val=""/>
      <w:lvlJc w:val="left"/>
      <w:pPr>
        <w:ind w:left="3240" w:hanging="360"/>
      </w:pPr>
    </w:lvl>
  </w:abstractNum>
  <w:abstractNum w:abstractNumId="5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sz w:val="16"/>
        <w:rFonts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rFonts w:cs="Wingdings"/>
      </w:rPr>
    </w:lvl>
  </w:abstractNum>
  <w:abstractNum w:abstractNumId="9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lvl w:ilvl="0">
      <w:start w:val="1"/>
      <w:numFmt w:val="decimal"/>
      <w:lvlText w:val="(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decimal"/>
      <w:lvlText w:val="(%1)"/>
      <w:lvlJc w:val="left"/>
      <w:pPr>
        <w:ind w:left="360" w:hanging="360"/>
      </w:pPr>
      <w:rPr>
        <w:sz w:val="18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="http://schemas.openxmlformats.org/wordprocessingml/2006/main">
  <w:zoom w:percent="160"/>
  <w:embedSystemFonts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91dcc"/>
    <w:pPr>
      <w:widowControl/>
      <w:bidi w:val="0"/>
      <w:spacing w:lineRule="auto" w:line="360" w:before="120" w:after="120"/>
      <w:jc w:val="both"/>
    </w:pPr>
    <w:rPr>
      <w:rFonts w:ascii="Arial Narrow" w:hAnsi="Arial Narrow" w:cs="Arial Narrow" w:eastAsia="Times New Roman"/>
      <w:color w:val="00000A"/>
      <w:sz w:val="20"/>
      <w:szCs w:val="20"/>
      <w:lang w:eastAsia="cs-CZ" w:val="sk-SK" w:bidi="ar-SA"/>
    </w:rPr>
  </w:style>
  <w:style w:type="paragraph" w:styleId="Nadpis1">
    <w:name w:val="Heading 1"/>
    <w:basedOn w:val="Normal"/>
    <w:link w:val="Nadpis1Char"/>
    <w:uiPriority w:val="99"/>
    <w:qFormat/>
    <w:rsid w:val="00d440d5"/>
    <w:pPr>
      <w:keepNext/>
      <w:numPr>
        <w:ilvl w:val="0"/>
        <w:numId w:val="1"/>
      </w:numPr>
      <w:spacing w:lineRule="auto" w:line="240"/>
      <w:jc w:val="center"/>
      <w:outlineLvl w:val="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Heading 2"/>
    <w:basedOn w:val="Normal"/>
    <w:link w:val="Nadpis2Char"/>
    <w:uiPriority w:val="99"/>
    <w:qFormat/>
    <w:rsid w:val="00d440d5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al"/>
    <w:link w:val="Nadpis3Char"/>
    <w:uiPriority w:val="99"/>
    <w:qFormat/>
    <w:rsid w:val="00945816"/>
    <w:pPr>
      <w:keepNext/>
      <w:spacing w:lineRule="auto" w:line="240" w:before="240" w:after="60"/>
      <w:jc w:val="left"/>
      <w:outlineLvl w:val="2"/>
    </w:pPr>
    <w:rPr>
      <w:rFonts w:ascii="Arial" w:hAnsi="Arial" w:cs="Arial"/>
      <w:b/>
      <w:bCs/>
      <w:sz w:val="26"/>
      <w:szCs w:val="26"/>
      <w:lang w:val="cs-CZ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rsid w:val="00a02c03"/>
    <w:rPr>
      <w:rFonts w:ascii="Cambria" w:hAnsi="Cambria" w:cs="Cambria"/>
      <w:b/>
      <w:bCs/>
      <w:sz w:val="32"/>
      <w:szCs w:val="32"/>
      <w:lang w:eastAsia="cs-CZ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rsid w:val="00a02c03"/>
    <w:rPr>
      <w:rFonts w:ascii="Cambria" w:hAnsi="Cambria" w:cs="Cambria"/>
      <w:b/>
      <w:bCs/>
      <w:i/>
      <w:iCs/>
      <w:sz w:val="28"/>
      <w:szCs w:val="28"/>
      <w:lang w:eastAsia="cs-CZ"/>
    </w:rPr>
  </w:style>
  <w:style w:type="character" w:styleId="Nadpis3Char" w:customStyle="1">
    <w:name w:val="Nadpis 3 Char"/>
    <w:basedOn w:val="DefaultParagraphFont"/>
    <w:link w:val="Nadpis3"/>
    <w:uiPriority w:val="99"/>
    <w:qFormat/>
    <w:rsid w:val="00945816"/>
    <w:rPr>
      <w:rFonts w:ascii="Arial" w:hAnsi="Arial" w:cs="Arial"/>
      <w:b/>
      <w:bCs/>
      <w:sz w:val="26"/>
      <w:szCs w:val="26"/>
      <w:lang w:val="cs-CZ" w:eastAsia="cs-CZ"/>
    </w:rPr>
  </w:style>
  <w:style w:type="character" w:styleId="TltlnzovChar115ptAntiqueOliveNiejeTun" w:customStyle="1">
    <w:name w:val="Štýl Štýl § názov Char + 115 pt + Antique Olive Nie je Tučné"/>
    <w:uiPriority w:val="99"/>
    <w:qFormat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character" w:styleId="PtaChar" w:customStyle="1">
    <w:name w:val="Päta Char"/>
    <w:basedOn w:val="DefaultParagraphFont"/>
    <w:link w:val="Pta"/>
    <w:uiPriority w:val="99"/>
    <w:qFormat/>
    <w:rsid w:val="00a02c03"/>
    <w:rPr>
      <w:rFonts w:ascii="Arial" w:hAnsi="Arial" w:cs="Arial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qFormat/>
    <w:rsid w:val="0072048d"/>
    <w:rPr/>
  </w:style>
  <w:style w:type="character" w:styleId="Strong">
    <w:name w:val="Strong"/>
    <w:basedOn w:val="DefaultParagraphFont"/>
    <w:uiPriority w:val="99"/>
    <w:qFormat/>
    <w:rsid w:val="00db3c2d"/>
    <w:rPr>
      <w:b/>
      <w:bCs/>
    </w:rPr>
  </w:style>
  <w:style w:type="character" w:styleId="ZkladntextChar" w:customStyle="1">
    <w:name w:val="Základný text Char"/>
    <w:basedOn w:val="DefaultParagraphFont"/>
    <w:link w:val="Zkladntext"/>
    <w:uiPriority w:val="99"/>
    <w:qFormat/>
    <w:rsid w:val="00497323"/>
    <w:rPr>
      <w:rFonts w:ascii="Arial" w:hAnsi="Arial" w:cs="Arial"/>
      <w:sz w:val="24"/>
      <w:szCs w:val="24"/>
      <w:lang w:val="de-DE" w:eastAsia="cs-CZ"/>
    </w:rPr>
  </w:style>
  <w:style w:type="character" w:styleId="HlavikaChar" w:customStyle="1">
    <w:name w:val="Hlavička Char"/>
    <w:basedOn w:val="DefaultParagraphFont"/>
    <w:link w:val="Hlavika"/>
    <w:uiPriority w:val="99"/>
    <w:qFormat/>
    <w:rsid w:val="00804636"/>
    <w:rPr>
      <w:rFonts w:ascii="Arial Narrow" w:hAnsi="Arial Narrow" w:cs="Arial Narrow"/>
      <w:sz w:val="24"/>
      <w:szCs w:val="24"/>
      <w:lang w:eastAsia="cs-CZ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rsid w:val="001058f5"/>
    <w:rPr>
      <w:rFonts w:ascii="Tahoma" w:hAnsi="Tahoma" w:cs="Tahoma"/>
      <w:sz w:val="16"/>
      <w:szCs w:val="16"/>
      <w:lang w:eastAsia="cs-CZ"/>
    </w:rPr>
  </w:style>
  <w:style w:type="character" w:styleId="ListLabel1" w:customStyle="1">
    <w:name w:val="ListLabel 1"/>
    <w:qFormat/>
    <w:rPr>
      <w:rFonts w:cs="Arial"/>
      <w:b/>
      <w:bCs/>
      <w:i w:val="false"/>
      <w:iCs w:val="false"/>
      <w:sz w:val="24"/>
      <w:szCs w:val="24"/>
    </w:rPr>
  </w:style>
  <w:style w:type="character" w:styleId="ListLabel2" w:customStyle="1">
    <w:name w:val="ListLabel 2"/>
    <w:qFormat/>
    <w:rPr>
      <w:b w:val="false"/>
      <w:bCs w:val="false"/>
      <w:i w:val="false"/>
      <w:iCs w:val="false"/>
    </w:rPr>
  </w:style>
  <w:style w:type="character" w:styleId="ListLabel3" w:customStyle="1">
    <w:name w:val="ListLabel 3"/>
    <w:qFormat/>
    <w:rPr>
      <w:rFonts w:cs="Arial"/>
      <w:b/>
      <w:bCs/>
      <w:i w:val="false"/>
      <w:iCs w:val="false"/>
      <w:sz w:val="24"/>
      <w:szCs w:val="24"/>
    </w:rPr>
  </w:style>
  <w:style w:type="character" w:styleId="ListLabel4" w:customStyle="1">
    <w:name w:val="ListLabel 4"/>
    <w:qFormat/>
    <w:rPr>
      <w:b w:val="false"/>
      <w:bCs w:val="false"/>
      <w:i w:val="false"/>
      <w:iCs w:val="false"/>
    </w:rPr>
  </w:style>
  <w:style w:type="character" w:styleId="ListLabel5" w:customStyle="1">
    <w:name w:val="ListLabel 5"/>
    <w:qFormat/>
    <w:rPr>
      <w:b/>
      <w:bCs/>
      <w:i w:val="false"/>
      <w:iCs w:val="false"/>
    </w:rPr>
  </w:style>
  <w:style w:type="character" w:styleId="ListLabel6" w:customStyle="1">
    <w:name w:val="ListLabel 6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7" w:customStyle="1">
    <w:name w:val="ListLabel 7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8" w:customStyle="1">
    <w:name w:val="ListLabel 8"/>
    <w:qFormat/>
    <w:rPr>
      <w:b/>
      <w:bCs/>
      <w:i w:val="false"/>
      <w:iCs w:val="false"/>
    </w:rPr>
  </w:style>
  <w:style w:type="character" w:styleId="ListLabel9" w:customStyle="1">
    <w:name w:val="ListLabel 9"/>
    <w:qFormat/>
    <w:rPr>
      <w:b w:val="false"/>
      <w:bCs w:val="false"/>
      <w:i w:val="false"/>
      <w:iCs w:val="false"/>
      <w:sz w:val="16"/>
    </w:rPr>
  </w:style>
  <w:style w:type="character" w:styleId="ListLabel10" w:customStyle="1">
    <w:name w:val="ListLabel 10"/>
    <w:qFormat/>
    <w:rPr>
      <w:b w:val="false"/>
      <w:bCs w:val="false"/>
      <w:i w:val="false"/>
      <w:iCs w:val="false"/>
      <w:sz w:val="18"/>
    </w:rPr>
  </w:style>
  <w:style w:type="character" w:styleId="ListLabel11" w:customStyle="1">
    <w:name w:val="ListLabel 11"/>
    <w:qFormat/>
    <w:rPr>
      <w:rFonts w:cs="Symbol"/>
      <w:b/>
      <w:sz w:val="16"/>
    </w:rPr>
  </w:style>
  <w:style w:type="character" w:styleId="ListLabel12" w:customStyle="1">
    <w:name w:val="ListLabel 12"/>
    <w:qFormat/>
    <w:rPr>
      <w:rFonts w:cs="Courier New"/>
    </w:rPr>
  </w:style>
  <w:style w:type="character" w:styleId="ListLabel13" w:customStyle="1">
    <w:name w:val="ListLabel 13"/>
    <w:qFormat/>
    <w:rPr>
      <w:rFonts w:cs="Wingdings"/>
    </w:rPr>
  </w:style>
  <w:style w:type="character" w:styleId="ListLabel14" w:customStyle="1">
    <w:name w:val="ListLabel 14"/>
    <w:qFormat/>
    <w:rPr>
      <w:rFonts w:cs="Symbol"/>
    </w:rPr>
  </w:style>
  <w:style w:type="character" w:styleId="ListLabel15" w:customStyle="1">
    <w:name w:val="ListLabel 15"/>
    <w:qFormat/>
    <w:rPr>
      <w:rFonts w:cs="Courier New"/>
    </w:rPr>
  </w:style>
  <w:style w:type="character" w:styleId="ListLabel16" w:customStyle="1">
    <w:name w:val="ListLabel 16"/>
    <w:qFormat/>
    <w:rPr>
      <w:rFonts w:cs="Wingdings"/>
    </w:rPr>
  </w:style>
  <w:style w:type="character" w:styleId="ListLabel17" w:customStyle="1">
    <w:name w:val="ListLabel 17"/>
    <w:qFormat/>
    <w:rPr>
      <w:rFonts w:cs="Symbol"/>
    </w:rPr>
  </w:style>
  <w:style w:type="character" w:styleId="ListLabel18" w:customStyle="1">
    <w:name w:val="ListLabel 18"/>
    <w:qFormat/>
    <w:rPr>
      <w:rFonts w:cs="Courier New"/>
    </w:rPr>
  </w:style>
  <w:style w:type="character" w:styleId="ListLabel19" w:customStyle="1">
    <w:name w:val="ListLabel 19"/>
    <w:qFormat/>
    <w:rPr>
      <w:rFonts w:cs="Wingdings"/>
    </w:rPr>
  </w:style>
  <w:style w:type="character" w:styleId="ListLabel20" w:customStyle="1">
    <w:name w:val="ListLabel 20"/>
    <w:qFormat/>
    <w:rPr>
      <w:rFonts w:cs="Symbol"/>
      <w:sz w:val="16"/>
    </w:rPr>
  </w:style>
  <w:style w:type="character" w:styleId="ListLabel21" w:customStyle="1">
    <w:name w:val="ListLabel 21"/>
    <w:qFormat/>
    <w:rPr>
      <w:rFonts w:cs="Courier New"/>
    </w:rPr>
  </w:style>
  <w:style w:type="character" w:styleId="ListLabel22" w:customStyle="1">
    <w:name w:val="ListLabel 22"/>
    <w:qFormat/>
    <w:rPr>
      <w:rFonts w:cs="Wingdings"/>
    </w:rPr>
  </w:style>
  <w:style w:type="character" w:styleId="ListLabel23" w:customStyle="1">
    <w:name w:val="ListLabel 23"/>
    <w:qFormat/>
    <w:rPr>
      <w:rFonts w:cs="Symbol"/>
    </w:rPr>
  </w:style>
  <w:style w:type="character" w:styleId="ListLabel24" w:customStyle="1">
    <w:name w:val="ListLabel 24"/>
    <w:qFormat/>
    <w:rPr>
      <w:rFonts w:cs="Courier New"/>
    </w:rPr>
  </w:style>
  <w:style w:type="character" w:styleId="ListLabel25" w:customStyle="1">
    <w:name w:val="ListLabel 25"/>
    <w:qFormat/>
    <w:rPr>
      <w:rFonts w:cs="Wingdings"/>
    </w:rPr>
  </w:style>
  <w:style w:type="character" w:styleId="ListLabel26" w:customStyle="1">
    <w:name w:val="ListLabel 26"/>
    <w:qFormat/>
    <w:rPr>
      <w:rFonts w:cs="Symbol"/>
    </w:rPr>
  </w:style>
  <w:style w:type="character" w:styleId="ListLabel27" w:customStyle="1">
    <w:name w:val="ListLabel 27"/>
    <w:qFormat/>
    <w:rPr>
      <w:rFonts w:cs="Courier New"/>
    </w:rPr>
  </w:style>
  <w:style w:type="character" w:styleId="ListLabel28" w:customStyle="1">
    <w:name w:val="ListLabel 28"/>
    <w:qFormat/>
    <w:rPr>
      <w:rFonts w:cs="Wingdings"/>
    </w:rPr>
  </w:style>
  <w:style w:type="character" w:styleId="ListLabel29" w:customStyle="1">
    <w:name w:val="ListLabel 29"/>
    <w:qFormat/>
    <w:rPr>
      <w:rFonts w:cs="Symbol"/>
      <w:sz w:val="16"/>
    </w:rPr>
  </w:style>
  <w:style w:type="character" w:styleId="ListLabel30" w:customStyle="1">
    <w:name w:val="ListLabel 30"/>
    <w:qFormat/>
    <w:rPr>
      <w:rFonts w:cs="Courier New"/>
    </w:rPr>
  </w:style>
  <w:style w:type="character" w:styleId="ListLabel31" w:customStyle="1">
    <w:name w:val="ListLabel 31"/>
    <w:qFormat/>
    <w:rPr>
      <w:rFonts w:cs="Wingdings"/>
    </w:rPr>
  </w:style>
  <w:style w:type="character" w:styleId="ListLabel32" w:customStyle="1">
    <w:name w:val="ListLabel 32"/>
    <w:qFormat/>
    <w:rPr>
      <w:rFonts w:cs="Symbol"/>
    </w:rPr>
  </w:style>
  <w:style w:type="character" w:styleId="ListLabel33" w:customStyle="1">
    <w:name w:val="ListLabel 33"/>
    <w:qFormat/>
    <w:rPr>
      <w:rFonts w:cs="Courier New"/>
    </w:rPr>
  </w:style>
  <w:style w:type="character" w:styleId="ListLabel34" w:customStyle="1">
    <w:name w:val="ListLabel 34"/>
    <w:qFormat/>
    <w:rPr>
      <w:rFonts w:cs="Wingdings"/>
    </w:rPr>
  </w:style>
  <w:style w:type="character" w:styleId="ListLabel35" w:customStyle="1">
    <w:name w:val="ListLabel 35"/>
    <w:qFormat/>
    <w:rPr>
      <w:rFonts w:cs="Symbol"/>
    </w:rPr>
  </w:style>
  <w:style w:type="character" w:styleId="ListLabel36" w:customStyle="1">
    <w:name w:val="ListLabel 36"/>
    <w:qFormat/>
    <w:rPr>
      <w:rFonts w:cs="Courier New"/>
    </w:rPr>
  </w:style>
  <w:style w:type="character" w:styleId="ListLabel37" w:customStyle="1">
    <w:name w:val="ListLabel 37"/>
    <w:qFormat/>
    <w:rPr>
      <w:rFonts w:cs="Wingdings"/>
    </w:rPr>
  </w:style>
  <w:style w:type="character" w:styleId="ListLabel38" w:customStyle="1">
    <w:name w:val="ListLabel 38"/>
    <w:qFormat/>
    <w:rPr>
      <w:rFonts w:cs="Arial Narrow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A"/>
      <w:spacing w:val="0"/>
      <w:w w:val="100"/>
      <w:position w:val="0"/>
      <w:sz w:val="24"/>
      <w:sz w:val="24"/>
      <w:szCs w:val="24"/>
      <w:u w:val="none"/>
      <w:vertAlign w:val="baseline"/>
    </w:rPr>
  </w:style>
  <w:style w:type="character" w:styleId="ListLabel39" w:customStyle="1">
    <w:name w:val="ListLabel 39"/>
    <w:qFormat/>
    <w:rPr>
      <w:rFonts w:cs="Arial"/>
      <w:b/>
      <w:bCs/>
      <w:i w:val="false"/>
      <w:iCs w:val="false"/>
      <w:sz w:val="24"/>
      <w:szCs w:val="24"/>
    </w:rPr>
  </w:style>
  <w:style w:type="character" w:styleId="ListLabel40" w:customStyle="1">
    <w:name w:val="ListLabel 40"/>
    <w:qFormat/>
    <w:rPr>
      <w:b/>
      <w:bCs/>
      <w:i w:val="false"/>
      <w:iCs w:val="false"/>
    </w:rPr>
  </w:style>
  <w:style w:type="character" w:styleId="ListLabel41" w:customStyle="1">
    <w:name w:val="ListLabel 41"/>
    <w:qFormat/>
    <w:rPr>
      <w:b w:val="false"/>
      <w:bCs w:val="false"/>
      <w:i w:val="false"/>
      <w:iCs w:val="false"/>
      <w:sz w:val="16"/>
    </w:rPr>
  </w:style>
  <w:style w:type="character" w:styleId="ListLabel42" w:customStyle="1">
    <w:name w:val="ListLabel 42"/>
    <w:qFormat/>
    <w:rPr>
      <w:b w:val="false"/>
      <w:bCs w:val="false"/>
      <w:i w:val="false"/>
      <w:iCs w:val="false"/>
      <w:sz w:val="18"/>
    </w:rPr>
  </w:style>
  <w:style w:type="character" w:styleId="ListLabel43" w:customStyle="1">
    <w:name w:val="ListLabel 43"/>
    <w:qFormat/>
    <w:rPr>
      <w:rFonts w:cs="Symbol"/>
      <w:b/>
      <w:sz w:val="16"/>
    </w:rPr>
  </w:style>
  <w:style w:type="character" w:styleId="ListLabel44" w:customStyle="1">
    <w:name w:val="ListLabel 44"/>
    <w:qFormat/>
    <w:rPr>
      <w:rFonts w:cs="Courier New"/>
    </w:rPr>
  </w:style>
  <w:style w:type="character" w:styleId="ListLabel45" w:customStyle="1">
    <w:name w:val="ListLabel 45"/>
    <w:qFormat/>
    <w:rPr>
      <w:rFonts w:cs="Wingdings"/>
    </w:rPr>
  </w:style>
  <w:style w:type="character" w:styleId="ListLabel46" w:customStyle="1">
    <w:name w:val="ListLabel 46"/>
    <w:qFormat/>
    <w:rPr>
      <w:rFonts w:cs="Symbol"/>
    </w:rPr>
  </w:style>
  <w:style w:type="character" w:styleId="ListLabel47" w:customStyle="1">
    <w:name w:val="ListLabel 47"/>
    <w:qFormat/>
    <w:rPr>
      <w:rFonts w:cs="Courier New"/>
    </w:rPr>
  </w:style>
  <w:style w:type="character" w:styleId="ListLabel48" w:customStyle="1">
    <w:name w:val="ListLabel 48"/>
    <w:qFormat/>
    <w:rPr>
      <w:rFonts w:cs="Wingdings"/>
    </w:rPr>
  </w:style>
  <w:style w:type="character" w:styleId="ListLabel49" w:customStyle="1">
    <w:name w:val="ListLabel 49"/>
    <w:qFormat/>
    <w:rPr>
      <w:rFonts w:cs="Symbol"/>
    </w:rPr>
  </w:style>
  <w:style w:type="character" w:styleId="ListLabel50" w:customStyle="1">
    <w:name w:val="ListLabel 50"/>
    <w:qFormat/>
    <w:rPr>
      <w:rFonts w:cs="Courier New"/>
    </w:rPr>
  </w:style>
  <w:style w:type="character" w:styleId="ListLabel51" w:customStyle="1">
    <w:name w:val="ListLabel 51"/>
    <w:qFormat/>
    <w:rPr>
      <w:rFonts w:cs="Wingdings"/>
    </w:rPr>
  </w:style>
  <w:style w:type="character" w:styleId="ListLabel52" w:customStyle="1">
    <w:name w:val="ListLabel 52"/>
    <w:qFormat/>
    <w:rPr>
      <w:rFonts w:cs="Symbol"/>
      <w:sz w:val="16"/>
    </w:rPr>
  </w:style>
  <w:style w:type="character" w:styleId="ListLabel53" w:customStyle="1">
    <w:name w:val="ListLabel 53"/>
    <w:qFormat/>
    <w:rPr>
      <w:rFonts w:cs="Courier New"/>
    </w:rPr>
  </w:style>
  <w:style w:type="character" w:styleId="ListLabel54" w:customStyle="1">
    <w:name w:val="ListLabel 54"/>
    <w:qFormat/>
    <w:rPr>
      <w:rFonts w:cs="Wingdings"/>
    </w:rPr>
  </w:style>
  <w:style w:type="character" w:styleId="ListLabel55" w:customStyle="1">
    <w:name w:val="ListLabel 55"/>
    <w:qFormat/>
    <w:rPr>
      <w:rFonts w:cs="Symbol"/>
    </w:rPr>
  </w:style>
  <w:style w:type="character" w:styleId="ListLabel56" w:customStyle="1">
    <w:name w:val="ListLabel 56"/>
    <w:qFormat/>
    <w:rPr>
      <w:rFonts w:cs="Courier New"/>
    </w:rPr>
  </w:style>
  <w:style w:type="character" w:styleId="ListLabel57" w:customStyle="1">
    <w:name w:val="ListLabel 57"/>
    <w:qFormat/>
    <w:rPr>
      <w:rFonts w:cs="Wingdings"/>
    </w:rPr>
  </w:style>
  <w:style w:type="character" w:styleId="ListLabel58" w:customStyle="1">
    <w:name w:val="ListLabel 58"/>
    <w:qFormat/>
    <w:rPr>
      <w:rFonts w:cs="Symbol"/>
    </w:rPr>
  </w:style>
  <w:style w:type="character" w:styleId="ListLabel59" w:customStyle="1">
    <w:name w:val="ListLabel 59"/>
    <w:qFormat/>
    <w:rPr>
      <w:rFonts w:cs="Courier New"/>
    </w:rPr>
  </w:style>
  <w:style w:type="character" w:styleId="ListLabel60" w:customStyle="1">
    <w:name w:val="ListLabel 60"/>
    <w:qFormat/>
    <w:rPr>
      <w:rFonts w:cs="Wingdings"/>
    </w:rPr>
  </w:style>
  <w:style w:type="character" w:styleId="ListLabel61" w:customStyle="1">
    <w:name w:val="ListLabel 61"/>
    <w:qFormat/>
    <w:rPr>
      <w:rFonts w:cs="Symbol"/>
      <w:sz w:val="16"/>
    </w:rPr>
  </w:style>
  <w:style w:type="character" w:styleId="ListLabel62" w:customStyle="1">
    <w:name w:val="ListLabel 62"/>
    <w:qFormat/>
    <w:rPr>
      <w:rFonts w:cs="Courier New"/>
    </w:rPr>
  </w:style>
  <w:style w:type="character" w:styleId="ListLabel63" w:customStyle="1">
    <w:name w:val="ListLabel 63"/>
    <w:qFormat/>
    <w:rPr>
      <w:rFonts w:cs="Wingdings"/>
    </w:rPr>
  </w:style>
  <w:style w:type="character" w:styleId="ListLabel64" w:customStyle="1">
    <w:name w:val="ListLabel 64"/>
    <w:qFormat/>
    <w:rPr>
      <w:rFonts w:cs="Symbol"/>
    </w:rPr>
  </w:style>
  <w:style w:type="character" w:styleId="ListLabel65" w:customStyle="1">
    <w:name w:val="ListLabel 65"/>
    <w:qFormat/>
    <w:rPr>
      <w:rFonts w:cs="Courier New"/>
    </w:rPr>
  </w:style>
  <w:style w:type="character" w:styleId="ListLabel66" w:customStyle="1">
    <w:name w:val="ListLabel 66"/>
    <w:qFormat/>
    <w:rPr>
      <w:rFonts w:cs="Wingdings"/>
    </w:rPr>
  </w:style>
  <w:style w:type="character" w:styleId="ListLabel67" w:customStyle="1">
    <w:name w:val="ListLabel 67"/>
    <w:qFormat/>
    <w:rPr>
      <w:rFonts w:cs="Symbol"/>
    </w:rPr>
  </w:style>
  <w:style w:type="character" w:styleId="ListLabel68" w:customStyle="1">
    <w:name w:val="ListLabel 68"/>
    <w:qFormat/>
    <w:rPr>
      <w:rFonts w:cs="Courier New"/>
    </w:rPr>
  </w:style>
  <w:style w:type="character" w:styleId="ListLabel69" w:customStyle="1">
    <w:name w:val="ListLabel 69"/>
    <w:qFormat/>
    <w:rPr>
      <w:rFonts w:cs="Wingdings"/>
    </w:rPr>
  </w:style>
  <w:style w:type="character" w:styleId="ListLabel70" w:customStyle="1">
    <w:name w:val="ListLabel 70"/>
    <w:qFormat/>
    <w:rPr>
      <w:rFonts w:cs="Arial"/>
      <w:b/>
      <w:bCs/>
      <w:i w:val="false"/>
      <w:iCs w:val="false"/>
      <w:sz w:val="24"/>
      <w:szCs w:val="24"/>
    </w:rPr>
  </w:style>
  <w:style w:type="character" w:styleId="ListLabel71" w:customStyle="1">
    <w:name w:val="ListLabel 71"/>
    <w:qFormat/>
    <w:rPr>
      <w:b/>
      <w:bCs/>
      <w:i w:val="false"/>
      <w:iCs w:val="false"/>
    </w:rPr>
  </w:style>
  <w:style w:type="character" w:styleId="ListLabel72" w:customStyle="1">
    <w:name w:val="ListLabel 72"/>
    <w:qFormat/>
    <w:rPr>
      <w:b w:val="false"/>
      <w:bCs w:val="false"/>
      <w:i w:val="false"/>
      <w:iCs w:val="false"/>
      <w:sz w:val="16"/>
    </w:rPr>
  </w:style>
  <w:style w:type="character" w:styleId="ListLabel73" w:customStyle="1">
    <w:name w:val="ListLabel 73"/>
    <w:qFormat/>
    <w:rPr>
      <w:b w:val="false"/>
      <w:bCs w:val="false"/>
      <w:i w:val="false"/>
      <w:iCs w:val="false"/>
      <w:sz w:val="18"/>
    </w:rPr>
  </w:style>
  <w:style w:type="character" w:styleId="ListLabel74" w:customStyle="1">
    <w:name w:val="ListLabel 74"/>
    <w:qFormat/>
    <w:rPr>
      <w:rFonts w:cs="Symbol"/>
      <w:b/>
      <w:sz w:val="16"/>
    </w:rPr>
  </w:style>
  <w:style w:type="character" w:styleId="ListLabel75" w:customStyle="1">
    <w:name w:val="ListLabel 75"/>
    <w:qFormat/>
    <w:rPr>
      <w:rFonts w:cs="Courier New"/>
    </w:rPr>
  </w:style>
  <w:style w:type="character" w:styleId="ListLabel76" w:customStyle="1">
    <w:name w:val="ListLabel 76"/>
    <w:qFormat/>
    <w:rPr>
      <w:rFonts w:cs="Wingdings"/>
    </w:rPr>
  </w:style>
  <w:style w:type="character" w:styleId="ListLabel77" w:customStyle="1">
    <w:name w:val="ListLabel 77"/>
    <w:qFormat/>
    <w:rPr>
      <w:rFonts w:cs="Symbol"/>
    </w:rPr>
  </w:style>
  <w:style w:type="character" w:styleId="ListLabel78" w:customStyle="1">
    <w:name w:val="ListLabel 78"/>
    <w:qFormat/>
    <w:rPr>
      <w:rFonts w:cs="Courier New"/>
    </w:rPr>
  </w:style>
  <w:style w:type="character" w:styleId="ListLabel79" w:customStyle="1">
    <w:name w:val="ListLabel 79"/>
    <w:qFormat/>
    <w:rPr>
      <w:rFonts w:cs="Wingdings"/>
    </w:rPr>
  </w:style>
  <w:style w:type="character" w:styleId="ListLabel80" w:customStyle="1">
    <w:name w:val="ListLabel 80"/>
    <w:qFormat/>
    <w:rPr>
      <w:rFonts w:cs="Symbol"/>
    </w:rPr>
  </w:style>
  <w:style w:type="character" w:styleId="ListLabel81" w:customStyle="1">
    <w:name w:val="ListLabel 81"/>
    <w:qFormat/>
    <w:rPr>
      <w:rFonts w:cs="Courier New"/>
    </w:rPr>
  </w:style>
  <w:style w:type="character" w:styleId="ListLabel82" w:customStyle="1">
    <w:name w:val="ListLabel 82"/>
    <w:qFormat/>
    <w:rPr>
      <w:rFonts w:cs="Wingdings"/>
    </w:rPr>
  </w:style>
  <w:style w:type="character" w:styleId="ListLabel83" w:customStyle="1">
    <w:name w:val="ListLabel 83"/>
    <w:qFormat/>
    <w:rPr>
      <w:rFonts w:cs="Symbol"/>
      <w:sz w:val="16"/>
    </w:rPr>
  </w:style>
  <w:style w:type="character" w:styleId="ListLabel84" w:customStyle="1">
    <w:name w:val="ListLabel 84"/>
    <w:qFormat/>
    <w:rPr>
      <w:rFonts w:cs="Courier New"/>
    </w:rPr>
  </w:style>
  <w:style w:type="character" w:styleId="ListLabel85" w:customStyle="1">
    <w:name w:val="ListLabel 85"/>
    <w:qFormat/>
    <w:rPr>
      <w:rFonts w:cs="Wingdings"/>
    </w:rPr>
  </w:style>
  <w:style w:type="character" w:styleId="ListLabel86" w:customStyle="1">
    <w:name w:val="ListLabel 86"/>
    <w:qFormat/>
    <w:rPr>
      <w:rFonts w:cs="Symbol"/>
    </w:rPr>
  </w:style>
  <w:style w:type="character" w:styleId="ListLabel87" w:customStyle="1">
    <w:name w:val="ListLabel 87"/>
    <w:qFormat/>
    <w:rPr>
      <w:rFonts w:cs="Courier New"/>
    </w:rPr>
  </w:style>
  <w:style w:type="character" w:styleId="ListLabel88" w:customStyle="1">
    <w:name w:val="ListLabel 88"/>
    <w:qFormat/>
    <w:rPr>
      <w:rFonts w:cs="Wingdings"/>
    </w:rPr>
  </w:style>
  <w:style w:type="character" w:styleId="ListLabel89" w:customStyle="1">
    <w:name w:val="ListLabel 89"/>
    <w:qFormat/>
    <w:rPr>
      <w:rFonts w:cs="Symbol"/>
    </w:rPr>
  </w:style>
  <w:style w:type="character" w:styleId="ListLabel90" w:customStyle="1">
    <w:name w:val="ListLabel 90"/>
    <w:qFormat/>
    <w:rPr>
      <w:rFonts w:cs="Courier New"/>
    </w:rPr>
  </w:style>
  <w:style w:type="character" w:styleId="ListLabel91" w:customStyle="1">
    <w:name w:val="ListLabel 91"/>
    <w:qFormat/>
    <w:rPr>
      <w:rFonts w:cs="Wingdings"/>
    </w:rPr>
  </w:style>
  <w:style w:type="character" w:styleId="ListLabel92" w:customStyle="1">
    <w:name w:val="ListLabel 92"/>
    <w:qFormat/>
    <w:rPr>
      <w:rFonts w:cs="Symbol"/>
      <w:sz w:val="16"/>
    </w:rPr>
  </w:style>
  <w:style w:type="character" w:styleId="ListLabel93" w:customStyle="1">
    <w:name w:val="ListLabel 93"/>
    <w:qFormat/>
    <w:rPr>
      <w:rFonts w:cs="Courier New"/>
    </w:rPr>
  </w:style>
  <w:style w:type="character" w:styleId="ListLabel94" w:customStyle="1">
    <w:name w:val="ListLabel 94"/>
    <w:qFormat/>
    <w:rPr>
      <w:rFonts w:cs="Wingdings"/>
    </w:rPr>
  </w:style>
  <w:style w:type="character" w:styleId="ListLabel95" w:customStyle="1">
    <w:name w:val="ListLabel 95"/>
    <w:qFormat/>
    <w:rPr>
      <w:rFonts w:cs="Symbol"/>
    </w:rPr>
  </w:style>
  <w:style w:type="character" w:styleId="ListLabel96" w:customStyle="1">
    <w:name w:val="ListLabel 96"/>
    <w:qFormat/>
    <w:rPr>
      <w:rFonts w:cs="Courier New"/>
    </w:rPr>
  </w:style>
  <w:style w:type="character" w:styleId="ListLabel97" w:customStyle="1">
    <w:name w:val="ListLabel 97"/>
    <w:qFormat/>
    <w:rPr>
      <w:rFonts w:cs="Wingdings"/>
    </w:rPr>
  </w:style>
  <w:style w:type="character" w:styleId="ListLabel98" w:customStyle="1">
    <w:name w:val="ListLabel 98"/>
    <w:qFormat/>
    <w:rPr>
      <w:rFonts w:cs="Symbol"/>
    </w:rPr>
  </w:style>
  <w:style w:type="character" w:styleId="ListLabel99" w:customStyle="1">
    <w:name w:val="ListLabel 99"/>
    <w:qFormat/>
    <w:rPr>
      <w:rFonts w:cs="Courier New"/>
    </w:rPr>
  </w:style>
  <w:style w:type="character" w:styleId="ListLabel100" w:customStyle="1">
    <w:name w:val="ListLabel 100"/>
    <w:qFormat/>
    <w:rPr>
      <w:rFonts w:cs="Wingdings"/>
    </w:rPr>
  </w:style>
  <w:style w:type="character" w:styleId="ListLabel101" w:customStyle="1">
    <w:name w:val="ListLabel 101"/>
    <w:qFormat/>
    <w:rPr>
      <w:sz w:val="18"/>
      <w:szCs w:val="16"/>
    </w:rPr>
  </w:style>
  <w:style w:type="character" w:styleId="ListLabel102" w:customStyle="1">
    <w:name w:val="ListLabel 102"/>
    <w:qFormat/>
    <w:rPr>
      <w:rFonts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shadow w:val="false"/>
      <w:emboss w:val="false"/>
      <w:imprint w:val="false"/>
      <w:vanish w:val="false"/>
      <w:color w:val="00000A"/>
      <w:spacing w:val="0"/>
      <w:w w:val="100"/>
      <w:position w:val="0"/>
      <w:sz w:val="24"/>
      <w:sz w:val="24"/>
      <w:szCs w:val="24"/>
      <w:u w:val="none" w:color="000000"/>
      <w:vertAlign w:val="baseline"/>
    </w:rPr>
  </w:style>
  <w:style w:type="character" w:styleId="ListLabel103" w:customStyle="1">
    <w:name w:val="ListLabel 103"/>
    <w:qFormat/>
    <w:rPr>
      <w:rFonts w:cs="Times New Roman"/>
    </w:rPr>
  </w:style>
  <w:style w:type="character" w:styleId="ListLabel104" w:customStyle="1">
    <w:name w:val="ListLabel 104"/>
    <w:qFormat/>
    <w:rPr>
      <w:rFonts w:cs="Times New Roman"/>
    </w:rPr>
  </w:style>
  <w:style w:type="character" w:styleId="ListLabel105" w:customStyle="1">
    <w:name w:val="ListLabel 105"/>
    <w:qFormat/>
    <w:rPr>
      <w:rFonts w:cs="Times New Roman"/>
    </w:rPr>
  </w:style>
  <w:style w:type="character" w:styleId="ListLabel106" w:customStyle="1">
    <w:name w:val="ListLabel 106"/>
    <w:qFormat/>
    <w:rPr>
      <w:rFonts w:cs="Times New Roman"/>
    </w:rPr>
  </w:style>
  <w:style w:type="character" w:styleId="ListLabel107" w:customStyle="1">
    <w:name w:val="ListLabel 107"/>
    <w:qFormat/>
    <w:rPr>
      <w:rFonts w:cs="Times New Roman"/>
    </w:rPr>
  </w:style>
  <w:style w:type="character" w:styleId="ListLabel108" w:customStyle="1">
    <w:name w:val="ListLabel 108"/>
    <w:qFormat/>
    <w:rPr>
      <w:rFonts w:cs="Times New Roman"/>
    </w:rPr>
  </w:style>
  <w:style w:type="character" w:styleId="ListLabel109" w:customStyle="1">
    <w:name w:val="ListLabel 109"/>
    <w:qFormat/>
    <w:rPr>
      <w:rFonts w:cs="Times New Roman"/>
    </w:rPr>
  </w:style>
  <w:style w:type="character" w:styleId="ListLabel110" w:customStyle="1">
    <w:name w:val="ListLabel 110"/>
    <w:qFormat/>
    <w:rPr>
      <w:rFonts w:cs="Times New Roman"/>
    </w:rPr>
  </w:style>
  <w:style w:type="character" w:styleId="ListLabel111" w:customStyle="1">
    <w:name w:val="ListLabel 111"/>
    <w:qFormat/>
    <w:rPr>
      <w:b/>
      <w:i w:val="false"/>
      <w:sz w:val="18"/>
    </w:rPr>
  </w:style>
  <w:style w:type="character" w:styleId="ListLabel112" w:customStyle="1">
    <w:name w:val="ListLabel 112"/>
    <w:qFormat/>
    <w:rPr>
      <w:rFonts w:cs="Arial"/>
      <w:b/>
      <w:bCs/>
      <w:i w:val="false"/>
      <w:iCs w:val="false"/>
      <w:sz w:val="24"/>
      <w:szCs w:val="24"/>
    </w:rPr>
  </w:style>
  <w:style w:type="character" w:styleId="ListLabel113" w:customStyle="1">
    <w:name w:val="ListLabel 113"/>
    <w:qFormat/>
    <w:rPr>
      <w:b/>
      <w:bCs/>
      <w:i w:val="false"/>
      <w:iCs w:val="false"/>
    </w:rPr>
  </w:style>
  <w:style w:type="character" w:styleId="ListLabel114" w:customStyle="1">
    <w:name w:val="ListLabel 114"/>
    <w:qFormat/>
    <w:rPr>
      <w:b w:val="false"/>
      <w:bCs w:val="false"/>
      <w:i w:val="false"/>
      <w:iCs w:val="false"/>
      <w:sz w:val="16"/>
    </w:rPr>
  </w:style>
  <w:style w:type="character" w:styleId="ListLabel115" w:customStyle="1">
    <w:name w:val="ListLabel 115"/>
    <w:qFormat/>
    <w:rPr>
      <w:b w:val="false"/>
      <w:bCs w:val="false"/>
      <w:i w:val="false"/>
      <w:iCs w:val="false"/>
      <w:sz w:val="18"/>
    </w:rPr>
  </w:style>
  <w:style w:type="character" w:styleId="ListLabel116" w:customStyle="1">
    <w:name w:val="ListLabel 116"/>
    <w:qFormat/>
    <w:rPr>
      <w:rFonts w:cs="Symbol"/>
      <w:sz w:val="16"/>
    </w:rPr>
  </w:style>
  <w:style w:type="character" w:styleId="ListLabel117" w:customStyle="1">
    <w:name w:val="ListLabel 117"/>
    <w:qFormat/>
    <w:rPr>
      <w:rFonts w:cs="Courier New"/>
    </w:rPr>
  </w:style>
  <w:style w:type="character" w:styleId="ListLabel118" w:customStyle="1">
    <w:name w:val="ListLabel 118"/>
    <w:qFormat/>
    <w:rPr>
      <w:rFonts w:cs="Wingdings"/>
    </w:rPr>
  </w:style>
  <w:style w:type="character" w:styleId="ListLabel119" w:customStyle="1">
    <w:name w:val="ListLabel 119"/>
    <w:qFormat/>
    <w:rPr>
      <w:rFonts w:cs="Symbol"/>
    </w:rPr>
  </w:style>
  <w:style w:type="character" w:styleId="ListLabel120" w:customStyle="1">
    <w:name w:val="ListLabel 120"/>
    <w:qFormat/>
    <w:rPr>
      <w:rFonts w:cs="Courier New"/>
    </w:rPr>
  </w:style>
  <w:style w:type="character" w:styleId="ListLabel121" w:customStyle="1">
    <w:name w:val="ListLabel 121"/>
    <w:qFormat/>
    <w:rPr>
      <w:rFonts w:cs="Wingdings"/>
    </w:rPr>
  </w:style>
  <w:style w:type="character" w:styleId="ListLabel122" w:customStyle="1">
    <w:name w:val="ListLabel 122"/>
    <w:qFormat/>
    <w:rPr>
      <w:rFonts w:cs="Symbol"/>
    </w:rPr>
  </w:style>
  <w:style w:type="character" w:styleId="ListLabel123" w:customStyle="1">
    <w:name w:val="ListLabel 123"/>
    <w:qFormat/>
    <w:rPr>
      <w:rFonts w:cs="Courier New"/>
    </w:rPr>
  </w:style>
  <w:style w:type="character" w:styleId="ListLabel124" w:customStyle="1">
    <w:name w:val="ListLabel 124"/>
    <w:qFormat/>
    <w:rPr>
      <w:rFonts w:cs="Wingdings"/>
    </w:rPr>
  </w:style>
  <w:style w:type="character" w:styleId="ListLabel125" w:customStyle="1">
    <w:name w:val="ListLabel 125"/>
    <w:qFormat/>
    <w:rPr>
      <w:sz w:val="18"/>
      <w:szCs w:val="16"/>
    </w:rPr>
  </w:style>
  <w:style w:type="character" w:styleId="ListLabel126" w:customStyle="1">
    <w:name w:val="ListLabel 126"/>
    <w:qFormat/>
    <w:rPr>
      <w:b/>
      <w:i w:val="false"/>
      <w:sz w:val="18"/>
    </w:rPr>
  </w:style>
  <w:style w:type="character" w:styleId="ListLabel127" w:customStyle="1">
    <w:name w:val="ListLabel 127"/>
    <w:qFormat/>
    <w:rPr>
      <w:rFonts w:cs="Arial"/>
      <w:b/>
      <w:bCs/>
      <w:i w:val="false"/>
      <w:iCs w:val="false"/>
      <w:sz w:val="24"/>
      <w:szCs w:val="24"/>
    </w:rPr>
  </w:style>
  <w:style w:type="character" w:styleId="ListLabel128" w:customStyle="1">
    <w:name w:val="ListLabel 128"/>
    <w:qFormat/>
    <w:rPr>
      <w:b/>
      <w:bCs/>
      <w:i w:val="false"/>
      <w:iCs w:val="false"/>
    </w:rPr>
  </w:style>
  <w:style w:type="character" w:styleId="ListLabel129" w:customStyle="1">
    <w:name w:val="ListLabel 129"/>
    <w:qFormat/>
    <w:rPr>
      <w:b w:val="false"/>
      <w:bCs w:val="false"/>
      <w:i w:val="false"/>
      <w:iCs w:val="false"/>
      <w:sz w:val="16"/>
    </w:rPr>
  </w:style>
  <w:style w:type="character" w:styleId="ListLabel130" w:customStyle="1">
    <w:name w:val="ListLabel 130"/>
    <w:qFormat/>
    <w:rPr>
      <w:b w:val="false"/>
      <w:bCs w:val="false"/>
      <w:i w:val="false"/>
      <w:iCs w:val="false"/>
      <w:sz w:val="18"/>
    </w:rPr>
  </w:style>
  <w:style w:type="character" w:styleId="ListLabel131" w:customStyle="1">
    <w:name w:val="ListLabel 131"/>
    <w:qFormat/>
    <w:rPr>
      <w:rFonts w:cs="Symbol"/>
      <w:sz w:val="16"/>
    </w:rPr>
  </w:style>
  <w:style w:type="character" w:styleId="ListLabel132" w:customStyle="1">
    <w:name w:val="ListLabel 132"/>
    <w:qFormat/>
    <w:rPr>
      <w:rFonts w:cs="Courier New"/>
    </w:rPr>
  </w:style>
  <w:style w:type="character" w:styleId="ListLabel133" w:customStyle="1">
    <w:name w:val="ListLabel 133"/>
    <w:qFormat/>
    <w:rPr>
      <w:rFonts w:cs="Wingdings"/>
    </w:rPr>
  </w:style>
  <w:style w:type="character" w:styleId="ListLabel134" w:customStyle="1">
    <w:name w:val="ListLabel 134"/>
    <w:qFormat/>
    <w:rPr>
      <w:rFonts w:cs="Symbol"/>
    </w:rPr>
  </w:style>
  <w:style w:type="character" w:styleId="ListLabel135" w:customStyle="1">
    <w:name w:val="ListLabel 135"/>
    <w:qFormat/>
    <w:rPr>
      <w:rFonts w:cs="Courier New"/>
    </w:rPr>
  </w:style>
  <w:style w:type="character" w:styleId="ListLabel136" w:customStyle="1">
    <w:name w:val="ListLabel 136"/>
    <w:qFormat/>
    <w:rPr>
      <w:rFonts w:cs="Wingdings"/>
    </w:rPr>
  </w:style>
  <w:style w:type="character" w:styleId="ListLabel137" w:customStyle="1">
    <w:name w:val="ListLabel 137"/>
    <w:qFormat/>
    <w:rPr>
      <w:rFonts w:cs="Symbol"/>
    </w:rPr>
  </w:style>
  <w:style w:type="character" w:styleId="ListLabel138" w:customStyle="1">
    <w:name w:val="ListLabel 138"/>
    <w:qFormat/>
    <w:rPr>
      <w:rFonts w:cs="Courier New"/>
    </w:rPr>
  </w:style>
  <w:style w:type="character" w:styleId="ListLabel139" w:customStyle="1">
    <w:name w:val="ListLabel 139"/>
    <w:qFormat/>
    <w:rPr>
      <w:rFonts w:cs="Wingdings"/>
    </w:rPr>
  </w:style>
  <w:style w:type="character" w:styleId="ListLabel140" w:customStyle="1">
    <w:name w:val="ListLabel 140"/>
    <w:qFormat/>
    <w:rPr>
      <w:sz w:val="18"/>
      <w:szCs w:val="16"/>
    </w:rPr>
  </w:style>
  <w:style w:type="character" w:styleId="ListLabel141" w:customStyle="1">
    <w:name w:val="ListLabel 141"/>
    <w:qFormat/>
    <w:rPr>
      <w:b w:val="false"/>
      <w:i w:val="false"/>
      <w:sz w:val="18"/>
    </w:rPr>
  </w:style>
  <w:style w:type="character" w:styleId="ListLabel142">
    <w:name w:val="ListLabel 142"/>
    <w:qFormat/>
    <w:rPr>
      <w:rFonts w:cs="Arial"/>
      <w:b/>
      <w:bCs/>
      <w:i w:val="false"/>
      <w:iCs w:val="false"/>
      <w:sz w:val="24"/>
      <w:szCs w:val="24"/>
    </w:rPr>
  </w:style>
  <w:style w:type="character" w:styleId="ListLabel143">
    <w:name w:val="ListLabel 143"/>
    <w:qFormat/>
    <w:rPr>
      <w:b/>
      <w:bCs/>
      <w:i w:val="false"/>
      <w:iCs w:val="false"/>
    </w:rPr>
  </w:style>
  <w:style w:type="character" w:styleId="ListLabel144">
    <w:name w:val="ListLabel 144"/>
    <w:qFormat/>
    <w:rPr>
      <w:b w:val="false"/>
      <w:bCs w:val="false"/>
      <w:i w:val="false"/>
      <w:iCs w:val="false"/>
      <w:sz w:val="16"/>
    </w:rPr>
  </w:style>
  <w:style w:type="character" w:styleId="ListLabel145">
    <w:name w:val="ListLabel 145"/>
    <w:qFormat/>
    <w:rPr>
      <w:b w:val="false"/>
      <w:bCs w:val="false"/>
      <w:i w:val="false"/>
      <w:iCs w:val="false"/>
      <w:sz w:val="18"/>
    </w:rPr>
  </w:style>
  <w:style w:type="character" w:styleId="ListLabel146">
    <w:name w:val="ListLabel 146"/>
    <w:qFormat/>
    <w:rPr>
      <w:rFonts w:cs="Symbol"/>
      <w:sz w:val="16"/>
    </w:rPr>
  </w:style>
  <w:style w:type="character" w:styleId="ListLabel147">
    <w:name w:val="ListLabel 147"/>
    <w:qFormat/>
    <w:rPr>
      <w:rFonts w:cs="Courier New"/>
    </w:rPr>
  </w:style>
  <w:style w:type="character" w:styleId="ListLabel148">
    <w:name w:val="ListLabel 148"/>
    <w:qFormat/>
    <w:rPr>
      <w:rFonts w:cs="Wingdings"/>
    </w:rPr>
  </w:style>
  <w:style w:type="character" w:styleId="ListLabel149">
    <w:name w:val="ListLabel 149"/>
    <w:qFormat/>
    <w:rPr>
      <w:rFonts w:cs="Symbol"/>
    </w:rPr>
  </w:style>
  <w:style w:type="character" w:styleId="ListLabel150">
    <w:name w:val="ListLabel 150"/>
    <w:qFormat/>
    <w:rPr>
      <w:rFonts w:cs="Courier New"/>
    </w:rPr>
  </w:style>
  <w:style w:type="character" w:styleId="ListLabel151">
    <w:name w:val="ListLabel 151"/>
    <w:qFormat/>
    <w:rPr>
      <w:rFonts w:cs="Wingdings"/>
    </w:rPr>
  </w:style>
  <w:style w:type="character" w:styleId="ListLabel152">
    <w:name w:val="ListLabel 152"/>
    <w:qFormat/>
    <w:rPr>
      <w:rFonts w:cs="Symbol"/>
    </w:rPr>
  </w:style>
  <w:style w:type="character" w:styleId="ListLabel153">
    <w:name w:val="ListLabel 153"/>
    <w:qFormat/>
    <w:rPr>
      <w:rFonts w:cs="Courier New"/>
    </w:rPr>
  </w:style>
  <w:style w:type="character" w:styleId="ListLabel154">
    <w:name w:val="ListLabel 154"/>
    <w:qFormat/>
    <w:rPr>
      <w:rFonts w:cs="Wingdings"/>
    </w:rPr>
  </w:style>
  <w:style w:type="character" w:styleId="ListLabel155">
    <w:name w:val="ListLabel 155"/>
    <w:qFormat/>
    <w:rPr>
      <w:sz w:val="18"/>
      <w:szCs w:val="16"/>
    </w:rPr>
  </w:style>
  <w:style w:type="character" w:styleId="ListLabel156">
    <w:name w:val="ListLabel 156"/>
    <w:qFormat/>
    <w:rPr>
      <w:b w:val="false"/>
      <w:i w:val="false"/>
      <w:sz w:val="18"/>
    </w:rPr>
  </w:style>
  <w:style w:type="paragraph" w:styleId="Nadpis" w:customStyle="1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rsid w:val="00497323"/>
    <w:pPr>
      <w:spacing w:lineRule="auto" w:line="240" w:before="0" w:after="0"/>
    </w:pPr>
    <w:rPr>
      <w:rFonts w:ascii="Arial" w:hAnsi="Arial" w:cs="Arial"/>
      <w:sz w:val="24"/>
      <w:szCs w:val="24"/>
      <w:lang w:val="de-DE"/>
    </w:rPr>
  </w:style>
  <w:style w:type="paragraph" w:styleId="Zoznam">
    <w:name w:val="List"/>
    <w:basedOn w:val="Telotextu"/>
    <w:pPr/>
    <w:rPr/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 w:customStyle="1">
    <w:name w:val="Index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</w:pPr>
    <w:rPr>
      <w:rFonts w:cs="Arial"/>
      <w:i/>
      <w:iCs/>
      <w:sz w:val="24"/>
      <w:szCs w:val="24"/>
    </w:rPr>
  </w:style>
  <w:style w:type="paragraph" w:styleId="Tl11ptTuniernaPodaokrajaVavo019cmRiadkova" w:customStyle="1">
    <w:name w:val="Štýl 11 pt Tučné Čierna Podľa okraja Vľavo:  019 cm Riadkova..."/>
    <w:uiPriority w:val="99"/>
    <w:qFormat/>
    <w:rsid w:val="00d71ffb"/>
    <w:pPr>
      <w:widowControl/>
      <w:bidi w:val="0"/>
      <w:spacing w:lineRule="auto" w:line="360"/>
      <w:jc w:val="both"/>
    </w:pPr>
    <w:rPr>
      <w:rFonts w:ascii="Arial" w:hAnsi="Arial" w:cs="Arial" w:eastAsia="Times New Roman"/>
      <w:color w:val="000000"/>
      <w:sz w:val="24"/>
      <w:szCs w:val="24"/>
      <w:lang w:eastAsia="cs-CZ" w:val="sk-SK" w:bidi="ar-SA"/>
    </w:rPr>
  </w:style>
  <w:style w:type="paragraph" w:styleId="TlPodaokrajaVavo019cmRiadkovanie15riadka" w:customStyle="1">
    <w:name w:val="Štýl Podľa okraja Vľavo:  019 cm Riadkovanie:  15 riadka"/>
    <w:basedOn w:val="Normal"/>
    <w:autoRedefine/>
    <w:uiPriority w:val="99"/>
    <w:qFormat/>
    <w:rsid w:val="00d71ffb"/>
    <w:pPr>
      <w:ind w:left="108" w:hanging="0"/>
    </w:pPr>
    <w:rPr/>
  </w:style>
  <w:style w:type="paragraph" w:styleId="Bododvodnenie" w:customStyle="1">
    <w:name w:val="Bod odôvodnenie"/>
    <w:uiPriority w:val="99"/>
    <w:qFormat/>
    <w:rsid w:val="00d440d5"/>
    <w:pPr>
      <w:widowControl/>
      <w:bidi w:val="0"/>
      <w:spacing w:before="120" w:after="120"/>
      <w:jc w:val="left"/>
    </w:pPr>
    <w:rPr>
      <w:rFonts w:ascii="Arial" w:hAnsi="Arial" w:cs="Arial" w:eastAsia="Times New Roman"/>
      <w:b/>
      <w:bCs/>
      <w:color w:val="00000A"/>
      <w:sz w:val="24"/>
      <w:szCs w:val="24"/>
      <w:lang w:eastAsia="cs-CZ" w:val="sk-SK" w:bidi="ar-SA"/>
    </w:rPr>
  </w:style>
  <w:style w:type="paragraph" w:styleId="TlArialPodaokraja" w:customStyle="1">
    <w:name w:val="Štýl Arial Podľa okraja"/>
    <w:autoRedefine/>
    <w:uiPriority w:val="99"/>
    <w:qFormat/>
    <w:rsid w:val="004337d2"/>
    <w:pPr>
      <w:widowControl/>
      <w:bidi w:val="0"/>
      <w:jc w:val="both"/>
    </w:pPr>
    <w:rPr>
      <w:rFonts w:ascii="Arial" w:hAnsi="Arial" w:cs="Arial" w:eastAsia="Times New Roman"/>
      <w:color w:val="00000A"/>
      <w:sz w:val="16"/>
      <w:szCs w:val="16"/>
      <w:lang w:eastAsia="cs-CZ" w:val="sk-SK" w:bidi="ar-SA"/>
    </w:rPr>
  </w:style>
  <w:style w:type="paragraph" w:styleId="Textpoznmky" w:customStyle="1">
    <w:name w:val="Text poznámky"/>
    <w:basedOn w:val="Normal"/>
    <w:autoRedefine/>
    <w:uiPriority w:val="99"/>
    <w:qFormat/>
    <w:rsid w:val="001f67e7"/>
    <w:pPr>
      <w:spacing w:lineRule="auto" w:line="240"/>
    </w:pPr>
    <w:rPr/>
  </w:style>
  <w:style w:type="paragraph" w:styleId="Pta">
    <w:name w:val="Footer"/>
    <w:basedOn w:val="Normal"/>
    <w:link w:val="PtaChar"/>
    <w:uiPriority w:val="99"/>
    <w:rsid w:val="0072048d"/>
    <w:pPr>
      <w:tabs>
        <w:tab w:val="center" w:pos="4536" w:leader="none"/>
        <w:tab w:val="right" w:pos="9072" w:leader="none"/>
      </w:tabs>
    </w:pPr>
    <w:rPr>
      <w:rFonts w:ascii="Arial" w:hAnsi="Arial" w:cs="Arial"/>
      <w:sz w:val="24"/>
      <w:szCs w:val="24"/>
    </w:rPr>
  </w:style>
  <w:style w:type="paragraph" w:styleId="Normlny1" w:customStyle="1">
    <w:name w:val="Normálny1"/>
    <w:uiPriority w:val="99"/>
    <w:qFormat/>
    <w:rsid w:val="00a40be6"/>
    <w:pPr>
      <w:widowControl/>
      <w:bidi w:val="0"/>
      <w:spacing w:lineRule="auto" w:line="360" w:before="120" w:after="120"/>
      <w:ind w:firstLine="709"/>
      <w:jc w:val="both"/>
    </w:pPr>
    <w:rPr>
      <w:rFonts w:ascii="Arial" w:hAnsi="Arial" w:cs="Arial" w:eastAsia="Times New Roman"/>
      <w:color w:val="00000A"/>
      <w:sz w:val="24"/>
      <w:szCs w:val="24"/>
      <w:lang w:eastAsia="cs-CZ" w:val="sk-SK" w:bidi="ar-SA"/>
    </w:rPr>
  </w:style>
  <w:style w:type="paragraph" w:styleId="Textopatrenia" w:customStyle="1">
    <w:name w:val="Text opatrenia"/>
    <w:qFormat/>
    <w:rsid w:val="00503a66"/>
    <w:pPr>
      <w:widowControl/>
      <w:bidi w:val="0"/>
      <w:spacing w:before="120" w:after="120"/>
      <w:jc w:val="both"/>
    </w:pPr>
    <w:rPr>
      <w:rFonts w:ascii="Arial Narrow" w:hAnsi="Arial Narrow" w:cs="Arial Narrow" w:eastAsia="Times New Roman"/>
      <w:color w:val="00000A"/>
      <w:sz w:val="20"/>
      <w:szCs w:val="22"/>
      <w:lang w:eastAsia="cs-CZ" w:val="sk-SK" w:bidi="ar-SA"/>
    </w:rPr>
  </w:style>
  <w:style w:type="paragraph" w:styleId="TopHeader" w:customStyle="1">
    <w:name w:val="Top Header"/>
    <w:basedOn w:val="Normal"/>
    <w:uiPriority w:val="99"/>
    <w:qFormat/>
    <w:rsid w:val="00322d87"/>
    <w:pPr>
      <w:spacing w:lineRule="auto" w:line="240" w:before="0" w:after="0"/>
      <w:jc w:val="center"/>
    </w:pPr>
    <w:rPr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99"/>
    <w:qFormat/>
    <w:rsid w:val="00497323"/>
    <w:pPr>
      <w:ind w:left="708" w:hanging="0"/>
    </w:pPr>
    <w:rPr/>
  </w:style>
  <w:style w:type="paragraph" w:styleId="Hlavika">
    <w:name w:val="Header"/>
    <w:basedOn w:val="Normal"/>
    <w:link w:val="HlavikaChar"/>
    <w:uiPriority w:val="99"/>
    <w:rsid w:val="00804636"/>
    <w:pPr>
      <w:tabs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xtbublinyChar"/>
    <w:uiPriority w:val="99"/>
    <w:semiHidden/>
    <w:qFormat/>
    <w:rsid w:val="001058f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Obsahtabuky" w:customStyle="1">
    <w:name w:val="Obsah tabuľky"/>
    <w:basedOn w:val="Normal"/>
    <w:qFormat/>
    <w:pPr/>
    <w:rPr/>
  </w:style>
  <w:style w:type="paragraph" w:styleId="Nadpistabuky" w:customStyle="1">
    <w:name w:val="Nadpis tabuľky"/>
    <w:basedOn w:val="Obsahtabuky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99"/>
    <w:rsid w:val="00db1285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Application>LibreOffice/5.3.4.2$Windows_x86 LibreOffice_project/f82d347ccc0be322489bf7da61d7e4ad13fe2ff3</Application>
  <Pages>17</Pages>
  <Words>3534</Words>
  <Characters>21313</Characters>
  <CharactersWithSpaces>24304</CharactersWithSpaces>
  <Paragraphs>648</Paragraphs>
  <Company>MF-SR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2018-03-26T09:24:00Z</dcterms:created>
  <dc:creator>Vlaďka</dc:creator>
  <dc:description/>
  <dc:language>sk-SK</dc:language>
  <cp:lastModifiedBy>Martin Johanes</cp:lastModifiedBy>
  <cp:lastPrinted>2014-01-20T21:18:00Z</cp:lastPrinted>
  <dcterms:modified xsi:type="dcterms:W3CDTF">2021-06-29T13:53:00Z</dcterms:modified>
  <cp:revision>343</cp:revision>
  <dc:subject/>
  <dc:title>Príloha č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