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B0D" w:rsidRDefault="00F25BEA">
      <w:pPr>
        <w:spacing w:after="878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 Všeobecné údaje o účtovnej jednotke</w:t>
      </w:r>
    </w:p>
    <w:p w:rsidR="00120B0D" w:rsidRDefault="00F25BEA">
      <w:pPr>
        <w:pStyle w:val="Nadpis1"/>
        <w:ind w:left="-5"/>
      </w:pPr>
      <w:r>
        <w:t>Čl. I (1) , (3) Všeobecné údaje</w:t>
      </w:r>
    </w:p>
    <w:p w:rsidR="00120B0D" w:rsidRDefault="00F25BEA">
      <w:pPr>
        <w:spacing w:after="386" w:line="261" w:lineRule="auto"/>
        <w:ind w:left="10" w:hanging="10"/>
      </w:pPr>
      <w:r>
        <w:rPr>
          <w:rFonts w:ascii="Arial" w:eastAsia="Arial" w:hAnsi="Arial" w:cs="Arial"/>
          <w:sz w:val="14"/>
        </w:rPr>
        <w:t xml:space="preserve">Účtovná </w:t>
      </w:r>
      <w:r w:rsidR="004D0F3E">
        <w:rPr>
          <w:rFonts w:ascii="Arial" w:eastAsia="Arial" w:hAnsi="Arial" w:cs="Arial"/>
          <w:sz w:val="14"/>
        </w:rPr>
        <w:t>závierka spoločnosti k 31.12.2020</w:t>
      </w:r>
      <w:r>
        <w:rPr>
          <w:rFonts w:ascii="Arial" w:eastAsia="Arial" w:hAnsi="Arial" w:cs="Arial"/>
          <w:sz w:val="14"/>
        </w:rPr>
        <w:t xml:space="preserve"> je zostavená ako riadna účtovná závierka podľa § 17 ods.6 zákona NR SR č.431/2002 Z.z. o účtovníctve , za </w:t>
      </w:r>
      <w:r w:rsidR="004D0F3E">
        <w:rPr>
          <w:rFonts w:ascii="Arial" w:eastAsia="Arial" w:hAnsi="Arial" w:cs="Arial"/>
          <w:sz w:val="14"/>
        </w:rPr>
        <w:t>účtovné obdobie od 1.januára 2020 do 31.decembra 2020</w:t>
      </w:r>
      <w:r w:rsidR="009E19ED">
        <w:rPr>
          <w:rFonts w:ascii="Arial" w:eastAsia="Arial" w:hAnsi="Arial" w:cs="Arial"/>
          <w:sz w:val="14"/>
        </w:rPr>
        <w:t>.</w:t>
      </w:r>
    </w:p>
    <w:p w:rsidR="00120B0D" w:rsidRPr="00324CEA" w:rsidRDefault="00F25BEA" w:rsidP="00324CEA">
      <w:pPr>
        <w:spacing w:after="0" w:line="261" w:lineRule="auto"/>
        <w:ind w:right="4504"/>
        <w:rPr>
          <w:rFonts w:ascii="Arial" w:eastAsia="Arial" w:hAnsi="Arial" w:cs="Arial"/>
          <w:b/>
          <w:sz w:val="14"/>
        </w:rPr>
      </w:pPr>
      <w:r>
        <w:rPr>
          <w:rFonts w:ascii="Arial" w:eastAsia="Arial" w:hAnsi="Arial" w:cs="Arial"/>
          <w:sz w:val="14"/>
        </w:rPr>
        <w:t>Čl. I (1) Obchodné meno účtovnej jednotky:</w:t>
      </w:r>
      <w:r w:rsidR="00B61B3D">
        <w:rPr>
          <w:rFonts w:ascii="Arial" w:eastAsia="Arial" w:hAnsi="Arial" w:cs="Arial"/>
          <w:sz w:val="14"/>
        </w:rPr>
        <w:tab/>
      </w:r>
      <w:r w:rsidR="00B61B3D">
        <w:rPr>
          <w:rFonts w:ascii="Arial" w:eastAsia="Arial" w:hAnsi="Arial" w:cs="Arial"/>
          <w:sz w:val="14"/>
        </w:rPr>
        <w:tab/>
      </w:r>
      <w:r w:rsidR="00B61B3D" w:rsidRPr="00324CEA">
        <w:rPr>
          <w:rFonts w:ascii="Arial" w:eastAsia="Arial" w:hAnsi="Arial" w:cs="Arial"/>
          <w:b/>
          <w:sz w:val="14"/>
        </w:rPr>
        <w:t>Zdravotná podprsenka spol. s r.o.</w:t>
      </w:r>
    </w:p>
    <w:p w:rsidR="00324CEA" w:rsidRDefault="00324CEA" w:rsidP="00324CEA">
      <w:pPr>
        <w:spacing w:after="0" w:line="261" w:lineRule="auto"/>
        <w:ind w:right="4504"/>
      </w:pPr>
    </w:p>
    <w:p w:rsidR="00120B0D" w:rsidRDefault="00F25BEA" w:rsidP="00324CEA">
      <w:pPr>
        <w:spacing w:after="0" w:line="261" w:lineRule="auto"/>
        <w:ind w:left="2124" w:right="2803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>Sídlo:</w:t>
      </w:r>
      <w:r w:rsidR="00B61B3D">
        <w:rPr>
          <w:rFonts w:ascii="Arial" w:eastAsia="Arial" w:hAnsi="Arial" w:cs="Arial"/>
          <w:sz w:val="14"/>
        </w:rPr>
        <w:tab/>
      </w:r>
      <w:r w:rsidR="00B61B3D">
        <w:rPr>
          <w:rFonts w:ascii="Arial" w:eastAsia="Arial" w:hAnsi="Arial" w:cs="Arial"/>
          <w:sz w:val="14"/>
        </w:rPr>
        <w:tab/>
        <w:t>Kempelenova 7, 841 04 Bratislava-mestská časť Karlova Ves</w:t>
      </w:r>
    </w:p>
    <w:p w:rsidR="00324CEA" w:rsidRDefault="00324CEA" w:rsidP="00324CEA">
      <w:pPr>
        <w:spacing w:after="0" w:line="261" w:lineRule="auto"/>
        <w:ind w:left="2124" w:right="2803"/>
      </w:pPr>
    </w:p>
    <w:p w:rsidR="00120B0D" w:rsidRDefault="00F25BEA" w:rsidP="00B61B3D">
      <w:pPr>
        <w:spacing w:after="337" w:line="261" w:lineRule="auto"/>
        <w:ind w:right="7062"/>
      </w:pPr>
      <w:r>
        <w:rPr>
          <w:rFonts w:ascii="Arial" w:eastAsia="Arial" w:hAnsi="Arial" w:cs="Arial"/>
          <w:sz w:val="14"/>
        </w:rPr>
        <w:t xml:space="preserve"> Čl. I (3) Priemerný počet zamestnancov:</w:t>
      </w:r>
      <w:r w:rsidR="00B61B3D">
        <w:rPr>
          <w:rFonts w:ascii="Arial" w:eastAsia="Arial" w:hAnsi="Arial" w:cs="Arial"/>
          <w:sz w:val="14"/>
        </w:rPr>
        <w:tab/>
      </w:r>
      <w:r w:rsidR="00B61B3D">
        <w:rPr>
          <w:rFonts w:ascii="Arial" w:eastAsia="Arial" w:hAnsi="Arial" w:cs="Arial"/>
          <w:sz w:val="14"/>
        </w:rPr>
        <w:tab/>
        <w:t>0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 (2) Údaje o konsolidovanom celku</w:t>
      </w:r>
    </w:p>
    <w:p w:rsidR="00120B0D" w:rsidRDefault="00F25BEA" w:rsidP="00324CEA">
      <w:pPr>
        <w:spacing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324CEA" w:rsidRDefault="00324CEA" w:rsidP="00324CEA">
      <w:pPr>
        <w:spacing w:line="250" w:lineRule="auto"/>
        <w:ind w:left="-5" w:hanging="10"/>
        <w:rPr>
          <w:rFonts w:ascii="Arial" w:eastAsia="Arial" w:hAnsi="Arial" w:cs="Arial"/>
          <w:b/>
          <w:sz w:val="24"/>
        </w:rPr>
      </w:pPr>
    </w:p>
    <w:p w:rsidR="00120B0D" w:rsidRDefault="00F25BEA">
      <w:pPr>
        <w:spacing w:after="878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 Informácie o prijatých postupoch</w:t>
      </w:r>
    </w:p>
    <w:p w:rsidR="00120B0D" w:rsidRDefault="00F25BEA">
      <w:pPr>
        <w:pStyle w:val="Nadpis1"/>
        <w:spacing w:after="298"/>
        <w:ind w:left="-5"/>
      </w:pPr>
      <w:r>
        <w:t>Čl. II (1) Nepretržité pokračovanie účtovnej jednotky</w:t>
      </w:r>
    </w:p>
    <w:p w:rsidR="00120B0D" w:rsidRDefault="00F25BEA">
      <w:pPr>
        <w:spacing w:after="311" w:line="261" w:lineRule="auto"/>
        <w:ind w:left="10" w:hanging="10"/>
      </w:pPr>
      <w:r>
        <w:rPr>
          <w:rFonts w:ascii="Arial" w:eastAsia="Arial" w:hAnsi="Arial" w:cs="Arial"/>
          <w:sz w:val="14"/>
        </w:rPr>
        <w:t>Čl. II (1) Účtovná uzávierka je zostavená za splnenie predpokladu, že účtovná jednotka bude nepretržite pokračovať vo svojej činnosti:</w:t>
      </w:r>
    </w:p>
    <w:p w:rsidR="00120B0D" w:rsidRDefault="00F25BEA">
      <w:pPr>
        <w:tabs>
          <w:tab w:val="center" w:pos="784"/>
          <w:tab w:val="center" w:pos="2262"/>
        </w:tabs>
        <w:spacing w:after="303" w:line="261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8879" name="Group 8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0097" name="Shape 10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8" name="Shape 10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a="http://schemas.openxmlformats.org/drawingml/2006/main">
            <w:pict>
              <v:group id="Group 8879" style="width:9.75pt;height:9.75pt;mso-position-horizontal-relative:char;mso-position-vertical-relative:line" coordsize="1238,1238">
                <v:shape id="Shape 1009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010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5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Áno</w:t>
      </w:r>
      <w:r>
        <w:rPr>
          <w:rFonts w:ascii="Arial" w:eastAsia="Arial" w:hAnsi="Arial" w:cs="Arial"/>
          <w:sz w:val="14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8880" name="Group 88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0101" name="Shape 1010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2" name="Shape 1010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a="http://schemas.openxmlformats.org/drawingml/2006/main">
            <w:pict>
              <v:group id="Group 8880" style="width:9.75pt;height:9.75pt;mso-position-horizontal-relative:char;mso-position-vertical-relative:line" coordsize="1238,1238">
                <v:shape id="Shape 1010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010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 xml:space="preserve"> Nie</w:t>
      </w:r>
    </w:p>
    <w:p w:rsidR="00324CEA" w:rsidRDefault="00324CEA">
      <w:pPr>
        <w:pStyle w:val="Nadpis1"/>
        <w:spacing w:after="298"/>
        <w:ind w:left="-5"/>
      </w:pPr>
    </w:p>
    <w:p w:rsidR="00120B0D" w:rsidRDefault="00F25BEA">
      <w:pPr>
        <w:pStyle w:val="Nadpis1"/>
        <w:spacing w:after="298"/>
        <w:ind w:left="-5"/>
      </w:pPr>
      <w:r>
        <w:t>Čl. II (2) Spôsob oceňovania jednotlivých položiek majetku a záväzkov</w:t>
      </w:r>
    </w:p>
    <w:p w:rsidR="00120B0D" w:rsidRDefault="00F25BEA">
      <w:pPr>
        <w:spacing w:after="173" w:line="261" w:lineRule="auto"/>
        <w:ind w:left="10" w:hanging="10"/>
      </w:pPr>
      <w:r>
        <w:rPr>
          <w:rFonts w:ascii="Arial" w:eastAsia="Arial" w:hAnsi="Arial" w:cs="Arial"/>
          <w:sz w:val="14"/>
        </w:rP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120B0D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7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66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67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Poznámka k oceneniu</w:t>
            </w:r>
          </w:p>
        </w:tc>
      </w:tr>
      <w:tr w:rsidR="00120B0D">
        <w:trPr>
          <w:trHeight w:val="476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účtovná jednotka neúčtovala o dlhodobom nehmotnom majetku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  <w:tr w:rsidR="00120B0D">
        <w:trPr>
          <w:trHeight w:val="461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bookmarkStart w:id="0" w:name="_Hlk517985417"/>
            <w:r>
              <w:rPr>
                <w:rFonts w:ascii="Arial" w:eastAsia="Arial" w:hAnsi="Arial" w:cs="Arial"/>
                <w:sz w:val="14"/>
              </w:rPr>
              <w:t>OC vrátane nákladov súvisiacich s obstaraním</w:t>
            </w:r>
            <w:bookmarkEnd w:id="0"/>
          </w:p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324C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324CEA">
            <w:r>
              <w:rPr>
                <w:rFonts w:ascii="Arial" w:eastAsia="Arial" w:hAnsi="Arial" w:cs="Arial"/>
                <w:sz w:val="14"/>
              </w:rPr>
              <w:t>OC vrátane nákladov súvisiacich s obstaraním</w:t>
            </w:r>
          </w:p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  <w:tr w:rsidR="00120B0D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11"/>
            </w:pPr>
            <w:r>
              <w:rPr>
                <w:rFonts w:ascii="Arial" w:eastAsia="Arial" w:hAnsi="Arial" w:cs="Arial"/>
                <w:sz w:val="14"/>
              </w:rPr>
              <w:t>účtovná jednotka nemá náplň pre túto položku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</w:tr>
    </w:tbl>
    <w:p w:rsidR="00120B0D" w:rsidRDefault="00F25BEA">
      <w:pPr>
        <w:pStyle w:val="Nadpis1"/>
        <w:spacing w:after="313"/>
        <w:ind w:left="-5"/>
      </w:pPr>
      <w:r>
        <w:t>Čl. II (2) Spôsob oceňovania jednotlivých položiek majetku a záväzkov (účtovanie a úbytok zásob)</w:t>
      </w:r>
    </w:p>
    <w:p w:rsidR="00324CEA" w:rsidRDefault="00F25BEA" w:rsidP="00324CEA">
      <w:pPr>
        <w:spacing w:after="864" w:line="261" w:lineRule="auto"/>
        <w:ind w:left="10" w:hanging="10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>Čl. II (2) Spôsob oceňovania jednotlivých položiek majetku a záväzkov (účtovanie a úbytok zásob</w:t>
      </w:r>
      <w:r w:rsidR="00324CEA">
        <w:rPr>
          <w:rFonts w:ascii="Arial" w:eastAsia="Arial" w:hAnsi="Arial" w:cs="Arial"/>
          <w:sz w:val="14"/>
        </w:rPr>
        <w:t>)</w:t>
      </w:r>
    </w:p>
    <w:p w:rsidR="00120B0D" w:rsidRDefault="00F25BEA" w:rsidP="00324C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lastRenderedPageBreak/>
        <w:t>Pri účtovaní zásob postupovala účtovná jednotka podľa § 43 postupov účtovania v PÚ:</w:t>
      </w:r>
    </w:p>
    <w:p w:rsidR="00120B0D" w:rsidRDefault="00F25BEA">
      <w:pPr>
        <w:spacing w:after="287" w:line="537" w:lineRule="auto"/>
        <w:ind w:left="615" w:right="7578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8615" name="Group 86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0105" name="Shape 10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6" name="Shape 10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8" name="Shape 308"/>
                        <wps:cNvSpPr/>
                        <wps:spPr>
                          <a:xfrm>
                            <a:off x="27517" y="256118"/>
                            <a:ext cx="68791" cy="68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5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7" name="Shape 10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8" name="Shape 10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7DBCB820" id="Group 8615" o:spid="_x0000_s1026" style="position:absolute;margin-left:30.25pt;margin-top:-.95pt;width:9.75pt;height:27.75pt;z-index:251642880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">
                <v:shape id="Shape 10105" o:spid="_x0000_s1027" style="position:absolute;top:228600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06" o:spid="_x0000_s1028" style="position:absolute;left:9525;top:2381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308" o:spid="_x0000_s1029" style="position:absolute;left:27517;top:256118;width:68791;height:68790;visibility:visible;mso-wrap-style:square;v-text-anchor:top" coordsize="68791,687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" path="m68791,r,27515l27516,68790,,41275,,13757,27516,41275,68791,xe" fillcolor="black" stroked="f" strokeweight="0">
                  <v:stroke miterlimit="83231f" joinstyle="miter"/>
                  <v:path arrowok="t" textboxrect="0,0,68791,68790"/>
                </v:shape>
                <v:shape id="Shape 10107" o:spid="_x0000_s1030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08" o:spid="_x0000_s1031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rPr>
          <w:rFonts w:ascii="Arial" w:eastAsia="Arial" w:hAnsi="Arial" w:cs="Arial"/>
          <w:sz w:val="14"/>
        </w:rPr>
        <w:t>spôsobom A účtovania zásob spôsobom B účtovania zásob</w:t>
      </w:r>
    </w:p>
    <w:p w:rsidR="00120B0D" w:rsidRDefault="00076D7E">
      <w:pPr>
        <w:spacing w:after="402" w:line="261" w:lineRule="auto"/>
        <w:ind w:left="10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346909</wp:posOffset>
                </wp:positionH>
                <wp:positionV relativeFrom="paragraph">
                  <wp:posOffset>365193</wp:posOffset>
                </wp:positionV>
                <wp:extent cx="133985" cy="612775"/>
                <wp:effectExtent l="0" t="0" r="0" b="0"/>
                <wp:wrapSquare wrapText="bothSides"/>
                <wp:docPr id="8614" name="Group 86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85" cy="612775"/>
                          <a:chOff x="0" y="0"/>
                          <a:chExt cx="123825" cy="608457"/>
                        </a:xfrm>
                      </wpg:grpSpPr>
                      <wps:wsp>
                        <wps:cNvPr id="10113" name="Shape 1011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4" name="Shape 1011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5" name="Shape 1011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6" name="Shape 1011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" name="Shape 300"/>
                        <wps:cNvSpPr/>
                        <wps:spPr>
                          <a:xfrm>
                            <a:off x="27517" y="2561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7" name="Shape 1011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8" name="Shape 1011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7E87C3A1" id="Group 8614" o:spid="_x0000_s1026" style="position:absolute;margin-left:27.3pt;margin-top:28.75pt;width:10.55pt;height:48.25pt;z-index:251643904;mso-width-relative:margin;mso-height-relative:margin" coordsize="1238,60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">
                <v:shape id="Shape 10113" o:spid="_x0000_s1027" style="position:absolute;top:484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14" o:spid="_x0000_s1028" style="position:absolute;left:95;top:494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0115" o:spid="_x0000_s1029" style="position:absolute;top:2286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16" o:spid="_x0000_s1030" style="position:absolute;left:95;top:23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300" o:spid="_x0000_s1031" style="position:absolute;left:275;top:2561;width:688;height:688;visibility:visible;mso-wrap-style:square;v-text-anchor:top" coordsize="68791,687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" path="m68791,r,27516l27516,68791,,41275,,13758,27516,41275,68791,xe" fillcolor="black" stroked="f" strokeweight="0">
                  <v:stroke miterlimit="83231f" joinstyle="miter"/>
                  <v:path arrowok="t" textboxrect="0,0,68791,68791"/>
                </v:shape>
                <v:shape id="Shape 10117" o:spid="_x0000_s1032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18" o:spid="_x0000_s1033" style="position:absolute;left:95;top:9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 w:rsidR="00F25BEA">
        <w:rPr>
          <w:rFonts w:ascii="Arial" w:eastAsia="Arial" w:hAnsi="Arial" w:cs="Arial"/>
          <w:sz w:val="14"/>
        </w:rPr>
        <w:t>Úbytok zásob rovnakého druhu účtovná jednotka oceňovala:</w:t>
      </w:r>
    </w:p>
    <w:p w:rsidR="00076D7E" w:rsidRDefault="009E19ED" w:rsidP="00076D7E">
      <w:pPr>
        <w:spacing w:after="0" w:line="569" w:lineRule="auto"/>
        <w:ind w:left="615" w:right="3663" w:hanging="10"/>
        <w:rPr>
          <w:rFonts w:ascii="Arial" w:eastAsia="Arial" w:hAnsi="Arial" w:cs="Arial"/>
          <w:sz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790B7F" wp14:editId="64BAED90">
                <wp:simplePos x="0" y="0"/>
                <wp:positionH relativeFrom="column">
                  <wp:posOffset>351584</wp:posOffset>
                </wp:positionH>
                <wp:positionV relativeFrom="paragraph">
                  <wp:posOffset>236749</wp:posOffset>
                </wp:positionV>
                <wp:extent cx="113372" cy="105519"/>
                <wp:effectExtent l="0" t="0" r="0" b="0"/>
                <wp:wrapNone/>
                <wp:docPr id="3" name="Shape 10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72" cy="1055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4775" h="104775">
                              <a:moveTo>
                                <a:pt x="0" y="0"/>
                              </a:moveTo>
                              <a:lnTo>
                                <a:pt x="104775" y="0"/>
                              </a:lnTo>
                              <a:lnTo>
                                <a:pt x="104775" y="104775"/>
                              </a:lnTo>
                              <a:lnTo>
                                <a:pt x="0" y="104775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2B011E5C" id="Shape 10114" o:spid="_x0000_s1026" style="position:absolute;margin-left:27.7pt;margin-top:18.65pt;width:8.95pt;height:8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4775,1047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" path="m,l104775,r,104775l,104775,,e" stroked="f" strokeweight="0">
                <v:stroke miterlimit="83231f" joinstyle="miter"/>
                <v:path arrowok="t" textboxrect="0,0,104775,104775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BD7D55" wp14:editId="217DF5FB">
                <wp:simplePos x="0" y="0"/>
                <wp:positionH relativeFrom="column">
                  <wp:posOffset>377120</wp:posOffset>
                </wp:positionH>
                <wp:positionV relativeFrom="paragraph">
                  <wp:posOffset>25887</wp:posOffset>
                </wp:positionV>
                <wp:extent cx="74435" cy="69279"/>
                <wp:effectExtent l="0" t="0" r="0" b="0"/>
                <wp:wrapNone/>
                <wp:docPr id="1" name="Shape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435" cy="692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791" h="68791">
                              <a:moveTo>
                                <a:pt x="68791" y="0"/>
                              </a:moveTo>
                              <a:lnTo>
                                <a:pt x="68791" y="27516"/>
                              </a:lnTo>
                              <a:lnTo>
                                <a:pt x="27516" y="68791"/>
                              </a:lnTo>
                              <a:lnTo>
                                <a:pt x="0" y="41275"/>
                              </a:lnTo>
                              <a:lnTo>
                                <a:pt x="0" y="13758"/>
                              </a:lnTo>
                              <a:lnTo>
                                <a:pt x="27516" y="41275"/>
                              </a:lnTo>
                              <a:lnTo>
                                <a:pt x="6879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 w14:anchorId="657EB9DE" id="Shape 300" o:spid="_x0000_s1026" style="position:absolute;margin-left:29.7pt;margin-top:2.05pt;width:5.85pt;height:5.4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8791,68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" path="m68791,r,27516l27516,68791,,41275,,13758,27516,41275,68791,xe" fillcolor="black" stroked="f" strokeweight="0">
                <v:stroke miterlimit="83231f" joinstyle="miter"/>
                <v:path arrowok="t" textboxrect="0,0,68791,68791"/>
              </v:shape>
            </w:pict>
          </mc:Fallback>
        </mc:AlternateContent>
      </w:r>
      <w:r w:rsidR="00F25BEA">
        <w:rPr>
          <w:rFonts w:ascii="Arial" w:eastAsia="Arial" w:hAnsi="Arial" w:cs="Arial"/>
          <w:sz w:val="14"/>
        </w:rPr>
        <w:t xml:space="preserve">váženým aritmetickým priemerom z obstarávacích cien alebo vlastných nákladov </w:t>
      </w:r>
    </w:p>
    <w:p w:rsidR="00076D7E" w:rsidRPr="00076D7E" w:rsidRDefault="00F25BEA" w:rsidP="00076D7E">
      <w:pPr>
        <w:spacing w:after="0" w:line="569" w:lineRule="auto"/>
        <w:ind w:left="615" w:right="3086" w:hanging="10"/>
        <w:rPr>
          <w:rFonts w:ascii="Arial" w:eastAsia="Arial" w:hAnsi="Arial" w:cs="Arial"/>
          <w:sz w:val="14"/>
        </w:rPr>
      </w:pPr>
      <w:r>
        <w:rPr>
          <w:rFonts w:ascii="Arial" w:eastAsia="Arial" w:hAnsi="Arial" w:cs="Arial"/>
          <w:sz w:val="14"/>
        </w:rPr>
        <w:t xml:space="preserve">metódou FIFO </w:t>
      </w:r>
      <w:r w:rsidR="00076D7E" w:rsidRPr="00076D7E">
        <w:rPr>
          <w:rFonts w:ascii="Arial" w:eastAsia="Arial" w:hAnsi="Arial" w:cs="Arial"/>
          <w:sz w:val="14"/>
        </w:rPr>
        <w:t xml:space="preserve">(1. </w:t>
      </w:r>
      <w:r w:rsidRPr="00076D7E">
        <w:rPr>
          <w:rFonts w:ascii="Arial" w:eastAsia="Arial" w:hAnsi="Arial" w:cs="Arial"/>
          <w:sz w:val="14"/>
        </w:rPr>
        <w:t xml:space="preserve">cena na ocenenie prírastku zásob sa použila ako 1. cena na ocenenie úbytku zásob) </w:t>
      </w:r>
    </w:p>
    <w:p w:rsidR="00120B0D" w:rsidRDefault="00F25BEA" w:rsidP="00076D7E">
      <w:pPr>
        <w:pStyle w:val="Odsekzoznamu"/>
        <w:spacing w:after="0" w:line="569" w:lineRule="auto"/>
        <w:ind w:left="965" w:right="3663"/>
      </w:pPr>
      <w:r w:rsidRPr="00076D7E">
        <w:rPr>
          <w:rFonts w:ascii="Arial" w:eastAsia="Arial" w:hAnsi="Arial" w:cs="Arial"/>
          <w:sz w:val="14"/>
        </w:rPr>
        <w:t>iným spôsobom:</w:t>
      </w:r>
    </w:p>
    <w:p w:rsidR="00120B0D" w:rsidRDefault="00F25BEA">
      <w:pPr>
        <w:pStyle w:val="Nadpis1"/>
        <w:spacing w:after="298"/>
        <w:ind w:left="-5"/>
      </w:pPr>
      <w:r>
        <w:t>Čl. II (3) Spôsob zostavenia odpisového plánu pre jednotlivé druhy dlhodobého majetku</w:t>
      </w:r>
    </w:p>
    <w:p w:rsidR="0005480A" w:rsidRDefault="0005480A" w:rsidP="0005480A">
      <w:pPr>
        <w:spacing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05480A" w:rsidRPr="0005480A" w:rsidRDefault="0005480A" w:rsidP="0005480A"/>
    <w:p w:rsidR="00120B0D" w:rsidRDefault="0005480A">
      <w:pPr>
        <w:spacing w:after="199" w:line="261" w:lineRule="auto"/>
        <w:ind w:left="10" w:hanging="10"/>
      </w:pPr>
      <w:r>
        <w:rPr>
          <w:rFonts w:ascii="Arial" w:eastAsia="Arial" w:hAnsi="Arial" w:cs="Arial"/>
          <w:noProof/>
          <w:sz w:val="1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-1089</wp:posOffset>
                </wp:positionH>
                <wp:positionV relativeFrom="paragraph">
                  <wp:posOffset>234406</wp:posOffset>
                </wp:positionV>
                <wp:extent cx="123825" cy="940253"/>
                <wp:effectExtent l="0" t="0" r="9525" b="0"/>
                <wp:wrapSquare wrapText="bothSides"/>
                <wp:docPr id="2" name="Skupina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940253"/>
                          <a:chOff x="0" y="0"/>
                          <a:chExt cx="123825" cy="940253"/>
                        </a:xfrm>
                      </wpg:grpSpPr>
                      <wps:wsp>
                        <wps:cNvPr id="10125" name="Shape 101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6" name="Shape 10126"/>
                        <wps:cNvSpPr/>
                        <wps:spPr>
                          <a:xfrm>
                            <a:off x="8165" y="8164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7" name="Shape 10127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8" name="Shape 10128"/>
                        <wps:cNvSpPr/>
                        <wps:spPr>
                          <a:xfrm>
                            <a:off x="8165" y="465364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9" name="Shape 10129"/>
                        <wps:cNvSpPr/>
                        <wps:spPr>
                          <a:xfrm>
                            <a:off x="0" y="81642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0" name="Shape 10130"/>
                        <wps:cNvSpPr/>
                        <wps:spPr>
                          <a:xfrm>
                            <a:off x="8165" y="82459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64B808CA" id="Skupina 2" o:spid="_x0000_s1026" style="position:absolute;margin-left:-.1pt;margin-top:18.45pt;width:9.75pt;height:74.05pt;z-index:251659264" coordsize="1238,94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">
                <v:shape id="Shape 1012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26" o:spid="_x0000_s1028" style="position:absolute;left:81;top:81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0127" o:spid="_x0000_s1029" style="position:absolute;top:4572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28" o:spid="_x0000_s1030" style="position:absolute;left:81;top:4653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0129" o:spid="_x0000_s1031" style="position:absolute;top:816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0130" o:spid="_x0000_s1032" style="position:absolute;left:81;top:8245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 w:rsidR="00F25BEA">
        <w:rPr>
          <w:rFonts w:ascii="Arial" w:eastAsia="Arial" w:hAnsi="Arial" w:cs="Arial"/>
          <w:sz w:val="14"/>
        </w:rPr>
        <w:t>Čl. II (3) Spôsob zostavenia odpisového plánu pre jednotlivé druhy dlhodobého majetku</w:t>
      </w:r>
    </w:p>
    <w:p w:rsidR="00120B0D" w:rsidRDefault="00F25BEA">
      <w:pPr>
        <w:spacing w:after="209" w:line="261" w:lineRule="auto"/>
        <w:ind w:left="2540" w:hanging="2540"/>
      </w:pPr>
      <w:r>
        <w:rPr>
          <w:rFonts w:ascii="Arial" w:eastAsia="Arial" w:hAnsi="Arial" w:cs="Arial"/>
          <w:sz w:val="14"/>
        </w:rPr>
        <w:t>Dlhodobý nehmotný majetok:</w:t>
      </w:r>
      <w:r>
        <w:rPr>
          <w:rFonts w:ascii="Arial" w:eastAsia="Arial" w:hAnsi="Arial" w:cs="Arial"/>
          <w:sz w:val="14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120B0D" w:rsidRDefault="00F25BEA">
      <w:pPr>
        <w:tabs>
          <w:tab w:val="center" w:pos="1054"/>
          <w:tab w:val="center" w:pos="6543"/>
        </w:tabs>
        <w:spacing w:after="0"/>
      </w:pPr>
      <w:r>
        <w:tab/>
      </w:r>
      <w:r>
        <w:rPr>
          <w:rFonts w:ascii="Arial" w:eastAsia="Arial" w:hAnsi="Arial" w:cs="Arial"/>
          <w:sz w:val="14"/>
        </w:rPr>
        <w:t>Dlhodobý hmotný majetok:</w:t>
      </w:r>
      <w:r>
        <w:rPr>
          <w:rFonts w:ascii="Arial" w:eastAsia="Arial" w:hAnsi="Arial" w:cs="Arial"/>
          <w:sz w:val="14"/>
        </w:rPr>
        <w:tab/>
        <w:t>odpisový plán účtovných odpisov sa zostavil interným predpisom, v ktorom sa vychádzalo z predpokladaného opotrebenia</w:t>
      </w:r>
    </w:p>
    <w:p w:rsidR="00120B0D" w:rsidRDefault="00F25BEA">
      <w:pPr>
        <w:spacing w:after="211"/>
        <w:ind w:right="638"/>
        <w:jc w:val="right"/>
      </w:pPr>
      <w:r>
        <w:rPr>
          <w:rFonts w:ascii="Arial" w:eastAsia="Arial" w:hAnsi="Arial" w:cs="Arial"/>
          <w:sz w:val="14"/>
        </w:rPr>
        <w:t>zaraďovaného majetku zodpovedajúceho bežným podmienkam jeho používania. Účtovné a daňové odpisy sa nerovnajú.</w:t>
      </w:r>
    </w:p>
    <w:p w:rsidR="00120B0D" w:rsidRDefault="00F25BEA">
      <w:pPr>
        <w:spacing w:after="198" w:line="261" w:lineRule="auto"/>
        <w:ind w:left="2540" w:hanging="2540"/>
      </w:pPr>
      <w:r>
        <w:rPr>
          <w:rFonts w:ascii="Arial" w:eastAsia="Arial" w:hAnsi="Arial" w:cs="Arial"/>
          <w:sz w:val="14"/>
        </w:rPr>
        <w:t>Dlhodobý hmotný majetok:</w:t>
      </w:r>
      <w:r>
        <w:rPr>
          <w:rFonts w:ascii="Arial" w:eastAsia="Arial" w:hAnsi="Arial" w:cs="Arial"/>
          <w:sz w:val="14"/>
        </w:rP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120B0D" w:rsidRDefault="00F25BEA">
      <w:pPr>
        <w:spacing w:after="0" w:line="261" w:lineRule="auto"/>
        <w:ind w:left="10" w:hanging="10"/>
      </w:pPr>
      <w:r>
        <w:rPr>
          <w:rFonts w:ascii="Arial" w:eastAsia="Arial" w:hAnsi="Arial" w:cs="Arial"/>
          <w:sz w:val="14"/>
        </w:rP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3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3918"/>
        <w:gridCol w:w="579"/>
        <w:gridCol w:w="1788"/>
        <w:gridCol w:w="2367"/>
        <w:gridCol w:w="2366"/>
      </w:tblGrid>
      <w:tr w:rsidR="00120B0D">
        <w:trPr>
          <w:trHeight w:val="338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115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Druh majetku</w:t>
            </w:r>
          </w:p>
        </w:tc>
        <w:tc>
          <w:tcPr>
            <w:tcW w:w="5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120B0D" w:rsidRDefault="00120B0D"/>
        </w:tc>
        <w:tc>
          <w:tcPr>
            <w:tcW w:w="178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111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Sadzba odpisov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112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Odpisová metóda</w:t>
            </w:r>
          </w:p>
        </w:tc>
      </w:tr>
      <w:tr w:rsidR="00120B0D">
        <w:trPr>
          <w:trHeight w:val="360"/>
        </w:trPr>
        <w:tc>
          <w:tcPr>
            <w:tcW w:w="39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>
            <w:pPr>
              <w:ind w:left="45"/>
            </w:pPr>
          </w:p>
        </w:tc>
        <w:tc>
          <w:tcPr>
            <w:tcW w:w="5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20B0D" w:rsidRDefault="00120B0D">
            <w:pPr>
              <w:ind w:left="56"/>
            </w:pPr>
          </w:p>
        </w:tc>
        <w:tc>
          <w:tcPr>
            <w:tcW w:w="178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120B0D" w:rsidRDefault="00120B0D"/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>
            <w:pPr>
              <w:ind w:left="56"/>
            </w:pPr>
          </w:p>
        </w:tc>
        <w:tc>
          <w:tcPr>
            <w:tcW w:w="23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>
            <w:pPr>
              <w:ind w:left="56"/>
            </w:pPr>
          </w:p>
        </w:tc>
      </w:tr>
    </w:tbl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 (4) Zmeny účtovných zásad a zmeny účtovných metód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 (5) Informácie o dotáciách a ich ocenenie v účtovníctve</w:t>
      </w:r>
    </w:p>
    <w:p w:rsidR="00120B0D" w:rsidRDefault="004D0F3E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získala dotáciu z Ministerstva Hospodárstva SR v rámci schválenej schémy štátnej pomoici na podporu ekonomiky v súvislosti s vypuknutím ochoreni COVID-19 – Dotácia na nájomné SA, vo výške 253,43 EUR.</w:t>
      </w:r>
      <w:bookmarkStart w:id="1" w:name="_GoBack"/>
      <w:bookmarkEnd w:id="1"/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 (6) Informácie o oprave významných chýb minulých účtovných období účtovaných v bežnom účtovnom období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 (6) Informácie o oprave nevýznamných chýb minulých účtovných období účtovaných v bežnom účtovnom období</w:t>
      </w:r>
    </w:p>
    <w:p w:rsidR="00120B0D" w:rsidRDefault="00F25BEA">
      <w:pPr>
        <w:spacing w:after="864" w:line="261" w:lineRule="auto"/>
        <w:ind w:left="10" w:hanging="10"/>
      </w:pPr>
      <w:bookmarkStart w:id="2" w:name="_Hlk517985543"/>
      <w:r>
        <w:rPr>
          <w:rFonts w:ascii="Arial" w:eastAsia="Arial" w:hAnsi="Arial" w:cs="Arial"/>
          <w:sz w:val="14"/>
        </w:rPr>
        <w:t>Účtovná jednotka nemá náplň pre túto položku</w:t>
      </w:r>
      <w:bookmarkEnd w:id="2"/>
      <w:r>
        <w:rPr>
          <w:rFonts w:ascii="Arial" w:eastAsia="Arial" w:hAnsi="Arial" w:cs="Arial"/>
          <w:sz w:val="14"/>
        </w:rPr>
        <w:t>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lastRenderedPageBreak/>
        <w:t>Čl. III Informácie, ktoré vysvetľujú a dopĺňajú súvahu a výkaz ziskov a strát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(1) Náklady/výnosy, ktoré majú výnimočný rozsah alebo výskyt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pStyle w:val="Nadpis1"/>
        <w:ind w:left="-5"/>
      </w:pPr>
      <w:r>
        <w:t>Čl. III (2) a) Celková suma záväzkov so zostatkovou dobou splatnosti dlhšou ako 5 rokov</w:t>
      </w:r>
    </w:p>
    <w:p w:rsidR="00324CEA" w:rsidRDefault="00324CEA">
      <w:pPr>
        <w:spacing w:after="73" w:line="261" w:lineRule="auto"/>
        <w:ind w:left="10" w:hanging="10"/>
        <w:rPr>
          <w:rFonts w:ascii="Arial" w:eastAsia="Arial" w:hAnsi="Arial" w:cs="Arial"/>
          <w:sz w:val="14"/>
        </w:rPr>
      </w:pPr>
      <w:r w:rsidRPr="00324CEA">
        <w:rPr>
          <w:rFonts w:ascii="Arial" w:eastAsia="Arial" w:hAnsi="Arial" w:cs="Arial"/>
          <w:sz w:val="14"/>
        </w:rPr>
        <w:t xml:space="preserve">Účtovná jednotka nemá náplň pre túto položku </w:t>
      </w:r>
    </w:p>
    <w:p w:rsidR="00120B0D" w:rsidRDefault="00F25BEA">
      <w:pPr>
        <w:spacing w:after="73" w:line="261" w:lineRule="auto"/>
        <w:ind w:left="10" w:hanging="10"/>
      </w:pPr>
      <w:r>
        <w:rPr>
          <w:rFonts w:ascii="Arial" w:eastAsia="Arial" w:hAnsi="Arial" w:cs="Arial"/>
          <w:sz w:val="14"/>
        </w:rPr>
        <w:t>ČL. III (2) a) Celková suma záväzkov so zostatkovou dobou splatnosti dlhšou ako 5 rokov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120B0D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Celková hodnota</w:t>
            </w:r>
          </w:p>
        </w:tc>
      </w:tr>
      <w:tr w:rsidR="00120B0D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r>
              <w:rPr>
                <w:rFonts w:ascii="Arial" w:eastAsia="Arial" w:hAnsi="Arial" w:cs="Arial"/>
                <w:sz w:val="14"/>
              </w:rPr>
              <w:t>Záväzky so zostatkovou dobou splatnosti nad päť rokov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324CEA">
            <w:pPr>
              <w:jc w:val="right"/>
            </w:pPr>
            <w:r>
              <w:rPr>
                <w:rFonts w:ascii="Arial" w:eastAsia="Arial" w:hAnsi="Arial" w:cs="Arial"/>
                <w:sz w:val="14"/>
              </w:rPr>
              <w:t>0</w:t>
            </w:r>
          </w:p>
        </w:tc>
      </w:tr>
    </w:tbl>
    <w:p w:rsidR="00120B0D" w:rsidRDefault="00F25BEA">
      <w:pPr>
        <w:pStyle w:val="Nadpis1"/>
        <w:spacing w:after="312"/>
        <w:ind w:left="-5"/>
      </w:pPr>
      <w:r>
        <w:t>Čl. III (2) b) Celková suma zabezpečených záväzkov</w:t>
      </w:r>
    </w:p>
    <w:p w:rsidR="00324CEA" w:rsidRDefault="00324CEA" w:rsidP="00324CEA">
      <w:pPr>
        <w:spacing w:after="73" w:line="261" w:lineRule="auto"/>
        <w:ind w:left="10" w:hanging="10"/>
        <w:rPr>
          <w:rFonts w:ascii="Arial" w:eastAsia="Arial" w:hAnsi="Arial" w:cs="Arial"/>
          <w:sz w:val="14"/>
        </w:rPr>
      </w:pPr>
      <w:r w:rsidRPr="00324CEA">
        <w:rPr>
          <w:rFonts w:ascii="Arial" w:eastAsia="Arial" w:hAnsi="Arial" w:cs="Arial"/>
          <w:sz w:val="14"/>
        </w:rPr>
        <w:t xml:space="preserve">Účtovná jednotka nemá náplň pre túto položku </w:t>
      </w:r>
    </w:p>
    <w:p w:rsidR="00324CEA" w:rsidRPr="00324CEA" w:rsidRDefault="00324CEA" w:rsidP="00324CEA"/>
    <w:p w:rsidR="00120B0D" w:rsidRDefault="00F25BEA">
      <w:pPr>
        <w:spacing w:after="73" w:line="261" w:lineRule="auto"/>
        <w:ind w:left="10" w:hanging="10"/>
      </w:pPr>
      <w:r>
        <w:rPr>
          <w:rFonts w:ascii="Arial" w:eastAsia="Arial" w:hAnsi="Arial" w:cs="Arial"/>
          <w:sz w:val="14"/>
        </w:rPr>
        <w:t>Čl. III (2) b) Celková suma zabezpečených záväzkov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598"/>
        <w:gridCol w:w="473"/>
        <w:gridCol w:w="2071"/>
      </w:tblGrid>
      <w:tr w:rsidR="00120B0D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45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Opis zabezpečeného záväzku</w:t>
            </w:r>
          </w:p>
        </w:tc>
        <w:tc>
          <w:tcPr>
            <w:tcW w:w="159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120B0D" w:rsidRDefault="00F25BEA">
            <w:pPr>
              <w:ind w:left="750"/>
            </w:pPr>
            <w:r>
              <w:rPr>
                <w:rFonts w:ascii="Arial" w:eastAsia="Arial" w:hAnsi="Arial" w:cs="Arial"/>
                <w:b/>
                <w:sz w:val="14"/>
              </w:rPr>
              <w:t>Hodnota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120B0D" w:rsidRDefault="00120B0D"/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120B0D" w:rsidRDefault="00F25BEA">
            <w:pPr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Spôsob zabezpečenia</w:t>
            </w:r>
          </w:p>
        </w:tc>
      </w:tr>
      <w:tr w:rsidR="00120B0D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>
            <w:pPr>
              <w:ind w:left="45"/>
            </w:pPr>
          </w:p>
        </w:tc>
        <w:tc>
          <w:tcPr>
            <w:tcW w:w="159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20B0D" w:rsidRDefault="00120B0D"/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jc w:val="both"/>
            </w:pPr>
            <w:r>
              <w:rPr>
                <w:rFonts w:ascii="Arial" w:eastAsia="Arial" w:hAnsi="Arial" w:cs="Arial"/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120B0D">
            <w:pPr>
              <w:ind w:left="56"/>
            </w:pPr>
          </w:p>
        </w:tc>
      </w:tr>
      <w:tr w:rsidR="00120B0D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45"/>
            </w:pPr>
            <w:r>
              <w:rPr>
                <w:rFonts w:ascii="Arial" w:eastAsia="Arial" w:hAnsi="Arial" w:cs="Arial"/>
                <w:b/>
                <w:sz w:val="14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120B0D" w:rsidRDefault="00120B0D"/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0B0D" w:rsidRDefault="00F25BEA">
            <w:pPr>
              <w:ind w:left="56"/>
            </w:pPr>
            <w:r>
              <w:rPr>
                <w:rFonts w:ascii="Arial" w:eastAsia="Arial" w:hAnsi="Arial" w:cs="Arial"/>
                <w:b/>
                <w:sz w:val="14"/>
              </w:rPr>
              <w:t xml:space="preserve">             x</w:t>
            </w:r>
          </w:p>
        </w:tc>
      </w:tr>
    </w:tbl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(3) a) Dôvod nadobudnutia vlastných akcií počas účtovného obdobia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(3) b) 1. Nadobudnuté vlastné akcie/prevedené vlastné akcie počas účtovného obdobia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(3) b) 2. Nadobudnuté vlastné akcie/prevedené vlastné akcie počas účtovného obdobia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(3) c) Nadobudnuté vlastné akcie v držbe účtovnej jednotky k poslednému dňu účtovného obdobia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(4) a) Výška jednotlivých druhov záruk alebo iných zabezpečení poskytnutých pre členov orgánov spoločnosti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lastRenderedPageBreak/>
        <w:t>Čl. III (4) b) Informácie o pôžičkách poskytnutých členom orgánov spoločnosti k poslednému dňu účtovného obdobia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(4) c) Informácie o hlavných podmienkach, na základe ktorých boli členom orgánov spoločnosti záruky alebo iné zabezpečenia a pôžičky poskytnuté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(4) d) Informácie o celkovej sume použitých finančných prostriedkov alebo iného plnenia na súkromné účely členmi orgánov spoločnosti, ktoré sa vyúčtovávajú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a) Informácie o celkovej sume finančných povinností, ktoré sa nevykazujú v súvahe, ale sú významné na posúdenie finančnej situácie účtovnej jednotky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b) 1. Informácie o celkovej sume významných podmienených záväzkov – možná povinnosť, ktorá vznikla ako dôsledok minulej udalosti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b) 2. Informácie o celkovej sume významných podmienených záväzkov – existujúca povinnosť, ktorá vznikla ako dôsledok minulej udalosti, ale ktorá sa nevykazuje v súvahe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c) Opis významných finančných povinností a významných podmienených záväzkov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d) Informácie o celkovej sume významných finančných povinností a významných podmienených záväzkov voči dcérskej účt. jednotke a účt. jednotke s podstatným vplyvom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t>Čl. III (5) e) Opis významných povinností účtovnej jednotky vyplývajúcich z dôchodkových programov pre zamestnancov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spacing w:after="125" w:line="250" w:lineRule="auto"/>
        <w:ind w:left="-5" w:hanging="10"/>
      </w:pPr>
      <w:r>
        <w:rPr>
          <w:rFonts w:ascii="Arial" w:eastAsia="Arial" w:hAnsi="Arial" w:cs="Arial"/>
          <w:b/>
          <w:sz w:val="24"/>
        </w:rPr>
        <w:lastRenderedPageBreak/>
        <w:t>Čl. III (6) Informácie o udelení výlučného práva alebo osobitného práva, ktorým sa udelilo právo poskytovať služby vo verejnom záujme a iných zároveň vykonávajúcich činnostiach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p w:rsidR="00120B0D" w:rsidRDefault="00F25BEA">
      <w:pPr>
        <w:pStyle w:val="Nadpis1"/>
        <w:ind w:left="-5"/>
      </w:pPr>
      <w:r>
        <w:t>Miesto pre ďalšie záznamy</w:t>
      </w:r>
    </w:p>
    <w:p w:rsidR="00120B0D" w:rsidRDefault="00F25BEA">
      <w:pPr>
        <w:spacing w:after="864" w:line="261" w:lineRule="auto"/>
        <w:ind w:left="10" w:hanging="10"/>
      </w:pPr>
      <w:r>
        <w:rPr>
          <w:rFonts w:ascii="Arial" w:eastAsia="Arial" w:hAnsi="Arial" w:cs="Arial"/>
          <w:sz w:val="14"/>
        </w:rPr>
        <w:t>Účtovná jednotka nemá náplň pre túto položku.</w:t>
      </w:r>
    </w:p>
    <w:sectPr w:rsidR="00120B0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51" w:right="441" w:bottom="1077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EFD" w:rsidRDefault="00385EFD">
      <w:pPr>
        <w:spacing w:after="0" w:line="240" w:lineRule="auto"/>
      </w:pPr>
      <w:r>
        <w:separator/>
      </w:r>
    </w:p>
  </w:endnote>
  <w:endnote w:type="continuationSeparator" w:id="0">
    <w:p w:rsidR="00385EFD" w:rsidRDefault="00385E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0D" w:rsidRDefault="00F25BEA">
    <w:pPr>
      <w:spacing w:after="0"/>
      <w:ind w:left="8236"/>
    </w:pPr>
    <w:r>
      <w:rPr>
        <w:rFonts w:ascii="Arial" w:eastAsia="Arial" w:hAnsi="Arial" w:cs="Arial"/>
        <w:sz w:val="16"/>
      </w:rPr>
      <w:t xml:space="preserve">Strana: </w:t>
    </w:r>
    <w:r>
      <w:rPr>
        <w:rFonts w:ascii="Arial" w:eastAsia="Arial" w:hAnsi="Arial" w:cs="Arial"/>
        <w:sz w:val="16"/>
      </w:rPr>
      <w:fldChar w:fldCharType="begin"/>
    </w:r>
    <w:r>
      <w:rPr>
        <w:rFonts w:ascii="Arial" w:eastAsia="Arial" w:hAnsi="Arial" w:cs="Arial"/>
        <w:sz w:val="16"/>
      </w:rPr>
      <w:instrText xml:space="preserve"> PAGE   \* MERGEFORMAT </w:instrText>
    </w:r>
    <w:r>
      <w:rPr>
        <w:rFonts w:ascii="Arial" w:eastAsia="Arial" w:hAnsi="Arial" w:cs="Arial"/>
        <w:sz w:val="16"/>
      </w:rP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  <w:p w:rsidR="00120B0D" w:rsidRDefault="00F25BEA">
    <w:pPr>
      <w:spacing w:after="0"/>
      <w:ind w:left="1442"/>
    </w:pPr>
    <w:r>
      <w:rPr>
        <w:rFonts w:ascii="Arial" w:eastAsia="Arial" w:hAnsi="Arial" w:cs="Arial"/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0D" w:rsidRDefault="00F25BEA">
    <w:pPr>
      <w:spacing w:after="0"/>
      <w:ind w:left="8236"/>
    </w:pPr>
    <w:r>
      <w:rPr>
        <w:rFonts w:ascii="Arial" w:eastAsia="Arial" w:hAnsi="Arial" w:cs="Arial"/>
        <w:sz w:val="16"/>
      </w:rPr>
      <w:t xml:space="preserve">Strana: </w:t>
    </w:r>
    <w:r>
      <w:rPr>
        <w:rFonts w:ascii="Arial" w:eastAsia="Arial" w:hAnsi="Arial" w:cs="Arial"/>
        <w:sz w:val="16"/>
      </w:rPr>
      <w:fldChar w:fldCharType="begin"/>
    </w:r>
    <w:r>
      <w:rPr>
        <w:rFonts w:ascii="Arial" w:eastAsia="Arial" w:hAnsi="Arial" w:cs="Arial"/>
        <w:sz w:val="16"/>
      </w:rPr>
      <w:instrText xml:space="preserve"> PAGE   \* MERGEFORMAT </w:instrText>
    </w:r>
    <w:r>
      <w:rPr>
        <w:rFonts w:ascii="Arial" w:eastAsia="Arial" w:hAnsi="Arial" w:cs="Arial"/>
        <w:sz w:val="16"/>
      </w:rPr>
      <w:fldChar w:fldCharType="separate"/>
    </w:r>
    <w:r w:rsidR="004D0F3E">
      <w:rPr>
        <w:rFonts w:ascii="Arial" w:eastAsia="Arial" w:hAnsi="Arial" w:cs="Arial"/>
        <w:noProof/>
        <w:sz w:val="16"/>
      </w:rPr>
      <w:t>2</w:t>
    </w:r>
    <w:r>
      <w:rPr>
        <w:rFonts w:ascii="Arial" w:eastAsia="Arial" w:hAnsi="Arial" w:cs="Arial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0D" w:rsidRDefault="00F25BEA">
    <w:pPr>
      <w:spacing w:after="0"/>
      <w:ind w:left="8236"/>
    </w:pPr>
    <w:r>
      <w:rPr>
        <w:rFonts w:ascii="Arial" w:eastAsia="Arial" w:hAnsi="Arial" w:cs="Arial"/>
        <w:sz w:val="16"/>
      </w:rPr>
      <w:t xml:space="preserve">Strana: </w:t>
    </w:r>
    <w:r>
      <w:rPr>
        <w:rFonts w:ascii="Arial" w:eastAsia="Arial" w:hAnsi="Arial" w:cs="Arial"/>
        <w:sz w:val="16"/>
      </w:rPr>
      <w:fldChar w:fldCharType="begin"/>
    </w:r>
    <w:r>
      <w:rPr>
        <w:rFonts w:ascii="Arial" w:eastAsia="Arial" w:hAnsi="Arial" w:cs="Arial"/>
        <w:sz w:val="16"/>
      </w:rPr>
      <w:instrText xml:space="preserve"> PAGE   \* MERGEFORMAT </w:instrText>
    </w:r>
    <w:r>
      <w:rPr>
        <w:rFonts w:ascii="Arial" w:eastAsia="Arial" w:hAnsi="Arial" w:cs="Arial"/>
        <w:sz w:val="16"/>
      </w:rPr>
      <w:fldChar w:fldCharType="separate"/>
    </w:r>
    <w:r>
      <w:rPr>
        <w:rFonts w:ascii="Arial" w:eastAsia="Arial" w:hAnsi="Arial" w:cs="Arial"/>
        <w:sz w:val="16"/>
      </w:rPr>
      <w:t>1</w:t>
    </w:r>
    <w:r>
      <w:rPr>
        <w:rFonts w:ascii="Arial" w:eastAsia="Arial" w:hAnsi="Arial" w:cs="Arial"/>
        <w:sz w:val="16"/>
      </w:rPr>
      <w:fldChar w:fldCharType="end"/>
    </w:r>
  </w:p>
  <w:p w:rsidR="00120B0D" w:rsidRDefault="00F25BEA">
    <w:pPr>
      <w:spacing w:after="0"/>
      <w:ind w:left="1442"/>
    </w:pPr>
    <w:r>
      <w:rPr>
        <w:rFonts w:ascii="Arial" w:eastAsia="Arial" w:hAnsi="Arial" w:cs="Arial"/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EFD" w:rsidRDefault="00385EFD">
      <w:pPr>
        <w:spacing w:after="0" w:line="240" w:lineRule="auto"/>
      </w:pPr>
      <w:r>
        <w:separator/>
      </w:r>
    </w:p>
  </w:footnote>
  <w:footnote w:type="continuationSeparator" w:id="0">
    <w:p w:rsidR="00385EFD" w:rsidRDefault="00385E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20B0D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r>
            <w:rPr>
              <w:rFonts w:ascii="Arial" w:eastAsia="Arial" w:hAnsi="Arial" w:cs="Arial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120B0D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20B0D" w:rsidRDefault="00F25BEA">
          <w:pPr>
            <w:jc w:val="center"/>
          </w:pPr>
          <w:r>
            <w:rPr>
              <w:rFonts w:ascii="Arial" w:eastAsia="Arial" w:hAnsi="Arial" w:cs="Arial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</w:tr>
  </w:tbl>
  <w:p w:rsidR="00120B0D" w:rsidRDefault="00F25BEA">
    <w:pPr>
      <w:spacing w:after="0"/>
      <w:ind w:left="8"/>
      <w:jc w:val="center"/>
    </w:pPr>
    <w:r>
      <w:rPr>
        <w:rFonts w:ascii="Arial" w:eastAsia="Arial" w:hAnsi="Arial" w:cs="Arial"/>
        <w:sz w:val="14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20B0D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r>
            <w:rPr>
              <w:rFonts w:ascii="Arial" w:eastAsia="Arial" w:hAnsi="Arial" w:cs="Arial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10"/>
      <w:gridCol w:w="215"/>
      <w:gridCol w:w="215"/>
      <w:gridCol w:w="215"/>
      <w:gridCol w:w="216"/>
      <w:gridCol w:w="216"/>
      <w:gridCol w:w="216"/>
      <w:gridCol w:w="216"/>
      <w:gridCol w:w="584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B61B3D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 w:rsidP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>
            <w:rPr>
              <w:rFonts w:ascii="Arial" w:eastAsia="Arial" w:hAnsi="Arial" w:cs="Arial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Pr="00B61B3D" w:rsidRDefault="00B61B3D">
          <w:pPr>
            <w:ind w:left="8"/>
            <w:jc w:val="both"/>
            <w:rPr>
              <w:rFonts w:ascii="Arial" w:eastAsia="Arial" w:hAnsi="Arial" w:cs="Arial"/>
              <w:sz w:val="14"/>
            </w:rPr>
          </w:pPr>
          <w:r w:rsidRPr="00B61B3D">
            <w:rPr>
              <w:rFonts w:ascii="Arial" w:eastAsia="Arial" w:hAnsi="Arial" w:cs="Arial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20B0D" w:rsidRDefault="00F25BEA">
          <w:pPr>
            <w:jc w:val="center"/>
          </w:pPr>
          <w:r>
            <w:rPr>
              <w:rFonts w:ascii="Arial" w:eastAsia="Arial" w:hAnsi="Arial" w:cs="Arial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B61B3D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5</w:t>
          </w:r>
        </w:p>
      </w:tc>
    </w:tr>
  </w:tbl>
  <w:p w:rsidR="00120B0D" w:rsidRDefault="00F25BEA">
    <w:pPr>
      <w:spacing w:after="0"/>
      <w:ind w:left="8"/>
      <w:jc w:val="center"/>
    </w:pPr>
    <w:r>
      <w:rPr>
        <w:rFonts w:ascii="Arial" w:eastAsia="Arial" w:hAnsi="Arial" w:cs="Arial"/>
        <w:sz w:val="14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20B0D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r>
            <w:rPr>
              <w:rFonts w:ascii="Arial" w:eastAsia="Arial" w:hAnsi="Arial" w:cs="Arial"/>
              <w:sz w:val="14"/>
            </w:rP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120B0D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1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120B0D" w:rsidRDefault="00F25BEA">
          <w:pPr>
            <w:jc w:val="center"/>
          </w:pPr>
          <w:r>
            <w:rPr>
              <w:rFonts w:ascii="Arial" w:eastAsia="Arial" w:hAnsi="Arial" w:cs="Arial"/>
              <w:sz w:val="14"/>
            </w:rP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120B0D" w:rsidRDefault="00F25BEA">
          <w:pPr>
            <w:ind w:left="8"/>
            <w:jc w:val="both"/>
          </w:pPr>
          <w:r>
            <w:rPr>
              <w:rFonts w:ascii="Arial" w:eastAsia="Arial" w:hAnsi="Arial" w:cs="Arial"/>
              <w:sz w:val="14"/>
            </w:rPr>
            <w:t>4</w:t>
          </w:r>
        </w:p>
      </w:tc>
    </w:tr>
  </w:tbl>
  <w:p w:rsidR="00120B0D" w:rsidRDefault="00F25BEA">
    <w:pPr>
      <w:spacing w:after="0"/>
      <w:ind w:left="8"/>
      <w:jc w:val="center"/>
    </w:pPr>
    <w:r>
      <w:rPr>
        <w:rFonts w:ascii="Arial" w:eastAsia="Arial" w:hAnsi="Arial" w:cs="Arial"/>
        <w:sz w:val="1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F228EB"/>
    <w:multiLevelType w:val="hybridMultilevel"/>
    <w:tmpl w:val="E91C8B70"/>
    <w:lvl w:ilvl="0" w:tplc="AC7825EA">
      <w:start w:val="1"/>
      <w:numFmt w:val="decimal"/>
      <w:lvlText w:val="(%1."/>
      <w:lvlJc w:val="left"/>
      <w:pPr>
        <w:ind w:left="9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5" w:hanging="360"/>
      </w:pPr>
    </w:lvl>
    <w:lvl w:ilvl="2" w:tplc="041B001B" w:tentative="1">
      <w:start w:val="1"/>
      <w:numFmt w:val="lowerRoman"/>
      <w:lvlText w:val="%3."/>
      <w:lvlJc w:val="right"/>
      <w:pPr>
        <w:ind w:left="2405" w:hanging="180"/>
      </w:pPr>
    </w:lvl>
    <w:lvl w:ilvl="3" w:tplc="041B000F" w:tentative="1">
      <w:start w:val="1"/>
      <w:numFmt w:val="decimal"/>
      <w:lvlText w:val="%4."/>
      <w:lvlJc w:val="left"/>
      <w:pPr>
        <w:ind w:left="3125" w:hanging="360"/>
      </w:pPr>
    </w:lvl>
    <w:lvl w:ilvl="4" w:tplc="041B0019" w:tentative="1">
      <w:start w:val="1"/>
      <w:numFmt w:val="lowerLetter"/>
      <w:lvlText w:val="%5."/>
      <w:lvlJc w:val="left"/>
      <w:pPr>
        <w:ind w:left="3845" w:hanging="360"/>
      </w:pPr>
    </w:lvl>
    <w:lvl w:ilvl="5" w:tplc="041B001B" w:tentative="1">
      <w:start w:val="1"/>
      <w:numFmt w:val="lowerRoman"/>
      <w:lvlText w:val="%6."/>
      <w:lvlJc w:val="right"/>
      <w:pPr>
        <w:ind w:left="4565" w:hanging="180"/>
      </w:pPr>
    </w:lvl>
    <w:lvl w:ilvl="6" w:tplc="041B000F" w:tentative="1">
      <w:start w:val="1"/>
      <w:numFmt w:val="decimal"/>
      <w:lvlText w:val="%7."/>
      <w:lvlJc w:val="left"/>
      <w:pPr>
        <w:ind w:left="5285" w:hanging="360"/>
      </w:pPr>
    </w:lvl>
    <w:lvl w:ilvl="7" w:tplc="041B0019" w:tentative="1">
      <w:start w:val="1"/>
      <w:numFmt w:val="lowerLetter"/>
      <w:lvlText w:val="%8."/>
      <w:lvlJc w:val="left"/>
      <w:pPr>
        <w:ind w:left="6005" w:hanging="360"/>
      </w:pPr>
    </w:lvl>
    <w:lvl w:ilvl="8" w:tplc="041B001B" w:tentative="1">
      <w:start w:val="1"/>
      <w:numFmt w:val="lowerRoman"/>
      <w:lvlText w:val="%9."/>
      <w:lvlJc w:val="right"/>
      <w:pPr>
        <w:ind w:left="67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B0D"/>
    <w:rsid w:val="0005480A"/>
    <w:rsid w:val="00076D7E"/>
    <w:rsid w:val="00120B0D"/>
    <w:rsid w:val="001C7D90"/>
    <w:rsid w:val="00324CEA"/>
    <w:rsid w:val="00385EFD"/>
    <w:rsid w:val="004D0F3E"/>
    <w:rsid w:val="009446D5"/>
    <w:rsid w:val="009E19ED"/>
    <w:rsid w:val="00A44D05"/>
    <w:rsid w:val="00B61B3D"/>
    <w:rsid w:val="00B6300F"/>
    <w:rsid w:val="00F25BEA"/>
    <w:rsid w:val="00F32306"/>
    <w:rsid w:val="00FA6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93291"/>
  <w15:docId w15:val="{C5ADE834-7476-408B-B0A8-96F94E7A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25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76D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1105</Words>
  <Characters>6300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cp:lastModifiedBy>peter lieskovsky</cp:lastModifiedBy>
  <cp:revision>2</cp:revision>
  <dcterms:created xsi:type="dcterms:W3CDTF">2021-06-28T18:46:00Z</dcterms:created>
  <dcterms:modified xsi:type="dcterms:W3CDTF">2021-06-28T18:46:00Z</dcterms:modified>
</cp:coreProperties>
</file>