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  <w:bookmarkStart w:id="0" w:name="page1"/>
      <w:bookmarkStart w:id="1" w:name="page1"/>
      <w:bookmarkEnd w:id="1"/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384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/>
        <w:ind w:right="-13" w:hanging="0"/>
        <w:jc w:val="center"/>
        <w:rPr>
          <w:rFonts w:ascii="Arial" w:hAnsi="Arial" w:eastAsia="Arial" w:cs="Arial"/>
          <w:b/>
          <w:b/>
          <w:sz w:val="28"/>
        </w:rPr>
      </w:pPr>
      <w:r>
        <w:rPr>
          <w:rFonts w:eastAsia="Arial" w:cs="Arial" w:ascii="Arial" w:hAnsi="Arial"/>
          <w:b/>
          <w:sz w:val="28"/>
        </w:rPr>
        <w:t>Účtovná závierka</w:t>
      </w:r>
    </w:p>
    <w:p>
      <w:pPr>
        <w:pStyle w:val="Normal"/>
        <w:spacing w:lineRule="auto" w:line="235"/>
        <w:ind w:right="-13" w:hanging="0"/>
        <w:jc w:val="center"/>
        <w:rPr>
          <w:rFonts w:ascii="Arial" w:hAnsi="Arial" w:eastAsia="Arial" w:cs="Arial"/>
          <w:b/>
          <w:b/>
          <w:sz w:val="28"/>
        </w:rPr>
      </w:pPr>
      <w:r>
        <w:rPr>
          <w:rFonts w:eastAsia="Arial" w:cs="Arial" w:ascii="Arial" w:hAnsi="Arial"/>
          <w:b/>
          <w:sz w:val="28"/>
        </w:rPr>
        <w:t>spoločnosti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86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adpis1"/>
        <w:spacing w:lineRule="auto"/>
        <w:ind w:right="-13" w:hanging="0"/>
        <w:jc w:val="center"/>
        <w:rPr>
          <w:rFonts w:ascii="Arial" w:hAnsi="Arial" w:eastAsia="Arial" w:cs="Arial"/>
          <w:b/>
          <w:b/>
          <w:sz w:val="42"/>
        </w:rPr>
      </w:pPr>
      <w:r>
        <w:rPr>
          <w:rFonts w:eastAsia="Arial" w:cs="Arial" w:ascii="Arial" w:hAnsi="Arial"/>
          <w:b/>
          <w:sz w:val="42"/>
        </w:rPr>
        <w:t xml:space="preserve">MM Agentúra s. r. o. </w:t>
      </w:r>
    </w:p>
    <w:p>
      <w:pPr>
        <w:pStyle w:val="Normal"/>
        <w:spacing w:lineRule="auto"/>
        <w:ind w:right="-13" w:hanging="0"/>
        <w:jc w:val="center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exact" w:line="357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sectPr>
          <w:type w:val="nextPage"/>
          <w:pgSz w:w="11906" w:h="16838"/>
          <w:pgMar w:left="1440" w:right="1440" w:header="0" w:top="1440" w:footer="0" w:bottom="1440" w:gutter="0"/>
          <w:pgNumType w:fmt="decimal"/>
          <w:formProt w:val="false"/>
          <w:textDirection w:val="lrTb"/>
          <w:docGrid w:type="default" w:linePitch="360" w:charSpace="0"/>
        </w:sectPr>
        <w:pStyle w:val="Normal"/>
        <w:spacing w:lineRule="auto"/>
        <w:ind w:right="-13" w:hanging="0"/>
        <w:jc w:val="center"/>
        <w:rPr>
          <w:rFonts w:ascii="Arial" w:hAnsi="Arial" w:eastAsia="Arial" w:cs="Arial"/>
          <w:b/>
          <w:b/>
          <w:sz w:val="28"/>
        </w:rPr>
      </w:pPr>
      <w:r>
        <w:rPr>
          <w:rFonts w:eastAsia="Arial" w:cs="Arial" w:ascii="Arial" w:hAnsi="Arial"/>
          <w:b/>
          <w:sz w:val="28"/>
        </w:rPr>
        <w:t>k 31. decembru 2020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28"/>
        </w:rPr>
      </w:pPr>
      <w:r>
        <w:rPr>
          <w:rFonts w:eastAsia="Times New Roman" w:cs="Times New Roman" w:ascii="Times New Roman" w:hAnsi="Times New Roman"/>
          <w:b/>
          <w:sz w:val="28"/>
        </w:rPr>
      </w:r>
      <w:bookmarkStart w:id="2" w:name="page2"/>
      <w:bookmarkStart w:id="3" w:name="page2"/>
      <w:bookmarkEnd w:id="3"/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ÚVODNÉ POZNÁMKY</w:t>
      </w:r>
    </w:p>
    <w:p>
      <w:pPr>
        <w:pStyle w:val="Normal"/>
        <w:spacing w:lineRule="exact" w:line="199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</w:rPr>
      </w:pPr>
      <w:r>
        <w:rPr>
          <w:rFonts w:eastAsia="Arial" w:cs="Arial" w:ascii="Arial" w:hAnsi="Arial"/>
          <w:b/>
        </w:rPr>
        <w:t>Účtovná závierka</w:t>
      </w:r>
    </w:p>
    <w:p>
      <w:pPr>
        <w:pStyle w:val="Normal"/>
        <w:spacing w:lineRule="exact" w:line="210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numPr>
          <w:ilvl w:val="0"/>
          <w:numId w:val="1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5"/>
        </w:rPr>
      </w:pPr>
      <w:r>
        <w:rPr>
          <w:rFonts w:eastAsia="Arial" w:cs="Arial" w:ascii="Arial" w:hAnsi="Arial"/>
          <w:b/>
          <w:sz w:val="15"/>
        </w:rPr>
        <w:t>Účtovná závierka bola zostavená spoločnosťou  MM Agentúra s.r.o., aby demonštrovala právne predpisy pre zostavenie</w:t>
      </w:r>
    </w:p>
    <w:p>
      <w:pPr>
        <w:pStyle w:val="Normal"/>
        <w:spacing w:lineRule="exact" w:line="32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spacing w:lineRule="auto" w:line="232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účtovnej závierky k 31. decembru 2020, najmä pre zostavenie poznámok, účinné k 31. decembru 2020. Účtovnú závierku k 31.12.2020 sme zostavovali podľa právnych predpisov účinných k 31.12.2020.</w:t>
      </w:r>
    </w:p>
    <w:p>
      <w:pPr>
        <w:pStyle w:val="Normal"/>
        <w:spacing w:lineRule="exact" w:line="202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2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Účtovná závierka podnikateľov má tri súčasti – súvahu, výkaz ziskov a strát a poznámky.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12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ÚČTOVNEJ JEDNOTKE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3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Založenie spoločnosti</w:t>
      </w:r>
    </w:p>
    <w:p>
      <w:pPr>
        <w:pStyle w:val="Normal"/>
        <w:spacing w:lineRule="exact" w:line="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52"/>
        <w:ind w:left="425" w:hanging="0"/>
        <w:rPr/>
      </w:pPr>
      <w:r>
        <w:rPr>
          <w:rFonts w:eastAsia="Arial" w:cs="Arial" w:ascii="Arial" w:hAnsi="Arial"/>
          <w:b/>
          <w:sz w:val="17"/>
        </w:rPr>
        <w:t xml:space="preserve">Spoločnosť  MM Agentúra s.r.o., (ďalej len Spoločnosť), bola založená 18.06.2004 do obchodného registra bola zapísaná 16. októbra 2015  (Obchodný register Okresného súdu </w:t>
      </w:r>
      <w:r>
        <w:rPr>
          <w:rFonts w:eastAsia="Arial" w:cs="Arial" w:ascii="Arial" w:hAnsi="Arial"/>
          <w:b/>
          <w:color w:val="auto"/>
          <w:sz w:val="17"/>
          <w:szCs w:val="20"/>
          <w:lang w:val="en-US"/>
        </w:rPr>
        <w:t>Bratislava</w:t>
      </w:r>
      <w:r>
        <w:rPr>
          <w:rFonts w:eastAsia="Arial" w:cs="Arial" w:ascii="Arial" w:hAnsi="Arial"/>
          <w:b/>
          <w:sz w:val="17"/>
        </w:rPr>
        <w:t xml:space="preserve"> I, oddiel s.r.o., Vložka číslo:  106873/B ).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7"/>
        </w:rPr>
      </w:pPr>
      <w:r>
        <w:rPr>
          <w:rFonts w:eastAsia="Arial" w:cs="Arial" w:ascii="Arial" w:hAnsi="Arial"/>
          <w:b/>
          <w:sz w:val="17"/>
        </w:rPr>
        <w:t xml:space="preserve">Hlavnou činnosťami Spoločnosti sú služby </w:t>
      </w:r>
      <w:r>
        <w:rPr>
          <w:rFonts w:eastAsia="Arial" w:cs="Arial" w:ascii="Arial" w:hAnsi="Arial"/>
          <w:b/>
          <w:sz w:val="17"/>
        </w:rPr>
        <w:t>sprostredkovania marketingových služieb a</w:t>
      </w:r>
      <w:r>
        <w:rPr>
          <w:rFonts w:eastAsia="Arial" w:cs="Arial" w:ascii="Arial" w:hAnsi="Arial"/>
          <w:b/>
          <w:sz w:val="17"/>
        </w:rPr>
        <w:t xml:space="preserve"> </w:t>
      </w:r>
      <w:r>
        <w:rPr>
          <w:rFonts w:eastAsia="Arial" w:cs="Arial" w:ascii="Arial" w:hAnsi="Arial"/>
          <w:b/>
          <w:sz w:val="17"/>
          <w:lang w:val="en-US"/>
        </w:rPr>
        <w:t>pren</w:t>
      </w:r>
      <w:r>
        <w:rPr>
          <w:rFonts w:eastAsia="Arial" w:cs="Arial" w:ascii="Arial" w:hAnsi="Arial"/>
          <w:b/>
          <w:sz w:val="17"/>
          <w:lang w:val="sk-SK"/>
        </w:rPr>
        <w:t>ájmu automobilov.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p>
      <w:pPr>
        <w:pStyle w:val="Normal"/>
        <w:spacing w:lineRule="exact" w:line="208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4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Počet zamestnancov</w:t>
      </w:r>
    </w:p>
    <w:p>
      <w:pPr>
        <w:pStyle w:val="Normal"/>
        <w:spacing w:lineRule="auto" w:line="228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Údaje o počte zamestnancov za bežné účtovné obdobie a bezprostredne predchádzajúce účtovné obdobie</w:t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525" w:leader="none"/>
        </w:tabs>
        <w:spacing w:lineRule="auto" w:line="235"/>
        <w:ind w:left="525" w:hanging="98"/>
        <w:rPr/>
      </w:pPr>
      <w:r>
        <w:rPr>
          <w:rFonts w:eastAsia="Arial" w:cs="Arial" w:ascii="Arial" w:hAnsi="Arial"/>
          <w:b/>
          <w:sz w:val="18"/>
        </w:rPr>
        <w:t xml:space="preserve">k 31.12.2020 spoločnosť zamestnávala </w:t>
      </w:r>
      <w:r>
        <w:rPr>
          <w:rFonts w:eastAsia="Arial" w:cs="Arial" w:ascii="Arial" w:hAnsi="Arial"/>
          <w:b/>
          <w:color w:val="auto"/>
          <w:sz w:val="18"/>
          <w:szCs w:val="20"/>
          <w:lang w:val="en-US"/>
        </w:rPr>
        <w:t>0</w:t>
      </w:r>
      <w:r>
        <w:rPr>
          <w:rFonts w:eastAsia="Arial" w:cs="Arial" w:ascii="Arial" w:hAnsi="Arial"/>
          <w:b/>
          <w:sz w:val="18"/>
        </w:rPr>
        <w:t xml:space="preserve"> zamestnancov</w:t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525" w:leader="none"/>
        </w:tabs>
        <w:spacing w:lineRule="auto" w:line="235"/>
        <w:ind w:left="525" w:hanging="98"/>
        <w:rPr/>
      </w:pPr>
      <w:r>
        <w:rPr>
          <w:rFonts w:eastAsia="Arial" w:cs="Arial" w:ascii="Arial" w:hAnsi="Arial"/>
          <w:b/>
          <w:sz w:val="18"/>
        </w:rPr>
        <w:t xml:space="preserve">k 31.12.2019 spoločnosť zamestnávala </w:t>
      </w:r>
      <w:r>
        <w:rPr>
          <w:rFonts w:eastAsia="Arial" w:cs="Arial" w:ascii="Arial" w:hAnsi="Arial"/>
          <w:b/>
          <w:color w:val="auto"/>
          <w:sz w:val="18"/>
          <w:szCs w:val="20"/>
          <w:lang w:val="en-US"/>
        </w:rPr>
        <w:t>0</w:t>
      </w:r>
      <w:r>
        <w:rPr>
          <w:rFonts w:eastAsia="Arial" w:cs="Arial" w:ascii="Arial" w:hAnsi="Arial"/>
          <w:b/>
          <w:sz w:val="18"/>
        </w:rPr>
        <w:t xml:space="preserve"> </w:t>
      </w:r>
      <w:r>
        <w:rPr>
          <w:rFonts w:eastAsia="Arial" w:cs="Arial" w:ascii="Arial" w:hAnsi="Arial"/>
          <w:b/>
          <w:sz w:val="18"/>
          <w:lang w:val="en-US"/>
        </w:rPr>
        <w:t>zam</w:t>
      </w:r>
      <w:r>
        <w:rPr>
          <w:rFonts w:eastAsia="Arial" w:cs="Arial" w:ascii="Arial" w:hAnsi="Arial"/>
          <w:b/>
          <w:sz w:val="18"/>
          <w:lang w:val="en-US"/>
        </w:rPr>
        <w:t>e</w:t>
      </w:r>
      <w:r>
        <w:rPr>
          <w:rFonts w:eastAsia="Arial" w:cs="Arial" w:ascii="Arial" w:hAnsi="Arial"/>
          <w:b/>
          <w:sz w:val="18"/>
          <w:lang w:val="en-US"/>
        </w:rPr>
        <w:t>stnancov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1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5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Údaje o neobmedzenom ručení</w:t>
      </w:r>
    </w:p>
    <w:p>
      <w:pPr>
        <w:pStyle w:val="Normal"/>
        <w:spacing w:lineRule="exact" w:line="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right="-44" w:hanging="0"/>
        <w:jc w:val="center"/>
        <w:rPr>
          <w:rFonts w:ascii="Arial" w:hAnsi="Arial" w:eastAsia="Arial" w:cs="Arial"/>
          <w:b/>
          <w:b/>
          <w:sz w:val="16"/>
        </w:rPr>
      </w:pPr>
      <w:r>
        <w:rPr>
          <w:rFonts w:eastAsia="Arial" w:cs="Arial" w:ascii="Arial" w:hAnsi="Arial"/>
          <w:b/>
          <w:sz w:val="16"/>
        </w:rPr>
        <w:t>Spoločnosť nie je neobmedzene ručiacim spoločníkom v iných spoločnostiach podľa § 56 ods. 5 Obchodného zákonníka.</w:t>
      </w:r>
    </w:p>
    <w:p>
      <w:pPr>
        <w:pStyle w:val="Normal"/>
        <w:spacing w:lineRule="exact" w:line="220"/>
        <w:rPr>
          <w:rFonts w:ascii="Times New Roman" w:hAnsi="Times New Roman" w:eastAsia="Times New Roman" w:cs="Times New Roman"/>
          <w:b/>
          <w:b/>
          <w:sz w:val="16"/>
        </w:rPr>
      </w:pPr>
      <w:r>
        <w:rPr>
          <w:rFonts w:eastAsia="Times New Roman" w:cs="Times New Roman" w:ascii="Times New Roman" w:hAnsi="Times New Roman"/>
          <w:b/>
          <w:sz w:val="16"/>
        </w:rPr>
      </w:r>
    </w:p>
    <w:p>
      <w:pPr>
        <w:pStyle w:val="Normal"/>
        <w:numPr>
          <w:ilvl w:val="0"/>
          <w:numId w:val="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Právny dôvod na zostavenie účtovnej závierky</w:t>
      </w:r>
    </w:p>
    <w:p>
      <w:pPr>
        <w:pStyle w:val="Normal"/>
        <w:spacing w:lineRule="exact" w:line="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5"/>
        </w:rPr>
      </w:pPr>
      <w:r>
        <w:rPr>
          <w:rFonts w:eastAsia="Arial" w:cs="Arial" w:ascii="Arial" w:hAnsi="Arial"/>
          <w:b/>
          <w:sz w:val="15"/>
        </w:rPr>
        <w:t>Účtovná závierka Spoločnosti k 31. decembru 2020 je zostavená ako riadna účtovná závierka podľa § 17 ods. 6 zákona NR SR</w:t>
      </w:r>
    </w:p>
    <w:p>
      <w:pPr>
        <w:pStyle w:val="Normal"/>
        <w:spacing w:lineRule="exact" w:line="32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numPr>
          <w:ilvl w:val="0"/>
          <w:numId w:val="7"/>
        </w:numPr>
        <w:tabs>
          <w:tab w:val="clear" w:pos="720"/>
          <w:tab w:val="left" w:pos="607" w:leader="none"/>
        </w:tabs>
        <w:spacing w:lineRule="auto" w:line="232"/>
        <w:ind w:left="425" w:firstLine="2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431/2002 Z. z. o účtovníctve za účtovné obdobie od 1. januára 2020 do 31. decembra 2020 s porovnateľným obdobím od 01. januára 2019 do 31.decembra 2019.</w:t>
      </w:r>
    </w:p>
    <w:p>
      <w:pPr>
        <w:sectPr>
          <w:type w:val="nextPage"/>
          <w:pgSz w:w="11906" w:h="16838"/>
          <w:pgMar w:left="1135" w:right="1126" w:header="0" w:top="1440" w:footer="0" w:bottom="1440" w:gutter="0"/>
          <w:pgNumType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21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ÚČTOVNÝCH ZÁSADÁCH A ÚČTOVNÝCH METÓDACH</w:t>
      </w:r>
    </w:p>
    <w:p>
      <w:pPr>
        <w:sectPr>
          <w:type w:val="continuous"/>
          <w:pgSz w:w="11906" w:h="16838"/>
          <w:pgMar w:left="1135" w:right="1126" w:header="0" w:top="1440" w:footer="0" w:bottom="1440" w:gutter="0"/>
          <w:formProt w:val="false"/>
          <w:textDirection w:val="lrTb"/>
          <w:docGrid w:type="default" w:linePitch="360" w:charSpace="0"/>
        </w:sectPr>
      </w:pPr>
    </w:p>
    <w:p>
      <w:pPr>
        <w:pStyle w:val="Normal"/>
        <w:numPr>
          <w:ilvl w:val="0"/>
          <w:numId w:val="8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bookmarkStart w:id="4" w:name="page3"/>
      <w:bookmarkEnd w:id="4"/>
      <w:r>
        <w:rPr>
          <w:rFonts w:eastAsia="Arial" w:cs="Arial" w:ascii="Arial" w:hAnsi="Arial"/>
          <w:b/>
          <w:sz w:val="18"/>
        </w:rPr>
        <w:t>Východiská pre zostavenie účtovnej závierky</w:t>
      </w:r>
    </w:p>
    <w:p>
      <w:pPr>
        <w:pStyle w:val="Normal"/>
        <w:spacing w:lineRule="auto" w:line="228"/>
        <w:ind w:left="44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Účtovná závierka bola zostavená za predpokladu, že Spoločnosť bude nepretržite pokračovať vo svojej činnosti.</w:t>
      </w:r>
    </w:p>
    <w:p>
      <w:pPr>
        <w:pStyle w:val="Normal"/>
        <w:spacing w:lineRule="exact" w:line="202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4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Účtovné metódy a všeobecné účtovné zásady boli účtovnou jednotkou konzistentne aplikované.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4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 účtovnom období 2020 Spoločnosť nevykonala žiadne opravy významných chýb minulých účtovných období.</w:t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9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Dlhodobý nehmotný majetok a dlhodobý hmotný majetok</w:t>
      </w:r>
    </w:p>
    <w:p>
      <w:pPr>
        <w:pStyle w:val="Normal"/>
        <w:spacing w:lineRule="auto" w:line="232"/>
        <w:ind w:left="425" w:right="11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Dlhodobý majetok nakupovaný sa oceňuje obstarávacou cenou, ktorá zahŕňa cenu obstarania a náklady súvisiace s obstaraním (clo, prepravu, montáž, poistné a pod.).</w:t>
      </w:r>
    </w:p>
    <w:p>
      <w:pPr>
        <w:pStyle w:val="Normal"/>
        <w:spacing w:lineRule="exact" w:line="21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425" w:right="11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Súčasťou obstarávacej ceny dlhodobého hmotného majetku nie sú úroky z cudzích zdrojov ani realizované kurzové rozdiely, ktoré vznikli do momentu uvedenia dlhodobého majetku do používania.</w:t>
      </w:r>
    </w:p>
    <w:p>
      <w:pPr>
        <w:pStyle w:val="Normal"/>
        <w:spacing w:lineRule="exact" w:line="21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425" w:right="11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Súčasťou obstarávacej ceny dlhodobého nehmotného majetku nie sú úroky z cudzích zdrojov, ktoré vznikli do momentu zaradenia dlhodobého nehmotného majetku do používania.</w:t>
      </w:r>
    </w:p>
    <w:p>
      <w:pPr>
        <w:pStyle w:val="Normal"/>
        <w:spacing w:lineRule="exact" w:line="21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49"/>
        <w:ind w:left="425" w:right="1120" w:hanging="0"/>
        <w:jc w:val="both"/>
        <w:rPr>
          <w:rFonts w:ascii="Arial" w:hAnsi="Arial" w:eastAsia="Arial" w:cs="Arial"/>
          <w:b/>
          <w:b/>
          <w:sz w:val="17"/>
        </w:rPr>
      </w:pPr>
      <w:r>
        <w:rPr>
          <w:rFonts w:eastAsia="Arial" w:cs="Arial" w:ascii="Arial" w:hAnsi="Arial"/>
          <w:b/>
          <w:sz w:val="17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</w:p>
    <w:p>
      <w:pPr>
        <w:pStyle w:val="Normal"/>
        <w:spacing w:lineRule="exact" w:line="193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tbl>
      <w:tblPr>
        <w:tblW w:w="8560" w:type="dxa"/>
        <w:jc w:val="left"/>
        <w:tblInd w:w="48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2580"/>
        <w:gridCol w:w="2480"/>
        <w:gridCol w:w="1900"/>
        <w:gridCol w:w="1600"/>
      </w:tblGrid>
      <w:tr>
        <w:trPr>
          <w:trHeight w:val="207" w:hRule="atLeast"/>
        </w:trPr>
        <w:tc>
          <w:tcPr>
            <w:tcW w:w="25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auto"/>
              <w:ind w:left="422" w:hanging="0"/>
              <w:jc w:val="center"/>
              <w:rPr>
                <w:rFonts w:ascii="Arial" w:hAnsi="Arial" w:eastAsia="Arial" w:cs="Arial"/>
                <w:b/>
                <w:b/>
                <w:w w:val="83"/>
                <w:sz w:val="18"/>
              </w:rPr>
            </w:pPr>
            <w:r>
              <w:rPr>
                <w:rFonts w:eastAsia="Arial" w:cs="Arial" w:ascii="Arial" w:hAnsi="Arial"/>
                <w:b/>
                <w:w w:val="83"/>
                <w:sz w:val="18"/>
              </w:rPr>
              <w:t>Predpokladaná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pacing w:lineRule="auto"/>
              <w:jc w:val="center"/>
              <w:rPr>
                <w:rFonts w:ascii="Arial" w:hAnsi="Arial" w:eastAsia="Arial" w:cs="Arial"/>
                <w:b/>
                <w:b/>
                <w:w w:val="85"/>
                <w:sz w:val="18"/>
              </w:rPr>
            </w:pPr>
            <w:r>
              <w:rPr>
                <w:rFonts w:eastAsia="Arial" w:cs="Arial" w:ascii="Arial" w:hAnsi="Arial"/>
                <w:b/>
                <w:w w:val="85"/>
                <w:sz w:val="18"/>
              </w:rPr>
              <w:t>Metóda</w:t>
            </w:r>
          </w:p>
        </w:tc>
        <w:tc>
          <w:tcPr>
            <w:tcW w:w="1600" w:type="dxa"/>
            <w:tcBorders/>
          </w:tcPr>
          <w:p>
            <w:pPr>
              <w:pStyle w:val="Normal"/>
              <w:spacing w:lineRule="auto"/>
              <w:ind w:left="345" w:hanging="0"/>
              <w:jc w:val="center"/>
              <w:rPr>
                <w:rFonts w:ascii="Arial" w:hAnsi="Arial" w:eastAsia="Arial" w:cs="Arial"/>
                <w:b/>
                <w:b/>
                <w:w w:val="83"/>
                <w:sz w:val="18"/>
              </w:rPr>
            </w:pPr>
            <w:r>
              <w:rPr>
                <w:rFonts w:eastAsia="Arial" w:cs="Arial" w:ascii="Arial" w:hAnsi="Arial"/>
                <w:b/>
                <w:w w:val="83"/>
                <w:sz w:val="18"/>
              </w:rPr>
              <w:t>Ročná odpisová</w:t>
            </w:r>
          </w:p>
        </w:tc>
      </w:tr>
      <w:tr>
        <w:trPr>
          <w:trHeight w:val="475" w:hRule="atLeast"/>
        </w:trPr>
        <w:tc>
          <w:tcPr>
            <w:tcW w:w="25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3"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w w:val="83"/>
                <w:sz w:val="24"/>
              </w:rPr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auto"/>
              <w:ind w:left="422" w:hanging="0"/>
              <w:jc w:val="center"/>
              <w:rPr>
                <w:rFonts w:ascii="Arial" w:hAnsi="Arial" w:eastAsia="Arial" w:cs="Arial"/>
                <w:b/>
                <w:b/>
                <w:w w:val="85"/>
                <w:sz w:val="18"/>
              </w:rPr>
            </w:pPr>
            <w:r>
              <w:rPr>
                <w:rFonts w:eastAsia="Arial" w:cs="Arial" w:ascii="Arial" w:hAnsi="Arial"/>
                <w:b/>
                <w:w w:val="85"/>
                <w:sz w:val="18"/>
              </w:rPr>
              <w:t>doba používania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pacing w:lineRule="auto"/>
              <w:jc w:val="center"/>
              <w:rPr>
                <w:rFonts w:ascii="Arial" w:hAnsi="Arial" w:eastAsia="Arial" w:cs="Arial"/>
                <w:b/>
                <w:b/>
                <w:w w:val="81"/>
                <w:sz w:val="18"/>
              </w:rPr>
            </w:pPr>
            <w:r>
              <w:rPr>
                <w:rFonts w:eastAsia="Arial" w:cs="Arial" w:ascii="Arial" w:hAnsi="Arial"/>
                <w:b/>
                <w:w w:val="81"/>
                <w:sz w:val="18"/>
              </w:rPr>
              <w:t>odpisovania</w:t>
            </w:r>
          </w:p>
        </w:tc>
        <w:tc>
          <w:tcPr>
            <w:tcW w:w="1600" w:type="dxa"/>
            <w:tcBorders/>
          </w:tcPr>
          <w:p>
            <w:pPr>
              <w:pStyle w:val="Normal"/>
              <w:spacing w:lineRule="auto"/>
              <w:ind w:left="325" w:hanging="0"/>
              <w:jc w:val="center"/>
              <w:rPr>
                <w:rFonts w:ascii="Arial" w:hAnsi="Arial" w:eastAsia="Arial" w:cs="Arial"/>
                <w:b/>
                <w:b/>
                <w:w w:val="84"/>
                <w:sz w:val="18"/>
              </w:rPr>
            </w:pPr>
            <w:r>
              <w:rPr>
                <w:rFonts w:eastAsia="Arial" w:cs="Arial" w:ascii="Arial" w:hAnsi="Arial"/>
                <w:b/>
                <w:w w:val="84"/>
                <w:sz w:val="18"/>
              </w:rPr>
              <w:t>sadzba v %</w:t>
            </w:r>
          </w:p>
        </w:tc>
      </w:tr>
      <w:tr>
        <w:trPr>
          <w:trHeight w:val="204" w:hRule="atLeast"/>
        </w:trPr>
        <w:tc>
          <w:tcPr>
            <w:tcW w:w="25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4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84"/>
                <w:sz w:val="17"/>
              </w:rPr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exact" w:line="204"/>
              <w:ind w:left="422" w:hanging="0"/>
              <w:jc w:val="center"/>
              <w:rPr>
                <w:rFonts w:ascii="Arial" w:hAnsi="Arial" w:eastAsia="Arial" w:cs="Arial"/>
                <w:b/>
                <w:b/>
                <w:w w:val="81"/>
                <w:sz w:val="18"/>
              </w:rPr>
            </w:pPr>
            <w:r>
              <w:rPr>
                <w:rFonts w:eastAsia="Arial" w:cs="Arial" w:ascii="Arial" w:hAnsi="Arial"/>
                <w:b/>
                <w:w w:val="81"/>
                <w:sz w:val="18"/>
              </w:rPr>
              <w:t>v mesiacoch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1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81"/>
                <w:sz w:val="17"/>
              </w:rPr>
            </w:r>
          </w:p>
        </w:tc>
        <w:tc>
          <w:tcPr>
            <w:tcW w:w="16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282" w:hRule="atLeast"/>
        </w:trPr>
        <w:tc>
          <w:tcPr>
            <w:tcW w:w="258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Osobný automobil</w:t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auto"/>
              <w:ind w:right="762" w:hanging="0"/>
              <w:jc w:val="right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48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pacing w:lineRule="auto"/>
              <w:jc w:val="center"/>
              <w:rPr>
                <w:rFonts w:ascii="Arial" w:hAnsi="Arial" w:eastAsia="Arial" w:cs="Arial"/>
                <w:b/>
                <w:b/>
                <w:w w:val="88"/>
                <w:sz w:val="22"/>
              </w:rPr>
            </w:pPr>
            <w:r>
              <w:rPr>
                <w:rFonts w:eastAsia="Arial" w:cs="Arial" w:ascii="Arial" w:hAnsi="Arial"/>
                <w:b/>
                <w:w w:val="88"/>
                <w:sz w:val="22"/>
              </w:rPr>
              <w:t>rovnomerne</w:t>
            </w:r>
          </w:p>
        </w:tc>
        <w:tc>
          <w:tcPr>
            <w:tcW w:w="1600" w:type="dxa"/>
            <w:tcBorders/>
          </w:tcPr>
          <w:p>
            <w:pPr>
              <w:pStyle w:val="Normal"/>
              <w:spacing w:lineRule="auto"/>
              <w:ind w:right="285" w:hanging="0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2,083</w:t>
            </w:r>
          </w:p>
        </w:tc>
      </w:tr>
      <w:tr>
        <w:trPr>
          <w:trHeight w:val="271" w:hRule="atLeast"/>
        </w:trPr>
        <w:tc>
          <w:tcPr>
            <w:tcW w:w="2580" w:type="dxa"/>
            <w:tcBorders/>
          </w:tcPr>
          <w:p>
            <w:pPr>
              <w:pStyle w:val="Normal"/>
              <w:spacing w:lineRule="auto"/>
              <w:ind w:left="80" w:hanging="0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Budovy</w:t>
            </w:r>
          </w:p>
        </w:tc>
        <w:tc>
          <w:tcPr>
            <w:tcW w:w="2480" w:type="dxa"/>
            <w:tcBorders/>
          </w:tcPr>
          <w:p>
            <w:pPr>
              <w:pStyle w:val="Normal"/>
              <w:spacing w:lineRule="auto"/>
              <w:ind w:right="702" w:hanging="0"/>
              <w:jc w:val="right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240</w:t>
            </w:r>
          </w:p>
        </w:tc>
        <w:tc>
          <w:tcPr>
            <w:tcW w:w="1900" w:type="dxa"/>
            <w:tcBorders/>
          </w:tcPr>
          <w:p>
            <w:pPr>
              <w:pStyle w:val="Normal"/>
              <w:spacing w:lineRule="auto"/>
              <w:jc w:val="center"/>
              <w:rPr>
                <w:rFonts w:ascii="Arial" w:hAnsi="Arial" w:eastAsia="Arial" w:cs="Arial"/>
                <w:b/>
                <w:b/>
                <w:w w:val="88"/>
                <w:sz w:val="22"/>
              </w:rPr>
            </w:pPr>
            <w:r>
              <w:rPr>
                <w:rFonts w:eastAsia="Arial" w:cs="Arial" w:ascii="Arial" w:hAnsi="Arial"/>
                <w:b/>
                <w:w w:val="88"/>
                <w:sz w:val="22"/>
              </w:rPr>
              <w:t>rovnomerne</w:t>
            </w:r>
          </w:p>
        </w:tc>
        <w:tc>
          <w:tcPr>
            <w:tcW w:w="1600" w:type="dxa"/>
            <w:tcBorders/>
          </w:tcPr>
          <w:p>
            <w:pPr>
              <w:pStyle w:val="Normal"/>
              <w:spacing w:lineRule="auto"/>
              <w:ind w:right="65" w:hanging="0"/>
              <w:jc w:val="right"/>
              <w:rPr>
                <w:rFonts w:ascii="Arial" w:hAnsi="Arial" w:eastAsia="Arial" w:cs="Arial"/>
                <w:b/>
                <w:b/>
                <w:sz w:val="22"/>
              </w:rPr>
            </w:pPr>
            <w:r>
              <w:rPr>
                <w:rFonts w:eastAsia="Arial" w:cs="Arial" w:ascii="Arial" w:hAnsi="Arial"/>
                <w:b/>
                <w:sz w:val="22"/>
              </w:rPr>
              <w:t>0,416666</w:t>
            </w:r>
          </w:p>
        </w:tc>
      </w:tr>
    </w:tbl>
    <w:p>
      <w:pPr>
        <w:pStyle w:val="Normal"/>
        <w:spacing w:lineRule="exact" w:line="274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9"/>
        <w:ind w:left="425" w:right="1120" w:hanging="0"/>
        <w:jc w:val="both"/>
        <w:rPr>
          <w:rFonts w:ascii="Arial" w:hAnsi="Arial" w:eastAsia="Arial" w:cs="Arial"/>
          <w:b/>
          <w:b/>
          <w:sz w:val="17"/>
        </w:rPr>
      </w:pPr>
      <w:r>
        <w:rPr>
          <w:rFonts w:eastAsia="Arial" w:cs="Arial" w:ascii="Arial" w:hAnsi="Arial"/>
          <w:b/>
          <w:sz w:val="17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Pozemky sa neodpisujú. Drobný dlhodobý hmotný majetok, ktorého obstarávacia cena je 1700 EUR a nižšia , sa odpisuje jednorazovo pri uvedení do používania. Predpokladaná doba používania, metóda odpisovania a odpisová sadzba sú uvedené v nasledujúcej tabuľke:</w:t>
      </w:r>
    </w:p>
    <w:p>
      <w:pPr>
        <w:pStyle w:val="Normal"/>
        <w:spacing w:lineRule="exact" w:line="397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tbl>
      <w:tblPr>
        <w:tblW w:w="10300" w:type="dxa"/>
        <w:jc w:val="left"/>
        <w:tblInd w:w="46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3180"/>
        <w:gridCol w:w="3920"/>
        <w:gridCol w:w="3200"/>
      </w:tblGrid>
      <w:tr>
        <w:trPr>
          <w:trHeight w:val="207" w:hRule="atLeast"/>
        </w:trPr>
        <w:tc>
          <w:tcPr>
            <w:tcW w:w="31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8"/>
              </w:rPr>
            </w:pPr>
            <w:r>
              <w:rPr>
                <w:rFonts w:eastAsia="Times New Roman" w:cs="Times New Roman" w:ascii="Times New Roman" w:hAnsi="Times New Roman"/>
                <w:sz w:val="18"/>
              </w:rPr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auto"/>
              <w:ind w:left="70" w:hanging="0"/>
              <w:jc w:val="center"/>
              <w:rPr>
                <w:rFonts w:ascii="Arial" w:hAnsi="Arial" w:eastAsia="Arial" w:cs="Arial"/>
                <w:b/>
                <w:b/>
                <w:w w:val="83"/>
                <w:sz w:val="18"/>
              </w:rPr>
            </w:pPr>
            <w:r>
              <w:rPr>
                <w:rFonts w:eastAsia="Arial" w:cs="Arial" w:ascii="Arial" w:hAnsi="Arial"/>
                <w:b/>
                <w:w w:val="83"/>
                <w:sz w:val="18"/>
              </w:rPr>
              <w:t>Predpokladaná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auto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8"/>
                <w:sz w:val="18"/>
              </w:rPr>
            </w:pPr>
            <w:r>
              <w:rPr>
                <w:rFonts w:eastAsia="Arial" w:cs="Arial" w:ascii="Arial" w:hAnsi="Arial"/>
                <w:b/>
                <w:w w:val="88"/>
                <w:sz w:val="18"/>
              </w:rPr>
              <w:t>Metóda</w:t>
            </w:r>
          </w:p>
        </w:tc>
      </w:tr>
      <w:tr>
        <w:trPr>
          <w:trHeight w:val="271" w:hRule="atLeast"/>
        </w:trPr>
        <w:tc>
          <w:tcPr>
            <w:tcW w:w="31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8"/>
                <w:sz w:val="23"/>
              </w:rPr>
            </w:pPr>
            <w:r>
              <w:rPr>
                <w:rFonts w:eastAsia="Times New Roman" w:cs="Times New Roman" w:ascii="Times New Roman" w:hAnsi="Times New Roman"/>
                <w:b/>
                <w:w w:val="88"/>
                <w:sz w:val="23"/>
              </w:rPr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auto"/>
              <w:ind w:left="70" w:hanging="0"/>
              <w:jc w:val="center"/>
              <w:rPr>
                <w:rFonts w:ascii="Arial" w:hAnsi="Arial" w:eastAsia="Arial" w:cs="Arial"/>
                <w:b/>
                <w:b/>
                <w:w w:val="85"/>
                <w:sz w:val="18"/>
              </w:rPr>
            </w:pPr>
            <w:r>
              <w:rPr>
                <w:rFonts w:eastAsia="Arial" w:cs="Arial" w:ascii="Arial" w:hAnsi="Arial"/>
                <w:b/>
                <w:w w:val="85"/>
                <w:sz w:val="18"/>
              </w:rPr>
              <w:t>doba používania v rokoch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auto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3"/>
                <w:sz w:val="18"/>
              </w:rPr>
            </w:pPr>
            <w:r>
              <w:rPr>
                <w:rFonts w:eastAsia="Arial" w:cs="Arial" w:ascii="Arial" w:hAnsi="Arial"/>
                <w:b/>
                <w:w w:val="83"/>
                <w:sz w:val="18"/>
              </w:rPr>
              <w:t>odpisovania</w:t>
            </w:r>
          </w:p>
        </w:tc>
      </w:tr>
      <w:tr>
        <w:trPr>
          <w:trHeight w:val="72" w:hRule="atLeast"/>
        </w:trPr>
        <w:tc>
          <w:tcPr>
            <w:tcW w:w="3180" w:type="dxa"/>
            <w:tcBorders>
              <w:bottom w:val="single" w:sz="8" w:space="0" w:color="000000"/>
            </w:tcBorders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3"/>
                <w:sz w:val="6"/>
              </w:rPr>
            </w:pPr>
            <w:r>
              <w:rPr>
                <w:rFonts w:eastAsia="Times New Roman" w:cs="Times New Roman" w:ascii="Times New Roman" w:hAnsi="Times New Roman"/>
                <w:b/>
                <w:w w:val="83"/>
                <w:sz w:val="6"/>
              </w:rPr>
            </w:r>
          </w:p>
        </w:tc>
        <w:tc>
          <w:tcPr>
            <w:tcW w:w="3920" w:type="dxa"/>
            <w:tcBorders>
              <w:bottom w:val="single" w:sz="8" w:space="0" w:color="000000"/>
            </w:tcBorders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6"/>
              </w:rPr>
            </w:pPr>
            <w:r>
              <w:rPr>
                <w:rFonts w:eastAsia="Times New Roman" w:cs="Times New Roman" w:ascii="Times New Roman" w:hAnsi="Times New Roman"/>
                <w:sz w:val="6"/>
              </w:rPr>
            </w:r>
          </w:p>
        </w:tc>
        <w:tc>
          <w:tcPr>
            <w:tcW w:w="3200" w:type="dxa"/>
            <w:tcBorders>
              <w:bottom w:val="single" w:sz="8" w:space="0" w:color="000000"/>
            </w:tcBorders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6"/>
              </w:rPr>
            </w:pPr>
            <w:r>
              <w:rPr>
                <w:rFonts w:eastAsia="Times New Roman" w:cs="Times New Roman" w:ascii="Times New Roman" w:hAnsi="Times New Roman"/>
                <w:sz w:val="6"/>
              </w:rPr>
            </w:r>
          </w:p>
        </w:tc>
      </w:tr>
      <w:tr>
        <w:trPr>
          <w:trHeight w:val="186" w:hRule="atLeast"/>
        </w:trPr>
        <w:tc>
          <w:tcPr>
            <w:tcW w:w="3180" w:type="dxa"/>
            <w:tcBorders/>
          </w:tcPr>
          <w:p>
            <w:pPr>
              <w:pStyle w:val="Normal"/>
              <w:spacing w:lineRule="exact" w:line="186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Stavby</w:t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exact" w:line="186"/>
              <w:ind w:left="70" w:hanging="0"/>
              <w:jc w:val="center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20 až 40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exact" w:line="186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lineárna</w:t>
            </w:r>
          </w:p>
        </w:tc>
      </w:tr>
      <w:tr>
        <w:trPr>
          <w:trHeight w:val="271" w:hRule="atLeast"/>
        </w:trPr>
        <w:tc>
          <w:tcPr>
            <w:tcW w:w="3180" w:type="dxa"/>
            <w:tcBorders/>
          </w:tcPr>
          <w:p>
            <w:pPr>
              <w:pStyle w:val="Normal"/>
              <w:spacing w:lineRule="auto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Stroje, prístroje a zariadenia</w:t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auto"/>
              <w:ind w:left="70" w:hanging="0"/>
              <w:jc w:val="center"/>
              <w:rPr>
                <w:rFonts w:ascii="Arial" w:hAnsi="Arial" w:eastAsia="Arial" w:cs="Arial"/>
                <w:b/>
                <w:b/>
                <w:w w:val="87"/>
                <w:sz w:val="18"/>
              </w:rPr>
            </w:pPr>
            <w:r>
              <w:rPr>
                <w:rFonts w:eastAsia="Arial" w:cs="Arial" w:ascii="Arial" w:hAnsi="Arial"/>
                <w:b/>
                <w:w w:val="87"/>
                <w:sz w:val="18"/>
              </w:rPr>
              <w:t>4 až 20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auto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lineárna</w:t>
            </w:r>
          </w:p>
        </w:tc>
      </w:tr>
      <w:tr>
        <w:trPr>
          <w:trHeight w:val="271" w:hRule="atLeast"/>
        </w:trPr>
        <w:tc>
          <w:tcPr>
            <w:tcW w:w="3180" w:type="dxa"/>
            <w:tcBorders/>
          </w:tcPr>
          <w:p>
            <w:pPr>
              <w:pStyle w:val="Normal"/>
              <w:spacing w:lineRule="auto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Dopravné prostriedky</w:t>
            </w:r>
          </w:p>
        </w:tc>
        <w:tc>
          <w:tcPr>
            <w:tcW w:w="3920" w:type="dxa"/>
            <w:tcBorders/>
          </w:tcPr>
          <w:p>
            <w:pPr>
              <w:pStyle w:val="Normal"/>
              <w:spacing w:lineRule="auto"/>
              <w:ind w:left="70" w:hanging="0"/>
              <w:jc w:val="center"/>
              <w:rPr>
                <w:rFonts w:ascii="Arial" w:hAnsi="Arial" w:eastAsia="Arial" w:cs="Arial"/>
                <w:b/>
                <w:b/>
                <w:w w:val="87"/>
                <w:sz w:val="18"/>
              </w:rPr>
            </w:pPr>
            <w:r>
              <w:rPr>
                <w:rFonts w:eastAsia="Arial" w:cs="Arial" w:ascii="Arial" w:hAnsi="Arial"/>
                <w:b/>
                <w:w w:val="87"/>
                <w:sz w:val="18"/>
              </w:rPr>
              <w:t>4 až 20</w:t>
            </w:r>
          </w:p>
        </w:tc>
        <w:tc>
          <w:tcPr>
            <w:tcW w:w="3200" w:type="dxa"/>
            <w:tcBorders/>
          </w:tcPr>
          <w:p>
            <w:pPr>
              <w:pStyle w:val="Normal"/>
              <w:spacing w:lineRule="auto"/>
              <w:ind w:right="350" w:hanging="0"/>
              <w:jc w:val="center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lineárna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344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Cenné papiere a podiely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Zásoby</w:t>
      </w:r>
    </w:p>
    <w:p>
      <w:pPr>
        <w:pStyle w:val="Normal"/>
        <w:spacing w:lineRule="auto" w:line="232"/>
        <w:ind w:left="425" w:right="11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Zásoby sa oceňujú nižšou z nasledujúcich hodnôt: obstarávacou cenou (nakupované zásoby) alebo vlastnými nákladmi (zásoby vytvorené vlastnou činnosťou) alebo čistou realizačnou hodnotou.</w:t>
      </w:r>
    </w:p>
    <w:p>
      <w:pPr>
        <w:pStyle w:val="Normal"/>
        <w:spacing w:lineRule="exact" w:line="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425" w:right="1120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- spoločnosť neeviduje k 31.12.2020 zásoby .</w:t>
      </w:r>
    </w:p>
    <w:p>
      <w:pPr>
        <w:pStyle w:val="Normal"/>
        <w:spacing w:lineRule="exact" w:line="20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Zákazková výroba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Zákazková výstavba nehnuteľnosti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Pohľadávky</w:t>
      </w:r>
    </w:p>
    <w:p>
      <w:pPr>
        <w:pStyle w:val="Normal"/>
        <w:spacing w:lineRule="auto" w:line="232"/>
        <w:ind w:left="425" w:right="1120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>
      <w:pPr>
        <w:pStyle w:val="Normal"/>
        <w:spacing w:lineRule="exact" w:line="20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sectPr>
          <w:type w:val="nextPage"/>
          <w:pgSz w:w="11906" w:h="16838"/>
          <w:pgMar w:left="1135" w:right="6" w:header="0" w:top="1436" w:footer="0" w:bottom="888" w:gutter="0"/>
          <w:pgNumType w:fmt="decimal"/>
          <w:formProt w:val="false"/>
          <w:textDirection w:val="lrTb"/>
          <w:docGrid w:type="default" w:linePitch="360" w:charSpace="0"/>
        </w:sectPr>
        <w:pStyle w:val="Normal"/>
        <w:numPr>
          <w:ilvl w:val="0"/>
          <w:numId w:val="10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Peňažné prostriedky a ceniny</w:t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bookmarkStart w:id="5" w:name="page4"/>
      <w:bookmarkEnd w:id="5"/>
      <w:r>
        <w:rPr>
          <w:rFonts w:eastAsia="Arial" w:cs="Arial" w:ascii="Arial" w:hAnsi="Arial"/>
          <w:b/>
          <w:sz w:val="18"/>
        </w:rPr>
        <w:t>Peňažné prostriedky a ceniny sa oceňujú ich menovitou hodnotou.</w:t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1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Náklady budúcich období a príjmy budúcich období</w:t>
      </w:r>
    </w:p>
    <w:p>
      <w:pPr>
        <w:pStyle w:val="Normal"/>
        <w:spacing w:lineRule="auto" w:line="232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Normal"/>
        <w:spacing w:lineRule="exact" w:line="20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1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Rezervy – spoločnosť neeviduje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0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1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Záväzky</w:t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pStyle w:val="Normal"/>
        <w:spacing w:lineRule="exact" w:line="20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1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Odložené dane</w:t>
      </w:r>
    </w:p>
    <w:p>
      <w:pPr>
        <w:pStyle w:val="Normal"/>
        <w:spacing w:lineRule="auto" w:line="228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Odložené dane (odložená daňová pohľadávka a odložený daňový záväzok) sa vzťahujú na:</w:t>
      </w:r>
    </w:p>
    <w:p>
      <w:pPr>
        <w:pStyle w:val="Normal"/>
        <w:spacing w:lineRule="exact" w:line="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118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dočasné rozdiely medzi účtovnou hodnotou majetku a účtovnou hodnotou záväzkov vykázanou v súvahe a ich daňovou základňou,</w:t>
      </w:r>
    </w:p>
    <w:p>
      <w:pPr>
        <w:pStyle w:val="Normal"/>
        <w:spacing w:lineRule="exact" w:line="4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2"/>
        <w:ind w:left="118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možnosť umorovať daňovú stratu v budúcnosti, ktorou sa rozumie možnosť odpočítať daňovú stratu od základu dane v budúcnosti,</w:t>
      </w:r>
    </w:p>
    <w:p>
      <w:pPr>
        <w:pStyle w:val="Normal"/>
        <w:spacing w:lineRule="exact" w:line="3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auto" w:line="235"/>
        <w:ind w:left="8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možnosť previesť nevyužité daňové odpočty a iné daňové nároky do budúcich období.</w:t>
      </w:r>
    </w:p>
    <w:p>
      <w:pPr>
        <w:pStyle w:val="Normal"/>
        <w:spacing w:lineRule="exact" w:line="237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- spoločnosť neúčtovala o odložených daniach.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2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Výdavky budúcich období a výnosy budúcich období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2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Emisné kvóty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2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Dotácie zo štátneho rozpočtu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2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Prenájom (lízing) – spoločnosť eviduje obstaranie osobného utomobilu formou finančného prenájmu.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3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Deriváty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3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Majetok a záväzky zabezpečené derivátmi – spoločnosť neeviduje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3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Cudzia mena</w:t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6"/>
        </w:rPr>
      </w:pPr>
      <w:r>
        <w:rPr>
          <w:rFonts w:eastAsia="Arial" w:cs="Arial" w:ascii="Arial" w:hAnsi="Arial"/>
          <w:b/>
          <w:sz w:val="16"/>
        </w:rPr>
        <w:t>Majetok a záväzky vyjadrené v cudzej mene sa ku dňu uskutočnenia účtovného prípadu prepočítavajú na menu euro</w:t>
      </w:r>
    </w:p>
    <w:p>
      <w:pPr>
        <w:pStyle w:val="Normal"/>
        <w:spacing w:lineRule="exact" w:line="20"/>
        <w:rPr>
          <w:rFonts w:ascii="Times New Roman" w:hAnsi="Times New Roman" w:eastAsia="Times New Roman" w:cs="Times New Roman"/>
          <w:b/>
          <w:b/>
          <w:sz w:val="16"/>
        </w:rPr>
      </w:pPr>
      <w:r>
        <w:rPr>
          <w:rFonts w:eastAsia="Times New Roman" w:cs="Times New Roman" w:ascii="Times New Roman" w:hAnsi="Times New Roman"/>
          <w:b/>
          <w:sz w:val="16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referenčným výmenným kurzom určeným a vyhláseným Európskou centrálnou bankou alebo Národnou bankou Slovenska v deň predchádzajúci dňu uskutočnenia účtovného prípadu.</w:t>
      </w:r>
    </w:p>
    <w:p>
      <w:pPr>
        <w:pStyle w:val="Normal"/>
        <w:spacing w:lineRule="exact" w:line="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7"/>
        </w:rPr>
      </w:pPr>
      <w:r>
        <w:rPr>
          <w:rFonts w:eastAsia="Arial" w:cs="Arial" w:ascii="Arial" w:hAnsi="Arial"/>
          <w:b/>
          <w:sz w:val="17"/>
        </w:rPr>
        <w:t>Na ocenenie prírastku cudzej meny nakúpenej za euro sa použije kurz, za ktorý bola táto cudzia mena nakúpená.</w:t>
      </w:r>
    </w:p>
    <w:p>
      <w:pPr>
        <w:pStyle w:val="Normal"/>
        <w:spacing w:lineRule="exact" w:line="9"/>
        <w:rPr>
          <w:rFonts w:ascii="Times New Roman" w:hAnsi="Times New Roman" w:eastAsia="Times New Roman" w:cs="Times New Roman"/>
          <w:b/>
          <w:b/>
          <w:sz w:val="17"/>
        </w:rPr>
      </w:pPr>
      <w:r>
        <w:rPr>
          <w:rFonts w:eastAsia="Times New Roman" w:cs="Times New Roman" w:ascii="Times New Roman" w:hAnsi="Times New Roman"/>
          <w:b/>
          <w:sz w:val="17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>
      <w:pPr>
        <w:pStyle w:val="Normal"/>
        <w:spacing w:lineRule="exact" w:line="7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>
      <w:pPr>
        <w:pStyle w:val="Normal"/>
        <w:spacing w:lineRule="exact" w:line="9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>
      <w:pPr>
        <w:pStyle w:val="Normal"/>
        <w:spacing w:lineRule="exact" w:line="9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32"/>
        <w:ind w:left="425" w:hanging="0"/>
        <w:jc w:val="both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Prijaté a poskytnuté preddavky v cudzej mene na účet zriadený v eurách a z účtu zriadeného v eurách sa prepočítavajú na menu euro kurzom, za ktorý boli tieto hodnoty nakúpené alebo predané.</w:t>
      </w:r>
    </w:p>
    <w:p>
      <w:pPr>
        <w:pStyle w:val="Normal"/>
        <w:spacing w:lineRule="exact" w:line="202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- spoločnosť k 31.12.2020 neeviduje majetok, záväzky znejúce na cudziu menu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4"/>
        </w:numPr>
        <w:tabs>
          <w:tab w:val="clear" w:pos="720"/>
          <w:tab w:val="left" w:pos="425" w:leader="none"/>
        </w:tabs>
        <w:spacing w:lineRule="auto"/>
        <w:ind w:left="425" w:hanging="42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Výnosy</w:t>
      </w:r>
    </w:p>
    <w:p>
      <w:pPr>
        <w:pStyle w:val="Normal"/>
        <w:spacing w:lineRule="auto" w:line="316"/>
        <w:ind w:left="425" w:hanging="0"/>
        <w:rPr>
          <w:rFonts w:ascii="Arial" w:hAnsi="Arial" w:eastAsia="Arial" w:cs="Arial"/>
          <w:b/>
          <w:b/>
          <w:sz w:val="15"/>
        </w:rPr>
      </w:pPr>
      <w:r>
        <w:rPr>
          <w:rFonts w:eastAsia="Arial" w:cs="Arial" w:ascii="Arial" w:hAnsi="Arial"/>
          <w:b/>
          <w:sz w:val="15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>
      <w:pPr>
        <w:pStyle w:val="Normal"/>
        <w:spacing w:lineRule="exact" w:line="328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ÚDAJOCH NA STRANE AKTÍV SÚVAHY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15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Dlhodobý nehmotný majetok a dlhodobý hmotný majetok</w:t>
      </w:r>
    </w:p>
    <w:p>
      <w:pPr>
        <w:pStyle w:val="Normal"/>
        <w:spacing w:lineRule="exact" w:line="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sectPr>
          <w:type w:val="nextPage"/>
          <w:pgSz w:w="11906" w:h="16838"/>
          <w:pgMar w:left="1135" w:right="1126" w:header="0" w:top="1431" w:footer="0" w:bottom="1018" w:gutter="0"/>
          <w:pgNumType w:fmt="decimal"/>
          <w:formProt w:val="false"/>
          <w:textDirection w:val="lrTb"/>
          <w:docGrid w:type="default" w:linePitch="360" w:charSpace="0"/>
        </w:sectPr>
        <w:pStyle w:val="Normal"/>
        <w:spacing w:lineRule="auto" w:line="232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Prehľad o pohybe dlhodobého nehmotného majetku a dlhodobého hmotného majetku od 1. januára 2020 do 31. decembra 2020.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  <w:bookmarkStart w:id="6" w:name="page5"/>
      <w:bookmarkStart w:id="7" w:name="page5"/>
      <w:bookmarkEnd w:id="7"/>
    </w:p>
    <w:p>
      <w:pPr>
        <w:pStyle w:val="Normal"/>
        <w:numPr>
          <w:ilvl w:val="0"/>
          <w:numId w:val="1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Dlhodobý finančný majetok – spoločnosť neúčtuje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Zásoby</w:t>
      </w:r>
    </w:p>
    <w:p>
      <w:pPr>
        <w:pStyle w:val="Normal"/>
        <w:spacing w:lineRule="auto"/>
        <w:ind w:left="365" w:hanging="0"/>
        <w:rPr>
          <w:rFonts w:ascii="Arial" w:hAnsi="Arial" w:eastAsia="Arial" w:cs="Arial"/>
          <w:b/>
          <w:b/>
          <w:sz w:val="15"/>
        </w:rPr>
      </w:pPr>
      <w:r>
        <w:rPr>
          <w:rFonts w:eastAsia="Arial" w:cs="Arial" w:ascii="Arial" w:hAnsi="Arial"/>
          <w:b/>
          <w:sz w:val="15"/>
        </w:rPr>
        <w:t>Spoločnosť neúčtovala o opravných položkách k zásobám ani o zásobách na ktoré je zriadené záložné právo, alebo pri ktorých</w:t>
      </w:r>
    </w:p>
    <w:p>
      <w:pPr>
        <w:pStyle w:val="Normal"/>
        <w:spacing w:lineRule="exact" w:line="23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má obmedzené právo s nim nakladať.</w:t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tbl>
      <w:tblPr>
        <w:tblW w:w="8140" w:type="dxa"/>
        <w:jc w:val="left"/>
        <w:tblInd w:w="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240"/>
        <w:gridCol w:w="2420"/>
        <w:gridCol w:w="1700"/>
        <w:gridCol w:w="1320"/>
        <w:gridCol w:w="1480"/>
        <w:gridCol w:w="980"/>
      </w:tblGrid>
      <w:tr>
        <w:trPr>
          <w:trHeight w:val="207" w:hRule="atLeast"/>
        </w:trPr>
        <w:tc>
          <w:tcPr>
            <w:tcW w:w="24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4.</w:t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auto"/>
              <w:ind w:left="120" w:hanging="0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Údaje o zákazkovej výrobe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9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99"/>
                <w:sz w:val="17"/>
              </w:rPr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199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4120" w:type="dxa"/>
            <w:gridSpan w:val="2"/>
            <w:tcBorders/>
          </w:tcPr>
          <w:p>
            <w:pPr>
              <w:pStyle w:val="Normal"/>
              <w:spacing w:lineRule="exact" w:line="199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Spoločnosť neúčtovala o zákazkovej výrobe.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413" w:hRule="atLeast"/>
        </w:trPr>
        <w:tc>
          <w:tcPr>
            <w:tcW w:w="24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5.</w:t>
            </w:r>
          </w:p>
        </w:tc>
        <w:tc>
          <w:tcPr>
            <w:tcW w:w="5440" w:type="dxa"/>
            <w:gridSpan w:val="3"/>
            <w:tcBorders/>
          </w:tcPr>
          <w:p>
            <w:pPr>
              <w:pStyle w:val="Normal"/>
              <w:spacing w:lineRule="auto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Údaje o zákazkovej výstavbe nehnuteľnosti na predaj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199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4120" w:type="dxa"/>
            <w:gridSpan w:val="2"/>
            <w:tcBorders/>
          </w:tcPr>
          <w:p>
            <w:pPr>
              <w:pStyle w:val="Normal"/>
              <w:spacing w:lineRule="exact" w:line="199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Spoločnosť neúčtovala o zákazkovej výrobe.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413" w:hRule="atLeast"/>
        </w:trPr>
        <w:tc>
          <w:tcPr>
            <w:tcW w:w="24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6.</w:t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auto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Pohľadávky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403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5440" w:type="dxa"/>
            <w:gridSpan w:val="3"/>
            <w:tcBorders/>
          </w:tcPr>
          <w:p>
            <w:pPr>
              <w:pStyle w:val="Normal"/>
              <w:spacing w:lineRule="auto"/>
              <w:ind w:left="180" w:hanging="0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Spoločnosť má k 31.12.2020 pohľadávky z obchodného styku vo výške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auto"/>
              <w:ind w:right="370" w:hanging="0"/>
              <w:jc w:val="center"/>
              <w:rPr/>
            </w:pPr>
            <w:r>
              <w:rPr>
                <w:rFonts w:eastAsia="Arial" w:cs="Arial" w:ascii="Arial" w:hAnsi="Arial"/>
                <w:b/>
                <w:color w:val="auto"/>
                <w:w w:val="90"/>
                <w:sz w:val="18"/>
                <w:szCs w:val="20"/>
              </w:rPr>
              <w:t>38</w:t>
            </w:r>
            <w:r>
              <w:rPr>
                <w:rFonts w:eastAsia="Arial" w:cs="Arial" w:ascii="Arial" w:hAnsi="Arial"/>
                <w:b/>
                <w:w w:val="90"/>
                <w:sz w:val="18"/>
              </w:rPr>
              <w:t xml:space="preserve"> </w:t>
            </w:r>
            <w:r>
              <w:rPr>
                <w:rFonts w:eastAsia="Arial" w:cs="Arial" w:ascii="Arial" w:hAnsi="Arial"/>
                <w:b/>
                <w:color w:val="auto"/>
                <w:w w:val="90"/>
                <w:sz w:val="18"/>
                <w:szCs w:val="20"/>
              </w:rPr>
              <w:t>470</w:t>
            </w:r>
            <w:r>
              <w:rPr>
                <w:rFonts w:eastAsia="Arial" w:cs="Arial" w:ascii="Arial" w:hAnsi="Arial"/>
                <w:b/>
                <w:w w:val="90"/>
                <w:sz w:val="18"/>
              </w:rPr>
              <w:t>,00 €</w:t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0"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w w:val="90"/>
                <w:sz w:val="24"/>
              </w:rPr>
            </w:r>
          </w:p>
        </w:tc>
      </w:tr>
      <w:tr>
        <w:trPr>
          <w:trHeight w:val="204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24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1700" w:type="dxa"/>
            <w:tcBorders/>
          </w:tcPr>
          <w:p>
            <w:pPr>
              <w:pStyle w:val="Normal"/>
              <w:spacing w:lineRule="exact" w:line="204"/>
              <w:ind w:left="220" w:hanging="0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daňové pohľadávky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6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86"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exact" w:line="204"/>
              <w:ind w:right="370" w:hanging="0"/>
              <w:jc w:val="center"/>
              <w:rPr/>
            </w:pPr>
            <w:r>
              <w:rPr>
                <w:rFonts w:eastAsia="Arial" w:cs="Arial" w:ascii="Arial" w:hAnsi="Arial"/>
                <w:b/>
                <w:color w:val="auto"/>
                <w:w w:val="91"/>
                <w:sz w:val="18"/>
                <w:szCs w:val="20"/>
              </w:rPr>
              <w:t>1606</w:t>
            </w:r>
            <w:r>
              <w:rPr>
                <w:rFonts w:eastAsia="Arial" w:cs="Arial" w:ascii="Arial" w:hAnsi="Arial"/>
                <w:b/>
                <w:w w:val="91"/>
                <w:sz w:val="18"/>
              </w:rPr>
              <w:t>,</w:t>
            </w:r>
            <w:r>
              <w:rPr>
                <w:rFonts w:eastAsia="Arial" w:cs="Arial" w:ascii="Arial" w:hAnsi="Arial"/>
                <w:b/>
                <w:color w:val="auto"/>
                <w:w w:val="91"/>
                <w:sz w:val="18"/>
                <w:szCs w:val="20"/>
              </w:rPr>
              <w:t>16</w:t>
            </w:r>
            <w:r>
              <w:rPr>
                <w:rFonts w:eastAsia="Arial" w:cs="Arial" w:ascii="Arial" w:hAnsi="Arial"/>
                <w:b/>
                <w:w w:val="91"/>
                <w:sz w:val="18"/>
              </w:rPr>
              <w:t xml:space="preserve"> €</w:t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1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91"/>
                <w:sz w:val="17"/>
              </w:rPr>
            </w:r>
          </w:p>
        </w:tc>
      </w:tr>
      <w:tr>
        <w:trPr>
          <w:trHeight w:val="204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24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1700" w:type="dxa"/>
            <w:tcBorders/>
          </w:tcPr>
          <w:p>
            <w:pPr>
              <w:pStyle w:val="Normal"/>
              <w:spacing w:lineRule="exact" w:line="204"/>
              <w:ind w:left="220" w:hanging="0"/>
              <w:rPr>
                <w:rFonts w:ascii="Arial" w:hAnsi="Arial" w:eastAsia="Arial" w:cs="Arial"/>
                <w:b/>
                <w:b/>
                <w:w w:val="85"/>
                <w:sz w:val="18"/>
              </w:rPr>
            </w:pPr>
            <w:r>
              <w:rPr>
                <w:rFonts w:eastAsia="Arial" w:cs="Arial" w:ascii="Arial" w:hAnsi="Arial"/>
                <w:b/>
                <w:w w:val="85"/>
                <w:sz w:val="18"/>
              </w:rPr>
              <w:t>ostatné pohľadávky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5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85"/>
                <w:sz w:val="17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exact" w:line="204"/>
              <w:ind w:left="220" w:hanging="0"/>
              <w:rPr/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  <w:r>
              <w:rPr>
                <w:rFonts w:eastAsia="Arial" w:cs="Arial" w:ascii="Arial" w:hAnsi="Arial"/>
                <w:b/>
                <w:sz w:val="18"/>
              </w:rPr>
              <w:t xml:space="preserve"> €</w:t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sz w:val="17"/>
              </w:rPr>
            </w:r>
          </w:p>
        </w:tc>
      </w:tr>
      <w:tr>
        <w:trPr>
          <w:trHeight w:val="821" w:hRule="atLeast"/>
        </w:trPr>
        <w:tc>
          <w:tcPr>
            <w:tcW w:w="24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7.</w:t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auto"/>
              <w:ind w:left="1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Finančné účty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403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5440" w:type="dxa"/>
            <w:gridSpan w:val="3"/>
            <w:tcBorders/>
          </w:tcPr>
          <w:p>
            <w:pPr>
              <w:pStyle w:val="Normal"/>
              <w:spacing w:lineRule="auto"/>
              <w:ind w:left="180" w:hanging="0"/>
              <w:rPr>
                <w:rFonts w:ascii="Arial" w:hAnsi="Arial" w:eastAsia="Arial" w:cs="Arial"/>
                <w:b/>
                <w:b/>
                <w:w w:val="88"/>
                <w:sz w:val="18"/>
              </w:rPr>
            </w:pPr>
            <w:r>
              <w:rPr>
                <w:rFonts w:eastAsia="Arial" w:cs="Arial" w:ascii="Arial" w:hAnsi="Arial"/>
                <w:b/>
                <w:w w:val="88"/>
                <w:sz w:val="18"/>
              </w:rPr>
              <w:t>Ako finančné účty sú vykázané peniaze v pokladnici, účty v bankách.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88"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w w:val="88"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408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4120" w:type="dxa"/>
            <w:gridSpan w:val="2"/>
            <w:tcBorders/>
          </w:tcPr>
          <w:p>
            <w:pPr>
              <w:pStyle w:val="Normal"/>
              <w:spacing w:lineRule="auto"/>
              <w:ind w:left="180" w:hanging="0"/>
              <w:rPr>
                <w:rFonts w:ascii="Arial" w:hAnsi="Arial" w:eastAsia="Arial" w:cs="Arial"/>
                <w:b/>
                <w:b/>
                <w:w w:val="94"/>
                <w:sz w:val="18"/>
              </w:rPr>
            </w:pPr>
            <w:r>
              <w:rPr>
                <w:rFonts w:eastAsia="Arial" w:cs="Arial" w:ascii="Arial" w:hAnsi="Arial"/>
                <w:b/>
                <w:w w:val="94"/>
                <w:sz w:val="18"/>
              </w:rPr>
              <w:t>Prehľad jednotlivých položiek finančných účtov: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4"/>
                <w:sz w:val="24"/>
              </w:rPr>
            </w:pPr>
            <w:r>
              <w:rPr>
                <w:rFonts w:eastAsia="Times New Roman" w:cs="Times New Roman" w:ascii="Times New Roman" w:hAnsi="Times New Roman"/>
                <w:b/>
                <w:w w:val="94"/>
                <w:sz w:val="24"/>
              </w:rPr>
            </w:r>
          </w:p>
        </w:tc>
        <w:tc>
          <w:tcPr>
            <w:tcW w:w="14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  <w:tc>
          <w:tcPr>
            <w:tcW w:w="98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24"/>
              </w:rPr>
            </w:pPr>
            <w:r>
              <w:rPr>
                <w:rFonts w:eastAsia="Times New Roman" w:cs="Times New Roman" w:ascii="Times New Roman" w:hAnsi="Times New Roman"/>
                <w:sz w:val="24"/>
              </w:rPr>
            </w:r>
          </w:p>
        </w:tc>
      </w:tr>
      <w:tr>
        <w:trPr>
          <w:trHeight w:val="204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exact" w:line="204"/>
              <w:ind w:left="18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peniaze v pokladni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pacing w:lineRule="exact" w:line="204"/>
              <w:ind w:left="2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stav k 1.1.2020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ind w:left="40" w:hanging="0"/>
              <w:rPr/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color w:val="auto"/>
                <w:spacing w:val="0"/>
                <w:sz w:val="18"/>
                <w:szCs w:val="20"/>
              </w:rPr>
              <w:t>169 916,13</w:t>
            </w:r>
            <w:r>
              <w:rPr>
                <w:rFonts w:eastAsia="Arial" w:cs="Arial" w:ascii="Arial" w:hAnsi="Arial"/>
                <w:b/>
                <w:sz w:val="18"/>
              </w:rPr>
              <w:t xml:space="preserve"> €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exact" w:line="204"/>
              <w:ind w:left="80" w:hanging="0"/>
              <w:rPr>
                <w:rFonts w:ascii="Arial" w:hAnsi="Arial" w:eastAsia="Arial" w:cs="Arial"/>
                <w:b/>
                <w:b/>
                <w:w w:val="94"/>
                <w:sz w:val="18"/>
              </w:rPr>
            </w:pPr>
            <w:r>
              <w:rPr>
                <w:rFonts w:eastAsia="Arial" w:cs="Arial" w:ascii="Arial" w:hAnsi="Arial"/>
                <w:b/>
                <w:w w:val="94"/>
                <w:sz w:val="18"/>
              </w:rPr>
              <w:t>stav k 31.12.2020</w:t>
            </w:r>
          </w:p>
        </w:tc>
        <w:tc>
          <w:tcPr>
            <w:tcW w:w="980" w:type="dxa"/>
            <w:tcBorders/>
          </w:tcPr>
          <w:p>
            <w:pPr>
              <w:pStyle w:val="Normal"/>
              <w:spacing w:lineRule="exact" w:line="204"/>
              <w:ind w:left="30" w:hanging="0"/>
              <w:jc w:val="center"/>
              <w:rPr>
                <w:rFonts w:ascii="Arial" w:hAnsi="Arial" w:eastAsia="Arial" w:cs="Arial"/>
                <w:b/>
                <w:b/>
                <w:w w:val="90"/>
                <w:sz w:val="18"/>
              </w:rPr>
            </w:pPr>
            <w:r>
              <w:rPr>
                <w:rFonts w:eastAsia="Arial" w:cs="Arial" w:ascii="Arial" w:hAnsi="Arial"/>
                <w:b/>
                <w:color w:val="auto"/>
                <w:w w:val="90"/>
                <w:sz w:val="18"/>
                <w:szCs w:val="20"/>
              </w:rPr>
              <w:t>181791</w:t>
            </w:r>
            <w:r>
              <w:rPr>
                <w:rFonts w:eastAsia="Arial" w:cs="Arial" w:ascii="Arial" w:hAnsi="Arial"/>
                <w:b/>
                <w:w w:val="90"/>
                <w:sz w:val="18"/>
              </w:rPr>
              <w:t>,</w:t>
            </w:r>
            <w:r>
              <w:rPr>
                <w:rFonts w:eastAsia="Arial" w:cs="Arial" w:ascii="Arial" w:hAnsi="Arial"/>
                <w:b/>
                <w:color w:val="auto"/>
                <w:w w:val="90"/>
                <w:sz w:val="18"/>
                <w:szCs w:val="20"/>
              </w:rPr>
              <w:t>70</w:t>
            </w:r>
            <w:r>
              <w:rPr>
                <w:rFonts w:eastAsia="Arial" w:cs="Arial" w:ascii="Arial" w:hAnsi="Arial"/>
                <w:b/>
                <w:w w:val="90"/>
                <w:sz w:val="18"/>
              </w:rPr>
              <w:t xml:space="preserve"> €</w:t>
            </w:r>
          </w:p>
        </w:tc>
      </w:tr>
      <w:tr>
        <w:trPr>
          <w:trHeight w:val="204" w:hRule="atLeast"/>
        </w:trPr>
        <w:tc>
          <w:tcPr>
            <w:tcW w:w="24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w w:val="90"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w w:val="90"/>
                <w:sz w:val="17"/>
              </w:rPr>
            </w:r>
          </w:p>
        </w:tc>
        <w:tc>
          <w:tcPr>
            <w:tcW w:w="2420" w:type="dxa"/>
            <w:tcBorders/>
          </w:tcPr>
          <w:p>
            <w:pPr>
              <w:pStyle w:val="Normal"/>
              <w:spacing w:lineRule="exact" w:line="204"/>
              <w:ind w:left="180" w:hanging="0"/>
              <w:rPr>
                <w:rFonts w:ascii="Arial" w:hAnsi="Arial" w:eastAsia="Arial" w:cs="Arial"/>
                <w:b/>
                <w:b/>
                <w:w w:val="92"/>
                <w:sz w:val="18"/>
              </w:rPr>
            </w:pPr>
            <w:r>
              <w:rPr>
                <w:rFonts w:eastAsia="Arial" w:cs="Arial" w:ascii="Arial" w:hAnsi="Arial"/>
                <w:b/>
                <w:w w:val="92"/>
                <w:sz w:val="18"/>
              </w:rPr>
              <w:t>- peniaze na bankovom účte</w:t>
            </w:r>
          </w:p>
        </w:tc>
        <w:tc>
          <w:tcPr>
            <w:tcW w:w="1700" w:type="dxa"/>
            <w:tcBorders/>
          </w:tcPr>
          <w:p>
            <w:pPr>
              <w:pStyle w:val="Normal"/>
              <w:spacing w:lineRule="exact" w:line="204"/>
              <w:ind w:left="2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stav k 1.1.2020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ind w:left="40" w:hanging="0"/>
              <w:rPr/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pacing w:val="0"/>
                <w:sz w:val="18"/>
              </w:rPr>
              <w:t xml:space="preserve">986,04 </w:t>
            </w: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  <w:tc>
          <w:tcPr>
            <w:tcW w:w="1480" w:type="dxa"/>
            <w:tcBorders/>
          </w:tcPr>
          <w:p>
            <w:pPr>
              <w:pStyle w:val="Normal"/>
              <w:spacing w:lineRule="exact" w:line="204"/>
              <w:ind w:left="80" w:hanging="0"/>
              <w:rPr>
                <w:rFonts w:ascii="Arial" w:hAnsi="Arial" w:eastAsia="Arial" w:cs="Arial"/>
                <w:b/>
                <w:b/>
                <w:w w:val="94"/>
                <w:sz w:val="18"/>
              </w:rPr>
            </w:pPr>
            <w:r>
              <w:rPr>
                <w:rFonts w:eastAsia="Arial" w:cs="Arial" w:ascii="Arial" w:hAnsi="Arial"/>
                <w:b/>
                <w:w w:val="94"/>
                <w:sz w:val="18"/>
              </w:rPr>
              <w:t>stav k 31.12.2020</w:t>
            </w:r>
          </w:p>
        </w:tc>
        <w:tc>
          <w:tcPr>
            <w:tcW w:w="980" w:type="dxa"/>
            <w:tcBorders/>
          </w:tcPr>
          <w:p>
            <w:pPr>
              <w:pStyle w:val="Normal"/>
              <w:spacing w:lineRule="exact" w:line="204"/>
              <w:ind w:left="50" w:hanging="0"/>
              <w:jc w:val="center"/>
              <w:rPr>
                <w:rFonts w:ascii="Arial" w:hAnsi="Arial" w:eastAsia="Arial" w:cs="Arial"/>
                <w:b/>
                <w:b/>
                <w:w w:val="89"/>
                <w:sz w:val="18"/>
              </w:rPr>
            </w:pPr>
            <w:r>
              <w:rPr>
                <w:rFonts w:eastAsia="Arial" w:cs="Arial" w:ascii="Arial" w:hAnsi="Arial"/>
                <w:b/>
                <w:color w:val="auto"/>
                <w:w w:val="89"/>
                <w:sz w:val="18"/>
                <w:szCs w:val="20"/>
              </w:rPr>
              <w:t>2116</w:t>
            </w:r>
            <w:r>
              <w:rPr>
                <w:rFonts w:eastAsia="Arial" w:cs="Arial" w:ascii="Arial" w:hAnsi="Arial"/>
                <w:b/>
                <w:w w:val="89"/>
                <w:sz w:val="18"/>
              </w:rPr>
              <w:t>,</w:t>
            </w:r>
            <w:r>
              <w:rPr>
                <w:rFonts w:eastAsia="Arial" w:cs="Arial" w:ascii="Arial" w:hAnsi="Arial"/>
                <w:b/>
                <w:color w:val="auto"/>
                <w:w w:val="89"/>
                <w:sz w:val="18"/>
                <w:szCs w:val="20"/>
              </w:rPr>
              <w:t>41</w:t>
            </w:r>
            <w:r>
              <w:rPr>
                <w:rFonts w:eastAsia="Arial" w:cs="Arial" w:ascii="Arial" w:hAnsi="Arial"/>
                <w:b/>
                <w:w w:val="89"/>
                <w:sz w:val="18"/>
              </w:rPr>
              <w:t xml:space="preserve"> €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1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17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Krátkodobý finančný majetok – spoločnosť neúčtuje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3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7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Vlastné akcie – spoločnosť neúčtuje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69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7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Časové rozlíšenie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 tomto období spoločnosť účtovala o časovom rozlíšení poistenia majetku.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12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ÚDAJOCH NA STRANE PASÍV SÚVAHY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18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Vlastné imanie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Informácie o vlastnom imaní sú uvedené v tabuľke číslo 1 - informácie o vlastnom imaní.</w:t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numPr>
          <w:ilvl w:val="0"/>
          <w:numId w:val="19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Rezervy – spoločnosť neúčtuje</w:t>
      </w:r>
    </w:p>
    <w:p>
      <w:pPr>
        <w:pStyle w:val="Normal"/>
        <w:spacing w:lineRule="exact" w:line="201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19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Záväzky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6"/>
        </w:rPr>
      </w:pPr>
      <w:r>
        <w:rPr>
          <w:rFonts w:eastAsia="Arial" w:cs="Arial" w:ascii="Arial" w:hAnsi="Arial"/>
          <w:b/>
          <w:sz w:val="16"/>
        </w:rPr>
        <w:t>Štruktúra záväzkov (okrem bankových úverov) podľa zostatkovej doby splatnosti je uvedená v nasledujúcom prehľade:</w:t>
      </w:r>
    </w:p>
    <w:p>
      <w:pPr>
        <w:pStyle w:val="Normal"/>
        <w:spacing w:lineRule="exact" w:line="215"/>
        <w:rPr>
          <w:rFonts w:ascii="Times New Roman" w:hAnsi="Times New Roman" w:eastAsia="Times New Roman" w:cs="Times New Roman"/>
          <w:b/>
          <w:b/>
          <w:sz w:val="16"/>
        </w:rPr>
      </w:pPr>
      <w:r>
        <w:rPr>
          <w:rFonts w:eastAsia="Times New Roman" w:cs="Times New Roman" w:ascii="Times New Roman" w:hAnsi="Times New Roman"/>
          <w:b/>
          <w:sz w:val="16"/>
        </w:rPr>
      </w:r>
    </w:p>
    <w:tbl>
      <w:tblPr>
        <w:tblW w:w="6200" w:type="dxa"/>
        <w:jc w:val="left"/>
        <w:tblInd w:w="42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4720"/>
        <w:gridCol w:w="1320"/>
        <w:gridCol w:w="160"/>
      </w:tblGrid>
      <w:tr>
        <w:trPr>
          <w:trHeight w:val="207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stav k 31.12.2020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8"/>
              </w:rPr>
            </w:pPr>
            <w:r>
              <w:rPr>
                <w:rFonts w:eastAsia="Times New Roman" w:cs="Times New Roman" w:ascii="Times New Roman" w:hAnsi="Times New Roman"/>
                <w:b/>
                <w:sz w:val="18"/>
              </w:rPr>
            </w:r>
          </w:p>
        </w:tc>
        <w:tc>
          <w:tcPr>
            <w:tcW w:w="16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8"/>
              </w:rPr>
            </w:pPr>
            <w:r>
              <w:rPr>
                <w:rFonts w:eastAsia="Times New Roman" w:cs="Times New Roman" w:ascii="Times New Roman" w:hAnsi="Times New Roman"/>
                <w:sz w:val="18"/>
              </w:rPr>
            </w:r>
          </w:p>
        </w:tc>
      </w:tr>
      <w:tr>
        <w:trPr>
          <w:trHeight w:val="204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krátkodobé záväzky z obchodného styku</w:t>
            </w:r>
          </w:p>
        </w:tc>
        <w:tc>
          <w:tcPr>
            <w:tcW w:w="1480" w:type="dxa"/>
            <w:gridSpan w:val="2"/>
            <w:tcBorders/>
          </w:tcPr>
          <w:p>
            <w:pPr>
              <w:pStyle w:val="Normal"/>
              <w:spacing w:lineRule="exact" w:line="204"/>
              <w:ind w:left="620" w:hanging="0"/>
              <w:rPr/>
            </w:pPr>
            <w:r>
              <w:rPr>
                <w:rFonts w:eastAsia="Arial" w:cs="Arial" w:ascii="Arial" w:hAnsi="Arial"/>
                <w:b/>
                <w:color w:val="auto"/>
                <w:w w:val="88"/>
                <w:sz w:val="18"/>
                <w:szCs w:val="20"/>
              </w:rPr>
              <w:t>194557</w:t>
            </w:r>
            <w:r>
              <w:rPr>
                <w:rFonts w:eastAsia="Arial" w:cs="Arial" w:ascii="Arial" w:hAnsi="Arial"/>
                <w:b/>
                <w:w w:val="88"/>
                <w:sz w:val="18"/>
              </w:rPr>
              <w:t xml:space="preserve"> €</w:t>
            </w:r>
          </w:p>
        </w:tc>
      </w:tr>
      <w:tr>
        <w:trPr>
          <w:trHeight w:val="204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záväzky voči zamestnancom, soc.zab.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6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daňové záväzky a dotácie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6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</w:tr>
      <w:tr>
        <w:trPr>
          <w:trHeight w:val="408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w w:val="96"/>
                <w:sz w:val="18"/>
              </w:rPr>
            </w:pPr>
            <w:r>
              <w:rPr>
                <w:rFonts w:eastAsia="Arial" w:cs="Arial" w:ascii="Arial" w:hAnsi="Arial"/>
                <w:b/>
                <w:w w:val="96"/>
                <w:sz w:val="18"/>
              </w:rPr>
              <w:t>- krátkodobé rezervy- rezerva na nevyčerpané dovolenky</w:t>
            </w:r>
          </w:p>
        </w:tc>
        <w:tc>
          <w:tcPr>
            <w:tcW w:w="1480" w:type="dxa"/>
            <w:gridSpan w:val="2"/>
            <w:tcBorders/>
          </w:tcPr>
          <w:p>
            <w:pPr>
              <w:pStyle w:val="Normal"/>
              <w:spacing w:lineRule="auto"/>
              <w:ind w:left="760" w:hanging="0"/>
              <w:jc w:val="right"/>
              <w:rPr/>
            </w:pPr>
            <w:r>
              <w:rPr>
                <w:rFonts w:eastAsia="Arial" w:cs="Arial" w:ascii="Arial" w:hAnsi="Arial"/>
                <w:b/>
                <w:color w:val="auto"/>
                <w:w w:val="99"/>
                <w:sz w:val="18"/>
                <w:szCs w:val="20"/>
              </w:rPr>
              <w:t xml:space="preserve">0 </w:t>
            </w:r>
            <w:r>
              <w:rPr>
                <w:rFonts w:eastAsia="Arial" w:cs="Arial" w:ascii="Arial" w:hAnsi="Arial"/>
                <w:b/>
                <w:w w:val="99"/>
                <w:sz w:val="18"/>
              </w:rPr>
              <w:t>€</w:t>
            </w:r>
          </w:p>
        </w:tc>
      </w:tr>
      <w:tr>
        <w:trPr>
          <w:trHeight w:val="408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dlhodobé záväzky z prenájmu automobilu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auto"/>
              <w:jc w:val="right"/>
              <w:rPr/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60" w:type="dxa"/>
            <w:tcBorders/>
          </w:tcPr>
          <w:p>
            <w:pPr>
              <w:pStyle w:val="Normal"/>
              <w:spacing w:lineRule="auto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472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záväzky zo sociálneho fondu</w:t>
            </w:r>
          </w:p>
        </w:tc>
        <w:tc>
          <w:tcPr>
            <w:tcW w:w="13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6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€</w:t>
            </w:r>
          </w:p>
        </w:tc>
      </w:tr>
    </w:tbl>
    <w:p>
      <w:pPr>
        <w:sectPr>
          <w:type w:val="nextPage"/>
          <w:pgSz w:w="11906" w:h="16838"/>
          <w:pgMar w:left="1135" w:right="1226" w:header="0" w:top="1440" w:footer="0" w:bottom="1440" w:gutter="0"/>
          <w:pgNumType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  <w:bookmarkStart w:id="8" w:name="page6"/>
      <w:bookmarkStart w:id="9" w:name="page6"/>
      <w:bookmarkEnd w:id="9"/>
    </w:p>
    <w:p>
      <w:pPr>
        <w:pStyle w:val="Normal"/>
        <w:spacing w:lineRule="exact" w:line="226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20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Odložený daňový záväzok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Spoločnosť neúčtuje o odloženom daňovom záväzku.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1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21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Sociálny fond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Tvorba a čerpanie sociálneho fondu v priebehu účtovného obdobia bolo v súlade s platnými predpismi.</w:t>
      </w:r>
    </w:p>
    <w:p>
      <w:pPr>
        <w:pStyle w:val="Normal"/>
        <w:spacing w:lineRule="auto"/>
        <w:ind w:left="425" w:hanging="0"/>
        <w:rPr/>
      </w:pPr>
      <w:r>
        <w:rPr>
          <w:rFonts w:eastAsia="Arial" w:cs="Arial" w:ascii="Arial" w:hAnsi="Arial"/>
          <w:b/>
          <w:sz w:val="16"/>
        </w:rPr>
        <w:t>Spoločnosť ne</w:t>
      </w:r>
      <w:r>
        <w:rPr>
          <w:rFonts w:eastAsia="Arial" w:cs="Arial" w:ascii="Arial" w:hAnsi="Arial"/>
          <w:b/>
          <w:color w:val="auto"/>
          <w:sz w:val="16"/>
          <w:szCs w:val="20"/>
        </w:rPr>
        <w:t>tvorí SF.</w:t>
      </w:r>
    </w:p>
    <w:p>
      <w:pPr>
        <w:pStyle w:val="Normal"/>
        <w:spacing w:lineRule="exact" w:line="218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22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Vydané dlhopisy – spoločnosť neúčtuje</w:t>
      </w:r>
    </w:p>
    <w:p>
      <w:pPr>
        <w:pStyle w:val="Normal"/>
        <w:spacing w:lineRule="exact" w:line="20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spacing w:lineRule="exact" w:line="22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22"/>
        </w:numPr>
        <w:tabs>
          <w:tab w:val="clear" w:pos="720"/>
          <w:tab w:val="left" w:pos="405" w:leader="none"/>
        </w:tabs>
        <w:spacing w:lineRule="auto"/>
        <w:ind w:left="405" w:hanging="40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Bankové úvery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>
          <w:rFonts w:ascii="Arial" w:hAnsi="Arial" w:eastAsia="Arial" w:cs="Arial"/>
          <w:b/>
          <w:b/>
          <w:sz w:val="16"/>
        </w:rPr>
      </w:pPr>
      <w:r>
        <w:rPr>
          <w:rFonts w:eastAsia="Arial" w:cs="Arial" w:ascii="Arial" w:hAnsi="Arial"/>
          <w:b/>
          <w:sz w:val="16"/>
        </w:rPr>
        <w:t>Spoločnosť neúčtuje o bankových úveroch. Na financovanie svojej činnosti nevyúživa finacovanie bankovými úvermi.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6"/>
        </w:rPr>
      </w:pPr>
      <w:r>
        <w:rPr>
          <w:rFonts w:eastAsia="Times New Roman" w:cs="Times New Roman" w:ascii="Times New Roman" w:hAnsi="Times New Roman"/>
          <w:b/>
          <w:sz w:val="16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28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tabs>
          <w:tab w:val="clear" w:pos="720"/>
          <w:tab w:val="left" w:pos="344" w:leader="none"/>
        </w:tabs>
        <w:spacing w:lineRule="auto"/>
        <w:ind w:left="5" w:hanging="0"/>
        <w:rPr/>
      </w:pPr>
      <w:r>
        <w:rPr>
          <w:rFonts w:eastAsia="Arial" w:cs="Arial" w:ascii="Arial" w:hAnsi="Arial"/>
          <w:b/>
          <w:sz w:val="18"/>
        </w:rPr>
        <w:t>8.</w:t>
        <w:tab/>
        <w:t>Časové rozlíšenie – spoločnosť neúčtuje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tabs>
          <w:tab w:val="clear" w:pos="720"/>
          <w:tab w:val="left" w:pos="344" w:leader="none"/>
        </w:tabs>
        <w:spacing w:lineRule="auto"/>
        <w:ind w:left="5" w:hanging="0"/>
        <w:rPr/>
      </w:pPr>
      <w:r>
        <w:rPr>
          <w:rFonts w:eastAsia="Arial" w:cs="Arial" w:ascii="Arial" w:hAnsi="Arial"/>
          <w:b/>
          <w:sz w:val="18"/>
        </w:rPr>
        <w:t>9.</w:t>
        <w:tab/>
        <w:t>Deriváty – spoločnosť neúčtuje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7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VÝNOSOCH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tbl>
      <w:tblPr>
        <w:tblW w:w="7440" w:type="dxa"/>
        <w:jc w:val="left"/>
        <w:tblInd w:w="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5700"/>
        <w:gridCol w:w="1620"/>
        <w:gridCol w:w="120"/>
      </w:tblGrid>
      <w:tr>
        <w:trPr>
          <w:trHeight w:val="207" w:hRule="atLeast"/>
        </w:trPr>
        <w:tc>
          <w:tcPr>
            <w:tcW w:w="570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1.   Tržby z predaja služieb:</w:t>
            </w:r>
          </w:p>
        </w:tc>
        <w:tc>
          <w:tcPr>
            <w:tcW w:w="16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8"/>
              </w:rPr>
            </w:pPr>
            <w:r>
              <w:rPr>
                <w:rFonts w:eastAsia="Times New Roman" w:cs="Times New Roman" w:ascii="Times New Roman" w:hAnsi="Times New Roman"/>
                <w:b/>
                <w:sz w:val="18"/>
              </w:rPr>
            </w:r>
          </w:p>
        </w:tc>
        <w:tc>
          <w:tcPr>
            <w:tcW w:w="1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8"/>
              </w:rPr>
            </w:pPr>
            <w:r>
              <w:rPr>
                <w:rFonts w:eastAsia="Times New Roman" w:cs="Times New Roman" w:ascii="Times New Roman" w:hAnsi="Times New Roman"/>
                <w:sz w:val="18"/>
              </w:rPr>
            </w:r>
          </w:p>
        </w:tc>
      </w:tr>
      <w:tr>
        <w:trPr>
          <w:trHeight w:val="403" w:hRule="atLeast"/>
        </w:trPr>
        <w:tc>
          <w:tcPr>
            <w:tcW w:w="5700" w:type="dxa"/>
            <w:tcBorders/>
          </w:tcPr>
          <w:p>
            <w:pPr>
              <w:pStyle w:val="Normal"/>
              <w:spacing w:lineRule="auto"/>
              <w:ind w:left="420" w:hanging="0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Spoločnosť za rok 2020 dosiahla tržby z poskytnutých služieb</w:t>
            </w:r>
          </w:p>
        </w:tc>
        <w:tc>
          <w:tcPr>
            <w:tcW w:w="1620" w:type="dxa"/>
            <w:tcBorders/>
          </w:tcPr>
          <w:p>
            <w:pPr>
              <w:pStyle w:val="Normal"/>
              <w:spacing w:lineRule="auto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98450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auto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5700" w:type="dxa"/>
            <w:tcBorders/>
          </w:tcPr>
          <w:p>
            <w:pPr>
              <w:pStyle w:val="Normal"/>
              <w:spacing w:lineRule="exact" w:line="204"/>
              <w:ind w:left="42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Ostatné výnosy</w:t>
            </w:r>
          </w:p>
        </w:tc>
        <w:tc>
          <w:tcPr>
            <w:tcW w:w="16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5700" w:type="dxa"/>
            <w:tcBorders/>
          </w:tcPr>
          <w:p>
            <w:pPr>
              <w:pStyle w:val="Normal"/>
              <w:spacing w:lineRule="exact" w:line="204"/>
              <w:ind w:left="46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Dotácia COVID 19</w:t>
            </w:r>
          </w:p>
        </w:tc>
        <w:tc>
          <w:tcPr>
            <w:tcW w:w="16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</w:tbl>
    <w:p>
      <w:pPr>
        <w:pStyle w:val="Normal"/>
        <w:spacing w:lineRule="exact" w:line="206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numPr>
          <w:ilvl w:val="0"/>
          <w:numId w:val="23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Zmena stavu zásob vlastnej výroby – spoločnosť neúčtuje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tabs>
          <w:tab w:val="clear" w:pos="720"/>
          <w:tab w:val="left" w:pos="344" w:leader="none"/>
          <w:tab w:val="left" w:pos="7904" w:leader="none"/>
        </w:tabs>
        <w:spacing w:lineRule="auto"/>
        <w:ind w:left="5" w:hanging="0"/>
        <w:rPr/>
      </w:pPr>
      <w:r>
        <w:rPr>
          <w:rFonts w:eastAsia="Arial" w:cs="Arial" w:ascii="Arial" w:hAnsi="Arial"/>
          <w:b/>
          <w:sz w:val="18"/>
        </w:rPr>
        <w:t>3.</w:t>
        <w:tab/>
        <w:t>Aktivácia nákladov, výnosy z hospodárskej činnosti, finančnej činnosti a mimoriadnej činnosti –</w:t>
      </w:r>
      <w:r>
        <w:rPr>
          <w:rFonts w:eastAsia="Times New Roman" w:cs="Times New Roman" w:ascii="Times New Roman" w:hAnsi="Times New Roman"/>
        </w:rPr>
        <w:tab/>
      </w:r>
      <w:r>
        <w:rPr>
          <w:rFonts w:eastAsia="Arial" w:cs="Arial" w:ascii="Arial" w:hAnsi="Arial"/>
          <w:b/>
          <w:sz w:val="15"/>
        </w:rPr>
        <w:t>spoločnosť neúčtuje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numPr>
          <w:ilvl w:val="0"/>
          <w:numId w:val="24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Čistý obrat</w:t>
      </w:r>
    </w:p>
    <w:p>
      <w:pPr>
        <w:pStyle w:val="Normal"/>
        <w:spacing w:lineRule="exact" w:line="196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425" w:hanging="0"/>
        <w:rPr/>
      </w:pPr>
      <w:r>
        <w:rPr>
          <w:rFonts w:eastAsia="Arial" w:cs="Arial" w:ascii="Arial" w:hAnsi="Arial"/>
          <w:b/>
          <w:sz w:val="18"/>
        </w:rPr>
        <w:t xml:space="preserve">Čistý obrat Spoločnosti je </w:t>
      </w:r>
      <w:r>
        <w:rPr>
          <w:rFonts w:eastAsia="Arial" w:cs="Arial" w:ascii="Arial" w:hAnsi="Arial"/>
          <w:b/>
          <w:color w:val="auto"/>
          <w:sz w:val="18"/>
          <w:szCs w:val="20"/>
        </w:rPr>
        <w:t>98450</w:t>
      </w:r>
      <w:r>
        <w:rPr>
          <w:rFonts w:eastAsia="Arial" w:cs="Arial" w:ascii="Arial" w:hAnsi="Arial"/>
          <w:b/>
          <w:sz w:val="18"/>
        </w:rPr>
        <w:t xml:space="preserve"> €.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322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NÁKLADOCH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25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Náklady na poskytnuté služby, ostatné náklady na hospodársku činnosť, finančné a mimoriadne náklady</w:t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sectPr>
          <w:type w:val="nextPage"/>
          <w:pgSz w:w="11906" w:h="16838"/>
          <w:pgMar w:left="1135" w:right="1126" w:header="0" w:top="1440" w:footer="0" w:bottom="945" w:gutter="0"/>
          <w:pgNumType w:fmt="decimal"/>
          <w:formProt w:val="false"/>
          <w:textDirection w:val="lrTb"/>
          <w:docGrid w:type="default" w:linePitch="360" w:charSpace="0"/>
        </w:sectPr>
        <w:pStyle w:val="Normal"/>
        <w:spacing w:lineRule="auto"/>
        <w:ind w:left="425" w:hanging="0"/>
        <w:rPr/>
      </w:pPr>
      <w:r>
        <w:rPr/>
        <w:t>Prehľad  o nákladoch  na poskytnuté služby,  ostatných nákladoch  na hospodársku činnosť, finančných a mimoriadnych</w:t>
      </w:r>
    </w:p>
    <w:tbl>
      <w:tblPr>
        <w:tblW w:w="5580" w:type="dxa"/>
        <w:jc w:val="left"/>
        <w:tblInd w:w="42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3460"/>
        <w:gridCol w:w="2000"/>
        <w:gridCol w:w="120"/>
      </w:tblGrid>
      <w:tr>
        <w:trPr>
          <w:trHeight w:val="207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bookmarkStart w:id="10" w:name="page7"/>
            <w:bookmarkEnd w:id="10"/>
            <w:r>
              <w:rPr>
                <w:rFonts w:eastAsia="Arial" w:cs="Arial" w:ascii="Arial" w:hAnsi="Arial"/>
                <w:b/>
                <w:sz w:val="18"/>
              </w:rPr>
              <w:t>nákladoch: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b/>
                <w:b/>
                <w:sz w:val="17"/>
              </w:rPr>
            </w:pPr>
            <w:r>
              <w:rPr>
                <w:rFonts w:eastAsia="Times New Roman" w:cs="Times New Roman" w:ascii="Times New Roman" w:hAnsi="Times New Roman"/>
                <w:b/>
                <w:sz w:val="17"/>
              </w:rPr>
            </w:r>
          </w:p>
        </w:tc>
        <w:tc>
          <w:tcPr>
            <w:tcW w:w="120" w:type="dxa"/>
            <w:tcBorders/>
          </w:tcPr>
          <w:p>
            <w:pPr>
              <w:pStyle w:val="Normal"/>
              <w:snapToGrid w:val="false"/>
              <w:spacing w:lineRule="auto"/>
              <w:rPr>
                <w:rFonts w:ascii="Times New Roman" w:hAnsi="Times New Roman" w:eastAsia="Times New Roman" w:cs="Times New Roman"/>
                <w:sz w:val="17"/>
              </w:rPr>
            </w:pPr>
            <w:r>
              <w:rPr>
                <w:rFonts w:eastAsia="Times New Roman" w:cs="Times New Roman" w:ascii="Times New Roman" w:hAnsi="Times New Roman"/>
                <w:sz w:val="17"/>
              </w:rPr>
            </w:r>
          </w:p>
        </w:tc>
      </w:tr>
      <w:tr>
        <w:trPr>
          <w:trHeight w:val="612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Náklady na spotrebu materiálu</w:t>
            </w:r>
          </w:p>
        </w:tc>
        <w:tc>
          <w:tcPr>
            <w:tcW w:w="2120" w:type="dxa"/>
            <w:gridSpan w:val="2"/>
            <w:tcBorders/>
          </w:tcPr>
          <w:p>
            <w:pPr>
              <w:pStyle w:val="Normal"/>
              <w:spacing w:lineRule="auto"/>
              <w:jc w:val="right"/>
              <w:rPr/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3027</w:t>
            </w:r>
            <w:r>
              <w:rPr>
                <w:rFonts w:eastAsia="Arial" w:cs="Arial" w:ascii="Arial" w:hAnsi="Arial"/>
                <w:b/>
                <w:sz w:val="18"/>
              </w:rPr>
              <w:t xml:space="preserve"> 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Služby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87890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Osobné náklady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Dane a poplatky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Odpisy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15805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Ostatné nálady na HČ</w:t>
            </w:r>
          </w:p>
        </w:tc>
        <w:tc>
          <w:tcPr>
            <w:tcW w:w="20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2177</w:t>
            </w:r>
          </w:p>
        </w:tc>
        <w:tc>
          <w:tcPr>
            <w:tcW w:w="120" w:type="dxa"/>
            <w:tcBorders/>
          </w:tcPr>
          <w:p>
            <w:pPr>
              <w:pStyle w:val="Normal"/>
              <w:spacing w:lineRule="exact" w:line="204"/>
              <w:ind w:left="20" w:hanging="0"/>
              <w:rPr>
                <w:rFonts w:ascii="Arial" w:hAnsi="Arial" w:eastAsia="Arial" w:cs="Arial"/>
                <w:b/>
                <w:b/>
                <w:w w:val="79"/>
                <w:sz w:val="18"/>
              </w:rPr>
            </w:pPr>
            <w:r>
              <w:rPr>
                <w:rFonts w:eastAsia="Arial" w:cs="Arial" w:ascii="Arial" w:hAnsi="Arial"/>
                <w:b/>
                <w:w w:val="79"/>
                <w:sz w:val="18"/>
              </w:rPr>
              <w:t>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Finančné náklady</w:t>
            </w:r>
          </w:p>
        </w:tc>
        <w:tc>
          <w:tcPr>
            <w:tcW w:w="2120" w:type="dxa"/>
            <w:gridSpan w:val="2"/>
            <w:tcBorders/>
          </w:tcPr>
          <w:p>
            <w:pPr>
              <w:pStyle w:val="Normal"/>
              <w:spacing w:lineRule="exact" w:line="204"/>
              <w:jc w:val="right"/>
              <w:rPr/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1335</w:t>
            </w:r>
            <w:r>
              <w:rPr>
                <w:rFonts w:eastAsia="Arial" w:cs="Arial" w:ascii="Arial" w:hAnsi="Arial"/>
                <w:b/>
                <w:sz w:val="18"/>
              </w:rPr>
              <w:t xml:space="preserve"> €</w:t>
            </w:r>
          </w:p>
        </w:tc>
      </w:tr>
      <w:tr>
        <w:trPr>
          <w:trHeight w:val="204" w:hRule="atLeast"/>
        </w:trPr>
        <w:tc>
          <w:tcPr>
            <w:tcW w:w="346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</w:r>
          </w:p>
        </w:tc>
        <w:tc>
          <w:tcPr>
            <w:tcW w:w="2120" w:type="dxa"/>
            <w:gridSpan w:val="2"/>
            <w:tcBorders/>
          </w:tcPr>
          <w:p>
            <w:pPr>
              <w:pStyle w:val="Normal"/>
              <w:spacing w:lineRule="exact" w:line="204"/>
              <w:jc w:val="right"/>
              <w:rPr/>
            </w:pPr>
            <w:r>
              <w:rPr/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24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DANIACH Z PRÍJMOV</w:t>
      </w:r>
    </w:p>
    <w:p>
      <w:pPr>
        <w:pStyle w:val="Normal"/>
        <w:spacing w:lineRule="exact" w:line="199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tbl>
      <w:tblPr>
        <w:tblW w:w="6100" w:type="dxa"/>
        <w:jc w:val="left"/>
        <w:tblInd w:w="425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4320"/>
        <w:gridCol w:w="1780"/>
      </w:tblGrid>
      <w:tr>
        <w:trPr>
          <w:trHeight w:val="207" w:hRule="atLeast"/>
        </w:trPr>
        <w:tc>
          <w:tcPr>
            <w:tcW w:w="432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Daňová povinnosť spoločnosti za rok 2020 je</w:t>
            </w:r>
          </w:p>
        </w:tc>
        <w:tc>
          <w:tcPr>
            <w:tcW w:w="1780" w:type="dxa"/>
            <w:tcBorders/>
          </w:tcPr>
          <w:p>
            <w:pPr>
              <w:pStyle w:val="Normal"/>
              <w:spacing w:lineRule="auto"/>
              <w:ind w:left="1020" w:hanging="0"/>
              <w:rPr/>
            </w:pPr>
            <w:r>
              <w:rPr>
                <w:rFonts w:eastAsia="Arial" w:cs="Arial" w:ascii="Arial" w:hAnsi="Arial"/>
                <w:b/>
                <w:color w:val="auto"/>
                <w:w w:val="86"/>
                <w:sz w:val="18"/>
                <w:szCs w:val="20"/>
              </w:rPr>
              <w:t>0</w:t>
            </w:r>
            <w:r>
              <w:rPr>
                <w:rFonts w:eastAsia="Arial" w:cs="Arial" w:ascii="Arial" w:hAnsi="Arial"/>
                <w:b/>
                <w:w w:val="86"/>
                <w:sz w:val="18"/>
              </w:rPr>
              <w:t xml:space="preserve"> €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8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ÚDAJOCH NA PODSÚVAHOVÝCH ÚČTOCH</w:t>
      </w:r>
    </w:p>
    <w:p>
      <w:pPr>
        <w:pStyle w:val="Normal"/>
        <w:spacing w:lineRule="exact" w:line="220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Najatý majetok spoločnosť neeviduje.</w:t>
      </w:r>
    </w:p>
    <w:p>
      <w:pPr>
        <w:pStyle w:val="Normal"/>
        <w:spacing w:lineRule="auto" w:line="235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Prenajatý majetok spoločnosť neeviduje.</w:t>
      </w:r>
    </w:p>
    <w:p>
      <w:pPr>
        <w:pStyle w:val="Normal"/>
        <w:spacing w:lineRule="auto" w:line="235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Ostatné finančné povinnosti spoločnosť neeviduje.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6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INÝCH AKTÍVACH A INÝCH PASÍVACH</w:t>
      </w:r>
    </w:p>
    <w:p>
      <w:pPr>
        <w:pStyle w:val="Normal"/>
        <w:spacing w:lineRule="exact" w:line="203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numPr>
          <w:ilvl w:val="0"/>
          <w:numId w:val="2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Podmienené záväzky</w:t>
      </w:r>
    </w:p>
    <w:p>
      <w:pPr>
        <w:pStyle w:val="Normal"/>
        <w:spacing w:lineRule="auto" w:line="228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Spoločnosť neeviduje podmienené záväzoky</w:t>
      </w:r>
    </w:p>
    <w:p>
      <w:pPr>
        <w:pStyle w:val="Normal"/>
        <w:spacing w:lineRule="exact" w:line="206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</w:r>
    </w:p>
    <w:p>
      <w:pPr>
        <w:pStyle w:val="Normal"/>
        <w:numPr>
          <w:ilvl w:val="0"/>
          <w:numId w:val="26"/>
        </w:numPr>
        <w:tabs>
          <w:tab w:val="clear" w:pos="720"/>
          <w:tab w:val="left" w:pos="365" w:leader="none"/>
        </w:tabs>
        <w:spacing w:lineRule="auto"/>
        <w:ind w:left="365" w:hanging="365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Podmienený majetok</w:t>
      </w:r>
    </w:p>
    <w:p>
      <w:pPr>
        <w:pStyle w:val="Normal"/>
        <w:spacing w:lineRule="auto" w:line="228"/>
        <w:ind w:left="36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Spoločnosť neeviduje podmienený majetok.</w:t>
      </w:r>
    </w:p>
    <w:p>
      <w:pPr>
        <w:pStyle w:val="Normal"/>
        <w:spacing w:lineRule="exact" w:line="217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 w:line="232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PRÍJMOCH A VÝHODÁCH ČLENOV ŠTATUTÁRNYCH ORGÁNOV, DOZORNÝCH ORGÁNOV A INÝCH ORGÁNOV ÚČTOVNEJ JEDNOTKY</w:t>
      </w:r>
    </w:p>
    <w:p>
      <w:pPr>
        <w:pStyle w:val="Normal"/>
        <w:spacing w:lineRule="exact" w:line="230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7"/>
        <w:ind w:left="365" w:hanging="0"/>
        <w:rPr>
          <w:rFonts w:ascii="Arial" w:hAnsi="Arial" w:eastAsia="Arial" w:cs="Arial"/>
          <w:b/>
          <w:b/>
          <w:sz w:val="19"/>
        </w:rPr>
      </w:pPr>
      <w:r>
        <w:rPr>
          <w:rFonts w:eastAsia="Arial" w:cs="Arial" w:ascii="Arial" w:hAnsi="Arial"/>
          <w:b/>
          <w:sz w:val="19"/>
        </w:rPr>
        <w:t>Pre členov štatutárnych orgánov, dozorných orgánov a iných organov účtovnej jednotky, spoločnosť v sledovanom účtovnom období nevyplatila žiadne príjmy ani neposkytla žiadne výhody.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9"/>
        </w:rPr>
      </w:pPr>
      <w:r>
        <w:rPr>
          <w:rFonts w:eastAsia="Times New Roman" w:cs="Times New Roman" w:ascii="Times New Roman" w:hAnsi="Times New Roman"/>
          <w:b/>
          <w:sz w:val="19"/>
        </w:rPr>
      </w:r>
    </w:p>
    <w:p>
      <w:pPr>
        <w:pStyle w:val="Normal"/>
        <w:spacing w:lineRule="exact" w:line="241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32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EKONOMICKÝCH VZŤAHOCH ÚČTOVNEJ JEDNOTKY A SPRIAZNENÝCH OSÔB</w:t>
      </w:r>
    </w:p>
    <w:p>
      <w:pPr>
        <w:pStyle w:val="Normal"/>
        <w:spacing w:lineRule="exact" w:line="230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30"/>
        <w:ind w:left="365" w:right="480" w:hanging="0"/>
        <w:rPr>
          <w:rFonts w:ascii="Arial" w:hAnsi="Arial" w:eastAsia="Arial" w:cs="Arial"/>
          <w:b/>
          <w:b/>
        </w:rPr>
      </w:pPr>
      <w:r>
        <w:rPr>
          <w:rFonts w:eastAsia="Arial" w:cs="Arial" w:ascii="Arial" w:hAnsi="Arial"/>
          <w:b/>
        </w:rPr>
        <w:t xml:space="preserve">Spoločnosť uskutočňovala v účtovnom období žiadne transakcie so spriaznenými osobami. 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exact" w:line="243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32"/>
        <w:ind w:left="5" w:hanging="0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SKUTOČNOSTIACH, KTORÉ NASTALI PO DNI, KU KTORÉMU SA ZOSTAVUJE ÚČTOVNÁ ZÁVIERKA, DO DŇA ZOSTAVENIA ÚČTOVNEJ ZÁVIERKY</w:t>
      </w:r>
    </w:p>
    <w:p>
      <w:pPr>
        <w:pStyle w:val="Normal"/>
        <w:spacing w:lineRule="exact" w:line="209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sectPr>
          <w:type w:val="nextPage"/>
          <w:pgSz w:w="11906" w:h="16838"/>
          <w:pgMar w:left="1135" w:right="1126" w:header="0" w:top="1431" w:footer="0" w:bottom="1440" w:gutter="0"/>
          <w:pgNumType w:fmt="decimal"/>
          <w:formProt w:val="false"/>
          <w:textDirection w:val="lrTb"/>
          <w:docGrid w:type="default" w:linePitch="360" w:charSpace="0"/>
        </w:sectPr>
        <w:pStyle w:val="Normal"/>
        <w:spacing w:lineRule="auto" w:line="232"/>
        <w:ind w:left="425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Po 31. decembri 2020 nenastali žiadne udalosti, ktoré majú významný vplyv na verné zobrazenie skutočností, ktoré sú predmetom účtovníctva.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  <w:bookmarkStart w:id="11" w:name="page8"/>
      <w:bookmarkStart w:id="12" w:name="page8"/>
      <w:bookmarkEnd w:id="12"/>
    </w:p>
    <w:p>
      <w:pPr>
        <w:pStyle w:val="Normal"/>
        <w:spacing w:lineRule="auto"/>
        <w:ind w:left="8760" w:hanging="0"/>
        <w:rPr>
          <w:rFonts w:ascii="Arial" w:hAnsi="Arial" w:eastAsia="Arial" w:cs="Arial"/>
        </w:rPr>
      </w:pPr>
      <w:r>
        <w:rPr>
          <w:rFonts w:eastAsia="Arial" w:cs="Arial" w:ascii="Arial" w:hAnsi="Arial"/>
          <w:b/>
          <w:sz w:val="15"/>
        </w:rPr>
        <w:t>T</w:t>
      </w:r>
      <w:r>
        <w:rPr>
          <w:rFonts w:eastAsia="Arial" w:cs="Arial" w:ascii="Arial" w:hAnsi="Arial"/>
          <w:b/>
          <w:sz w:val="15"/>
        </w:rPr>
        <w:t>abuľka č. 1</w:t>
      </w:r>
    </w:p>
    <w:p>
      <w:pPr>
        <w:pStyle w:val="Normal"/>
        <w:spacing w:lineRule="exact" w:line="2"/>
        <w:rPr>
          <w:rFonts w:ascii="Times New Roman" w:hAnsi="Times New Roman" w:eastAsia="Times New Roman" w:cs="Times New Roman"/>
          <w:b/>
          <w:b/>
          <w:sz w:val="15"/>
        </w:rPr>
      </w:pPr>
      <w:r>
        <w:rPr>
          <w:rFonts w:eastAsia="Times New Roman" w:cs="Times New Roman" w:ascii="Times New Roman" w:hAnsi="Times New Roman"/>
          <w:b/>
          <w:sz w:val="15"/>
        </w:rPr>
      </w:r>
    </w:p>
    <w:p>
      <w:pPr>
        <w:pStyle w:val="Normal"/>
        <w:spacing w:lineRule="auto"/>
        <w:rPr>
          <w:rFonts w:ascii="Arial" w:hAnsi="Arial" w:eastAsia="Arial" w:cs="Arial"/>
          <w:b/>
          <w:b/>
          <w:sz w:val="24"/>
        </w:rPr>
      </w:pPr>
      <w:r>
        <w:rPr>
          <w:rFonts w:eastAsia="Arial" w:cs="Arial" w:ascii="Arial" w:hAnsi="Arial"/>
          <w:b/>
          <w:sz w:val="24"/>
        </w:rPr>
        <w:t>INFORMÁCIE O VLASTNOM IMANÍ</w:t>
      </w:r>
    </w:p>
    <w:p>
      <w:pPr>
        <w:pStyle w:val="Normal"/>
        <w:spacing w:lineRule="exact" w:line="199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/>
        <w:ind w:left="420" w:hanging="0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Prehľad o pohybe vlastného imania v priebehu účtovného obdobia je uvedený v nasledujúcej tabuľke: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5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tbl>
      <w:tblPr>
        <w:tblW w:w="8240" w:type="dxa"/>
        <w:jc w:val="left"/>
        <w:tblInd w:w="420" w:type="dxa"/>
        <w:tblCellMar>
          <w:top w:w="0" w:type="dxa"/>
          <w:left w:w="0" w:type="dxa"/>
          <w:bottom w:w="0" w:type="dxa"/>
          <w:right w:w="0" w:type="dxa"/>
        </w:tblCellMar>
      </w:tblPr>
      <w:tblGrid>
        <w:gridCol w:w="1900"/>
        <w:gridCol w:w="1020"/>
        <w:gridCol w:w="2180"/>
        <w:gridCol w:w="1440"/>
        <w:gridCol w:w="960"/>
        <w:gridCol w:w="600"/>
        <w:gridCol w:w="140"/>
      </w:tblGrid>
      <w:tr>
        <w:trPr>
          <w:trHeight w:val="207" w:hRule="atLeast"/>
        </w:trPr>
        <w:tc>
          <w:tcPr>
            <w:tcW w:w="190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PS dlhodobého NM</w:t>
            </w:r>
          </w:p>
        </w:tc>
        <w:tc>
          <w:tcPr>
            <w:tcW w:w="102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  <w:tc>
          <w:tcPr>
            <w:tcW w:w="2180" w:type="dxa"/>
            <w:tcBorders/>
          </w:tcPr>
          <w:p>
            <w:pPr>
              <w:pStyle w:val="Normal"/>
              <w:spacing w:lineRule="auto"/>
              <w:ind w:left="8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KS dlhodobého majetku</w:t>
            </w:r>
          </w:p>
        </w:tc>
        <w:tc>
          <w:tcPr>
            <w:tcW w:w="1440" w:type="dxa"/>
            <w:tcBorders/>
          </w:tcPr>
          <w:p>
            <w:pPr>
              <w:pStyle w:val="Normal"/>
              <w:spacing w:lineRule="auto"/>
              <w:ind w:left="88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  <w:tc>
          <w:tcPr>
            <w:tcW w:w="960" w:type="dxa"/>
            <w:tcBorders/>
          </w:tcPr>
          <w:p>
            <w:pPr>
              <w:pStyle w:val="Normal"/>
              <w:spacing w:lineRule="auto"/>
              <w:ind w:left="240" w:hanging="0"/>
              <w:rPr>
                <w:rFonts w:ascii="Arial" w:hAnsi="Arial" w:eastAsia="Arial" w:cs="Arial"/>
                <w:b/>
                <w:b/>
                <w:w w:val="89"/>
                <w:sz w:val="18"/>
              </w:rPr>
            </w:pPr>
            <w:r>
              <w:rPr>
                <w:rFonts w:eastAsia="Arial" w:cs="Arial" w:ascii="Arial" w:hAnsi="Arial"/>
                <w:b/>
                <w:w w:val="89"/>
                <w:sz w:val="18"/>
              </w:rPr>
              <w:t>Prírastok</w:t>
            </w:r>
          </w:p>
        </w:tc>
        <w:tc>
          <w:tcPr>
            <w:tcW w:w="740" w:type="dxa"/>
            <w:gridSpan w:val="2"/>
            <w:tcBorders/>
          </w:tcPr>
          <w:p>
            <w:pPr>
              <w:pStyle w:val="Normal"/>
              <w:spacing w:lineRule="auto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</w:tr>
      <w:tr>
        <w:trPr>
          <w:trHeight w:val="204" w:hRule="atLeast"/>
        </w:trPr>
        <w:tc>
          <w:tcPr>
            <w:tcW w:w="190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w w:val="86"/>
                <w:sz w:val="18"/>
              </w:rPr>
            </w:pPr>
            <w:r>
              <w:rPr>
                <w:rFonts w:eastAsia="Arial" w:cs="Arial" w:ascii="Arial" w:hAnsi="Arial"/>
                <w:b/>
                <w:w w:val="86"/>
                <w:sz w:val="18"/>
              </w:rPr>
              <w:t>- PS dlhodobého majetku</w:t>
            </w:r>
          </w:p>
        </w:tc>
        <w:tc>
          <w:tcPr>
            <w:tcW w:w="102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w w:val="96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w w:val="96"/>
                <w:sz w:val="18"/>
                <w:szCs w:val="20"/>
              </w:rPr>
              <w:t>92092</w:t>
            </w:r>
          </w:p>
        </w:tc>
        <w:tc>
          <w:tcPr>
            <w:tcW w:w="2180" w:type="dxa"/>
            <w:tcBorders/>
          </w:tcPr>
          <w:p>
            <w:pPr>
              <w:pStyle w:val="Normal"/>
              <w:spacing w:lineRule="exact" w:line="204"/>
              <w:ind w:left="100" w:hanging="0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KS dlhodobého majetku</w:t>
            </w:r>
          </w:p>
        </w:tc>
        <w:tc>
          <w:tcPr>
            <w:tcW w:w="1440" w:type="dxa"/>
            <w:tcBorders/>
          </w:tcPr>
          <w:p>
            <w:pPr>
              <w:pStyle w:val="Normal"/>
              <w:spacing w:lineRule="exact" w:line="204"/>
              <w:ind w:left="280" w:hanging="0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92092</w:t>
            </w:r>
          </w:p>
        </w:tc>
        <w:tc>
          <w:tcPr>
            <w:tcW w:w="960" w:type="dxa"/>
            <w:tcBorders/>
          </w:tcPr>
          <w:p>
            <w:pPr>
              <w:pStyle w:val="Normal"/>
              <w:spacing w:lineRule="exact" w:line="204"/>
              <w:ind w:left="24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Úbytok</w:t>
            </w:r>
          </w:p>
        </w:tc>
        <w:tc>
          <w:tcPr>
            <w:tcW w:w="6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0</w:t>
            </w:r>
          </w:p>
        </w:tc>
        <w:tc>
          <w:tcPr>
            <w:tcW w:w="14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€</w:t>
            </w:r>
          </w:p>
        </w:tc>
      </w:tr>
      <w:tr>
        <w:trPr>
          <w:trHeight w:val="408" w:hRule="atLeast"/>
        </w:trPr>
        <w:tc>
          <w:tcPr>
            <w:tcW w:w="1900" w:type="dxa"/>
            <w:tcBorders/>
          </w:tcPr>
          <w:p>
            <w:pPr>
              <w:pStyle w:val="Normal"/>
              <w:spacing w:lineRule="auto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PS oprávok NM</w:t>
            </w:r>
          </w:p>
        </w:tc>
        <w:tc>
          <w:tcPr>
            <w:tcW w:w="1020" w:type="dxa"/>
            <w:tcBorders/>
          </w:tcPr>
          <w:p>
            <w:pPr>
              <w:pStyle w:val="Normal"/>
              <w:spacing w:lineRule="auto"/>
              <w:ind w:right="10" w:hanging="0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  <w:tc>
          <w:tcPr>
            <w:tcW w:w="2180" w:type="dxa"/>
            <w:tcBorders/>
          </w:tcPr>
          <w:p>
            <w:pPr>
              <w:pStyle w:val="Normal"/>
              <w:spacing w:lineRule="auto"/>
              <w:ind w:left="8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KS oprávok DM</w:t>
            </w:r>
          </w:p>
        </w:tc>
        <w:tc>
          <w:tcPr>
            <w:tcW w:w="1440" w:type="dxa"/>
            <w:tcBorders/>
          </w:tcPr>
          <w:p>
            <w:pPr>
              <w:pStyle w:val="Normal"/>
              <w:spacing w:lineRule="auto"/>
              <w:ind w:left="74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0 €</w:t>
            </w:r>
          </w:p>
        </w:tc>
        <w:tc>
          <w:tcPr>
            <w:tcW w:w="960" w:type="dxa"/>
            <w:tcBorders/>
          </w:tcPr>
          <w:p>
            <w:pPr>
              <w:pStyle w:val="Normal"/>
              <w:spacing w:lineRule="auto"/>
              <w:ind w:left="240" w:hanging="0"/>
              <w:rPr>
                <w:rFonts w:ascii="Arial" w:hAnsi="Arial" w:eastAsia="Arial" w:cs="Arial"/>
                <w:b/>
                <w:b/>
                <w:w w:val="89"/>
                <w:sz w:val="18"/>
              </w:rPr>
            </w:pPr>
            <w:r>
              <w:rPr>
                <w:rFonts w:eastAsia="Arial" w:cs="Arial" w:ascii="Arial" w:hAnsi="Arial"/>
                <w:b/>
                <w:w w:val="89"/>
                <w:sz w:val="18"/>
              </w:rPr>
              <w:t>Prírastok</w:t>
            </w:r>
          </w:p>
        </w:tc>
        <w:tc>
          <w:tcPr>
            <w:tcW w:w="740" w:type="dxa"/>
            <w:gridSpan w:val="2"/>
            <w:tcBorders/>
          </w:tcPr>
          <w:p>
            <w:pPr>
              <w:pStyle w:val="Normal"/>
              <w:spacing w:lineRule="auto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0,00 €</w:t>
            </w:r>
          </w:p>
        </w:tc>
      </w:tr>
      <w:tr>
        <w:trPr>
          <w:trHeight w:val="204" w:hRule="atLeast"/>
        </w:trPr>
        <w:tc>
          <w:tcPr>
            <w:tcW w:w="1900" w:type="dxa"/>
            <w:tcBorders/>
          </w:tcPr>
          <w:p>
            <w:pPr>
              <w:pStyle w:val="Normal"/>
              <w:spacing w:lineRule="exact" w:line="204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- PS oprávok DM</w:t>
            </w:r>
          </w:p>
        </w:tc>
        <w:tc>
          <w:tcPr>
            <w:tcW w:w="1020" w:type="dxa"/>
            <w:tcBorders/>
          </w:tcPr>
          <w:p>
            <w:pPr>
              <w:pStyle w:val="Normal"/>
              <w:spacing w:lineRule="exact" w:line="204"/>
              <w:ind w:right="10" w:hanging="0"/>
              <w:jc w:val="right"/>
              <w:rPr>
                <w:rFonts w:ascii="Arial" w:hAnsi="Arial" w:eastAsia="Arial" w:cs="Arial"/>
                <w:b/>
                <w:b/>
                <w:color w:val="auto"/>
                <w:w w:val="94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w w:val="94"/>
                <w:sz w:val="18"/>
                <w:szCs w:val="20"/>
              </w:rPr>
              <w:t>57594</w:t>
            </w:r>
          </w:p>
        </w:tc>
        <w:tc>
          <w:tcPr>
            <w:tcW w:w="2180" w:type="dxa"/>
            <w:tcBorders/>
          </w:tcPr>
          <w:p>
            <w:pPr>
              <w:pStyle w:val="Normal"/>
              <w:spacing w:lineRule="exact" w:line="204"/>
              <w:ind w:left="100" w:hanging="0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KS oprávok DM</w:t>
            </w:r>
          </w:p>
        </w:tc>
        <w:tc>
          <w:tcPr>
            <w:tcW w:w="1440" w:type="dxa"/>
            <w:tcBorders/>
          </w:tcPr>
          <w:p>
            <w:pPr>
              <w:pStyle w:val="Normal"/>
              <w:spacing w:lineRule="exact" w:line="204"/>
              <w:ind w:left="320" w:hanging="0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73759</w:t>
            </w:r>
          </w:p>
        </w:tc>
        <w:tc>
          <w:tcPr>
            <w:tcW w:w="960" w:type="dxa"/>
            <w:tcBorders/>
          </w:tcPr>
          <w:p>
            <w:pPr>
              <w:pStyle w:val="Normal"/>
              <w:spacing w:lineRule="exact" w:line="204"/>
              <w:ind w:left="240" w:hanging="0"/>
              <w:rPr>
                <w:rFonts w:ascii="Arial" w:hAnsi="Arial" w:eastAsia="Arial" w:cs="Arial"/>
                <w:b/>
                <w:b/>
                <w:color w:val="auto"/>
                <w:sz w:val="18"/>
                <w:szCs w:val="20"/>
              </w:rPr>
            </w:pPr>
            <w:r>
              <w:rPr>
                <w:rFonts w:eastAsia="Arial" w:cs="Arial" w:ascii="Arial" w:hAnsi="Arial"/>
                <w:b/>
                <w:color w:val="auto"/>
                <w:sz w:val="18"/>
                <w:szCs w:val="20"/>
              </w:rPr>
              <w:t>Prírastok</w:t>
            </w:r>
          </w:p>
        </w:tc>
        <w:tc>
          <w:tcPr>
            <w:tcW w:w="60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sz w:val="18"/>
              </w:rPr>
            </w:pPr>
            <w:r>
              <w:rPr>
                <w:rFonts w:eastAsia="Arial" w:cs="Arial" w:ascii="Arial" w:hAnsi="Arial"/>
                <w:b/>
                <w:sz w:val="18"/>
              </w:rPr>
              <w:t>15805</w:t>
            </w:r>
          </w:p>
        </w:tc>
        <w:tc>
          <w:tcPr>
            <w:tcW w:w="140" w:type="dxa"/>
            <w:tcBorders/>
          </w:tcPr>
          <w:p>
            <w:pPr>
              <w:pStyle w:val="Normal"/>
              <w:spacing w:lineRule="exact" w:line="204"/>
              <w:jc w:val="right"/>
              <w:rPr>
                <w:rFonts w:ascii="Arial" w:hAnsi="Arial" w:eastAsia="Arial" w:cs="Arial"/>
                <w:b/>
                <w:b/>
                <w:w w:val="99"/>
                <w:sz w:val="18"/>
              </w:rPr>
            </w:pPr>
            <w:r>
              <w:rPr>
                <w:rFonts w:eastAsia="Arial" w:cs="Arial" w:ascii="Arial" w:hAnsi="Arial"/>
                <w:b/>
                <w:w w:val="99"/>
                <w:sz w:val="18"/>
              </w:rPr>
              <w:t>€</w:t>
            </w:r>
          </w:p>
        </w:tc>
      </w:tr>
    </w:tbl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5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32"/>
        <w:rPr/>
      </w:pPr>
      <w:r>
        <w:rPr>
          <w:rFonts w:eastAsia="Arial" w:cs="Arial" w:ascii="Arial" w:hAnsi="Arial"/>
          <w:b/>
          <w:sz w:val="18"/>
        </w:rPr>
        <w:t xml:space="preserve">O </w:t>
      </w:r>
      <w:r>
        <w:rPr>
          <w:rFonts w:eastAsia="Arial" w:cs="Arial" w:ascii="Arial" w:hAnsi="Arial"/>
          <w:b/>
          <w:color w:val="auto"/>
          <w:sz w:val="18"/>
          <w:szCs w:val="20"/>
        </w:rPr>
        <w:t>zaúčtovaní</w:t>
      </w:r>
      <w:r>
        <w:rPr>
          <w:rFonts w:eastAsia="Arial" w:cs="Arial" w:ascii="Arial" w:hAnsi="Arial"/>
          <w:b/>
          <w:sz w:val="18"/>
        </w:rPr>
        <w:t xml:space="preserve"> výsledku hospodárenia za účtovné obdobie 2020 </w:t>
      </w:r>
      <w:r>
        <w:rPr>
          <w:rFonts w:eastAsia="Arial" w:cs="Arial" w:ascii="Arial" w:hAnsi="Arial"/>
          <w:b/>
          <w:color w:val="auto"/>
          <w:sz w:val="18"/>
          <w:szCs w:val="20"/>
        </w:rPr>
        <w:t>stratu</w:t>
      </w:r>
      <w:r>
        <w:rPr>
          <w:rFonts w:eastAsia="Arial" w:cs="Arial" w:ascii="Arial" w:hAnsi="Arial"/>
          <w:b/>
          <w:sz w:val="18"/>
        </w:rPr>
        <w:t xml:space="preserve"> vo výške </w:t>
      </w:r>
      <w:r>
        <w:rPr>
          <w:rFonts w:eastAsia="Arial" w:cs="Arial" w:ascii="Arial" w:hAnsi="Arial"/>
          <w:b/>
          <w:color w:val="auto"/>
          <w:sz w:val="18"/>
          <w:szCs w:val="20"/>
        </w:rPr>
        <w:t>11787</w:t>
      </w:r>
      <w:r>
        <w:rPr>
          <w:rFonts w:eastAsia="Arial" w:cs="Arial" w:ascii="Arial" w:hAnsi="Arial"/>
          <w:b/>
          <w:sz w:val="18"/>
        </w:rPr>
        <w:t xml:space="preserve"> € rozhodlo valné zhromaždenie následovne:</w:t>
      </w:r>
    </w:p>
    <w:p>
      <w:pPr>
        <w:pStyle w:val="Normal"/>
        <w:spacing w:lineRule="exact" w:line="202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rPr>
          <w:rFonts w:ascii="Arial" w:hAnsi="Arial" w:eastAsia="Arial" w:cs="Arial"/>
          <w:b/>
          <w:b/>
          <w:sz w:val="18"/>
        </w:rPr>
      </w:pPr>
      <w:r>
        <w:rPr>
          <w:rFonts w:eastAsia="Arial" w:cs="Arial" w:ascii="Arial" w:hAnsi="Arial"/>
          <w:b/>
          <w:sz w:val="18"/>
        </w:rPr>
        <w:t>Schválený návrh štatutárneho orgánu valnému zhromaždeniu je takýto: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ind w:left="360" w:hanging="0"/>
        <w:rPr/>
      </w:pPr>
      <w:r>
        <w:rPr>
          <w:rFonts w:eastAsia="Arial" w:cs="Arial" w:ascii="Arial" w:hAnsi="Arial"/>
          <w:b/>
          <w:sz w:val="18"/>
        </w:rPr>
        <w:t xml:space="preserve">prevod </w:t>
      </w:r>
      <w:r>
        <w:rPr>
          <w:rFonts w:eastAsia="Arial" w:cs="Arial" w:ascii="Arial" w:hAnsi="Arial"/>
          <w:b/>
          <w:color w:val="auto"/>
          <w:sz w:val="18"/>
          <w:szCs w:val="20"/>
        </w:rPr>
        <w:t>na</w:t>
      </w:r>
      <w:r>
        <w:rPr>
          <w:b/>
          <w:bCs/>
          <w:i w:val="false"/>
          <w:caps w:val="false"/>
          <w:smallCaps w:val="false"/>
          <w:spacing w:val="0"/>
        </w:rPr>
        <w:t xml:space="preserve"> </w:t>
      </w:r>
      <w:r>
        <w:rPr>
          <w:b/>
          <w:bCs/>
          <w:i w:val="false"/>
          <w:caps w:val="false"/>
          <w:smallCaps w:val="false"/>
          <w:spacing w:val="0"/>
        </w:rPr>
        <w:t>n</w:t>
      </w:r>
      <w:r>
        <w:rPr>
          <w:b/>
          <w:bCs/>
          <w:i w:val="false"/>
          <w:caps w:val="false"/>
          <w:smallCaps w:val="false"/>
          <w:spacing w:val="0"/>
        </w:rPr>
        <w:t>euhradená strata min. obd.</w:t>
      </w:r>
      <w:r>
        <w:rPr>
          <w:rFonts w:eastAsia="Arial" w:cs="Arial" w:ascii="Arial" w:hAnsi="Arial"/>
          <w:b/>
          <w:bCs/>
          <w:sz w:val="18"/>
        </w:rPr>
        <w:t xml:space="preserve"> </w:t>
      </w:r>
      <w:r>
        <w:rPr>
          <w:rFonts w:eastAsia="Arial" w:cs="Arial" w:ascii="Arial" w:hAnsi="Arial"/>
          <w:b/>
          <w:sz w:val="18"/>
        </w:rPr>
        <w:t>vo výške 1</w:t>
      </w:r>
      <w:r>
        <w:rPr>
          <w:rFonts w:eastAsia="Arial" w:cs="Arial" w:ascii="Arial" w:hAnsi="Arial"/>
          <w:b/>
          <w:color w:val="auto"/>
          <w:sz w:val="18"/>
          <w:szCs w:val="20"/>
        </w:rPr>
        <w:t>1787</w:t>
      </w:r>
      <w:r>
        <w:rPr>
          <w:rFonts w:eastAsia="Arial" w:cs="Arial" w:ascii="Arial" w:hAnsi="Arial"/>
          <w:b/>
          <w:sz w:val="18"/>
        </w:rPr>
        <w:t xml:space="preserve"> €</w:t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0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exact" w:line="286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/>
        <w:rPr/>
      </w:pPr>
      <w:r>
        <w:rPr>
          <w:rFonts w:eastAsia="Arial" w:cs="Arial" w:ascii="Arial" w:hAnsi="Arial"/>
          <w:b/>
          <w:sz w:val="18"/>
        </w:rPr>
        <w:t xml:space="preserve">V </w:t>
      </w:r>
      <w:r>
        <w:rPr>
          <w:rFonts w:eastAsia="Arial" w:cs="Arial" w:ascii="Arial" w:hAnsi="Arial"/>
          <w:b/>
          <w:color w:val="auto"/>
          <w:sz w:val="18"/>
          <w:szCs w:val="20"/>
        </w:rPr>
        <w:t>Bratislave</w:t>
      </w:r>
      <w:r>
        <w:rPr>
          <w:rFonts w:eastAsia="Arial" w:cs="Arial" w:ascii="Arial" w:hAnsi="Arial"/>
          <w:b/>
          <w:sz w:val="18"/>
        </w:rPr>
        <w:t xml:space="preserve"> 05.0</w:t>
      </w:r>
      <w:r>
        <w:rPr>
          <w:rFonts w:eastAsia="Arial" w:cs="Arial" w:ascii="Arial" w:hAnsi="Arial"/>
          <w:b/>
          <w:color w:val="auto"/>
          <w:sz w:val="18"/>
          <w:szCs w:val="20"/>
        </w:rPr>
        <w:t>6</w:t>
      </w:r>
      <w:r>
        <w:rPr>
          <w:rFonts w:eastAsia="Arial" w:cs="Arial" w:ascii="Arial" w:hAnsi="Arial"/>
          <w:b/>
          <w:sz w:val="18"/>
        </w:rPr>
        <w:t>.2021</w:t>
      </w:r>
    </w:p>
    <w:p>
      <w:pPr>
        <w:pStyle w:val="Normal"/>
        <w:spacing w:lineRule="exact" w:line="201"/>
        <w:rPr>
          <w:rFonts w:ascii="Times New Roman" w:hAnsi="Times New Roman" w:eastAsia="Times New Roman" w:cs="Times New Roman"/>
          <w:b/>
          <w:b/>
          <w:sz w:val="18"/>
        </w:rPr>
      </w:pPr>
      <w:r>
        <w:rPr>
          <w:rFonts w:eastAsia="Times New Roman" w:cs="Times New Roman" w:ascii="Times New Roman" w:hAnsi="Times New Roman"/>
          <w:b/>
          <w:sz w:val="18"/>
        </w:rPr>
      </w:r>
    </w:p>
    <w:p>
      <w:pPr>
        <w:pStyle w:val="Normal"/>
        <w:spacing w:lineRule="auto"/>
        <w:rPr/>
      </w:pPr>
      <w:r>
        <w:rPr>
          <w:rFonts w:eastAsia="Arial" w:cs="Arial" w:ascii="Arial" w:hAnsi="Arial"/>
          <w:b/>
          <w:color w:val="auto"/>
          <w:sz w:val="18"/>
          <w:szCs w:val="20"/>
        </w:rPr>
        <w:t>Mgr. Michal Žilinčár</w:t>
      </w:r>
    </w:p>
    <w:sectPr>
      <w:type w:val="nextPage"/>
      <w:pgSz w:w="11906" w:h="16838"/>
      <w:pgMar w:left="1140" w:right="1126" w:header="0" w:top="1440" w:footer="0" w:bottom="144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0"/>
    <w:family w:val="swiss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2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4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5">
    <w:lvl w:ilvl="0">
      <w:start w:val="2"/>
      <w:numFmt w:val="decimal"/>
      <w:lvlText w:val="%1."/>
      <w:lvlJc w:val="left"/>
      <w:pPr>
        <w:ind w:left="0" w:hanging="0"/>
      </w:pPr>
      <w:rPr/>
    </w:lvl>
    <w:lvl w:ilvl="1">
      <w:start w:val="1"/>
      <w:numFmt w:val="bullet"/>
      <w:lvlText w:val="-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2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3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4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5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6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7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  <w:lvl w:ilvl="8">
      <w:start w:val="1"/>
      <w:numFmt w:val="bullet"/>
      <w:lvlText w:val="←"/>
      <w:lvlJc w:val="left"/>
      <w:pPr>
        <w:ind w:left="0" w:hanging="0"/>
      </w:pPr>
      <w:rPr>
        <w:rFonts w:ascii="Liberation Serif" w:hAnsi="Liberation Serif" w:cs="Liberation Serif" w:hint="default"/>
      </w:rPr>
    </w:lvl>
  </w:abstractNum>
  <w:abstractNum w:abstractNumId="6">
    <w:lvl w:ilvl="0">
      <w:start w:val="4"/>
      <w:numFmt w:val="decimal"/>
      <w:lvlText w:val="%1."/>
      <w:lvlJc w:val="left"/>
      <w:pPr>
        <w:ind w:left="0" w:hanging="0"/>
      </w:pPr>
      <w:rPr/>
    </w:lvl>
  </w:abstractNum>
  <w:abstractNum w:abstractNumId="7">
    <w:lvl w:ilvl="0">
      <w:start w:val="1"/>
      <w:numFmt w:val="bullet"/>
      <w:lvlText w:val="č"/>
      <w:lvlJc w:val="left"/>
      <w:pPr>
        <w:ind w:left="0" w:hanging="0"/>
      </w:pPr>
      <w:rPr>
        <w:rFonts w:ascii="Liberation Serif" w:hAnsi="Liberation Serif" w:cs="Liberation Serif" w:hint="default"/>
      </w:rPr>
    </w:lvl>
  </w:abstractNum>
  <w:abstractNum w:abstractNumId="8">
    <w:lvl w:ilvl="0">
      <w:start w:val="1"/>
      <w:numFmt w:val="lowerLetter"/>
      <w:lvlText w:val="%1."/>
      <w:lvlJc w:val="left"/>
      <w:pPr>
        <w:ind w:left="0" w:hanging="0"/>
      </w:pPr>
      <w:rPr/>
    </w:lvl>
  </w:abstractNum>
  <w:abstractNum w:abstractNumId="9">
    <w:lvl w:ilvl="0">
      <w:start w:val="2"/>
      <w:numFmt w:val="lowerLetter"/>
      <w:lvlText w:val="%1."/>
      <w:lvlJc w:val="left"/>
      <w:pPr>
        <w:ind w:left="0" w:hanging="0"/>
      </w:pPr>
      <w:rPr/>
    </w:lvl>
  </w:abstractNum>
  <w:abstractNum w:abstractNumId="10">
    <w:lvl w:ilvl="0">
      <w:start w:val="3"/>
      <w:numFmt w:val="lowerLetter"/>
      <w:lvlText w:val="%1."/>
      <w:lvlJc w:val="left"/>
      <w:pPr>
        <w:ind w:left="0" w:hanging="0"/>
      </w:pPr>
      <w:rPr/>
    </w:lvl>
  </w:abstractNum>
  <w:abstractNum w:abstractNumId="11">
    <w:lvl w:ilvl="0">
      <w:start w:val="9"/>
      <w:numFmt w:val="lowerLetter"/>
      <w:lvlText w:val="%1."/>
      <w:lvlJc w:val="left"/>
      <w:pPr>
        <w:ind w:left="0" w:hanging="0"/>
      </w:pPr>
      <w:rPr/>
    </w:lvl>
  </w:abstractNum>
  <w:abstractNum w:abstractNumId="12">
    <w:lvl w:ilvl="0">
      <w:start w:val="13"/>
      <w:numFmt w:val="lowerLetter"/>
      <w:lvlText w:val="%1."/>
      <w:lvlJc w:val="left"/>
      <w:pPr>
        <w:ind w:left="0" w:hanging="0"/>
      </w:pPr>
      <w:rPr/>
    </w:lvl>
  </w:abstractNum>
  <w:abstractNum w:abstractNumId="13">
    <w:lvl w:ilvl="0">
      <w:start w:val="18"/>
      <w:numFmt w:val="lowerLetter"/>
      <w:lvlText w:val="%1."/>
      <w:lvlJc w:val="left"/>
      <w:pPr>
        <w:ind w:left="0" w:hanging="0"/>
      </w:pPr>
      <w:rPr/>
    </w:lvl>
  </w:abstractNum>
  <w:abstractNum w:abstractNumId="14">
    <w:lvl w:ilvl="0">
      <w:start w:val="21"/>
      <w:numFmt w:val="lowerLetter"/>
      <w:lvlText w:val="%1."/>
      <w:lvlJc w:val="left"/>
      <w:pPr>
        <w:ind w:left="0" w:hanging="0"/>
      </w:pPr>
      <w:rPr/>
    </w:lvl>
  </w:abstractNum>
  <w:abstractNum w:abstractNumId="15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16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17">
    <w:lvl w:ilvl="0">
      <w:start w:val="8"/>
      <w:numFmt w:val="decimal"/>
      <w:lvlText w:val="%1."/>
      <w:lvlJc w:val="left"/>
      <w:pPr>
        <w:ind w:left="0" w:hanging="0"/>
      </w:pPr>
      <w:rPr/>
    </w:lvl>
  </w:abstractNum>
  <w:abstractNum w:abstractNumId="18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19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20">
    <w:lvl w:ilvl="0">
      <w:start w:val="4"/>
      <w:numFmt w:val="decimal"/>
      <w:lvlText w:val="%1."/>
      <w:lvlJc w:val="left"/>
      <w:pPr>
        <w:ind w:left="0" w:hanging="0"/>
      </w:pPr>
      <w:rPr/>
    </w:lvl>
  </w:abstractNum>
  <w:abstractNum w:abstractNumId="21">
    <w:lvl w:ilvl="0">
      <w:start w:val="5"/>
      <w:numFmt w:val="decimal"/>
      <w:lvlText w:val="%1."/>
      <w:lvlJc w:val="left"/>
      <w:pPr>
        <w:ind w:left="0" w:hanging="0"/>
      </w:pPr>
      <w:rPr/>
    </w:lvl>
  </w:abstractNum>
  <w:abstractNum w:abstractNumId="22">
    <w:lvl w:ilvl="0">
      <w:start w:val="6"/>
      <w:numFmt w:val="decimal"/>
      <w:lvlText w:val="%1."/>
      <w:lvlJc w:val="left"/>
      <w:pPr>
        <w:ind w:left="0" w:hanging="0"/>
      </w:pPr>
      <w:rPr/>
    </w:lvl>
  </w:abstractNum>
  <w:abstractNum w:abstractNumId="23">
    <w:lvl w:ilvl="0">
      <w:start w:val="2"/>
      <w:numFmt w:val="decimal"/>
      <w:lvlText w:val="%1."/>
      <w:lvlJc w:val="left"/>
      <w:pPr>
        <w:ind w:left="0" w:hanging="0"/>
      </w:pPr>
      <w:rPr/>
    </w:lvl>
  </w:abstractNum>
  <w:abstractNum w:abstractNumId="24">
    <w:lvl w:ilvl="0">
      <w:start w:val="4"/>
      <w:numFmt w:val="decimal"/>
      <w:lvlText w:val="%1."/>
      <w:lvlJc w:val="left"/>
      <w:pPr>
        <w:ind w:left="0" w:hanging="0"/>
      </w:pPr>
      <w:rPr/>
    </w:lvl>
  </w:abstractNum>
  <w:abstractNum w:abstractNumId="25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26">
    <w:lvl w:ilvl="0">
      <w:start w:val="1"/>
      <w:numFmt w:val="decimal"/>
      <w:lvlText w:val="%1."/>
      <w:lvlJc w:val="left"/>
      <w:pPr>
        <w:ind w:left="0" w:hanging="0"/>
      </w:pPr>
      <w:rPr/>
    </w:lvl>
  </w:abstractNum>
  <w:abstractNum w:abstractNumId="27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</w:numbering>
</file>

<file path=word/settings.xml><?xml version="1.0" encoding="utf-8"?>
<w:settings xmlns:w="http://schemas.openxmlformats.org/wordprocessingml/2006/main">
  <w:zoom w:percent="160"/>
  <w:defaultTabStop w:val="720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Calibri" w:hAnsi="Calibri" w:eastAsia="Calibri" w:cs="Arial"/>
      <w:color w:val="auto"/>
      <w:sz w:val="20"/>
      <w:szCs w:val="20"/>
      <w:lang w:val="sk-SK" w:eastAsia="zh-CN" w:bidi="hi-IN"/>
    </w:rPr>
  </w:style>
  <w:style w:type="paragraph" w:styleId="Nadpis1">
    <w:name w:val="Heading 1"/>
    <w:basedOn w:val="Nadpis"/>
    <w:next w:val="Telotextu"/>
    <w:qFormat/>
    <w:pPr>
      <w:spacing w:before="240" w:after="120"/>
      <w:outlineLvl w:val="0"/>
    </w:pPr>
    <w:rPr>
      <w:rFonts w:ascii="Liberation Serif" w:hAnsi="Liberation Serif" w:eastAsia="NSimSun" w:cs="Arial"/>
      <w:b/>
      <w:bCs/>
      <w:sz w:val="48"/>
      <w:szCs w:val="48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/>
  </w:style>
  <w:style w:type="character" w:styleId="WW8Num12z1">
    <w:name w:val="WW8Num12z1"/>
    <w:qFormat/>
    <w:rPr/>
  </w:style>
  <w:style w:type="character" w:styleId="WW8Num12z2">
    <w:name w:val="WW8Num12z2"/>
    <w:qFormat/>
    <w:rPr/>
  </w:style>
  <w:style w:type="character" w:styleId="WW8Num12z3">
    <w:name w:val="WW8Num12z3"/>
    <w:qFormat/>
    <w:rPr/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3z0">
    <w:name w:val="WW8Num13z0"/>
    <w:qFormat/>
    <w:rPr/>
  </w:style>
  <w:style w:type="character" w:styleId="WW8Num13z1">
    <w:name w:val="WW8Num13z1"/>
    <w:qFormat/>
    <w:rPr/>
  </w:style>
  <w:style w:type="character" w:styleId="WW8Num13z2">
    <w:name w:val="WW8Num13z2"/>
    <w:qFormat/>
    <w:rPr/>
  </w:style>
  <w:style w:type="character" w:styleId="WW8Num13z3">
    <w:name w:val="WW8Num13z3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WW8Num14z0">
    <w:name w:val="WW8Num14z0"/>
    <w:qFormat/>
    <w:rPr/>
  </w:style>
  <w:style w:type="character" w:styleId="WW8Num14z1">
    <w:name w:val="WW8Num14z1"/>
    <w:qFormat/>
    <w:rPr/>
  </w:style>
  <w:style w:type="character" w:styleId="WW8Num14z2">
    <w:name w:val="WW8Num14z2"/>
    <w:qFormat/>
    <w:rPr/>
  </w:style>
  <w:style w:type="character" w:styleId="WW8Num14z3">
    <w:name w:val="WW8Num14z3"/>
    <w:qFormat/>
    <w:rPr/>
  </w:style>
  <w:style w:type="character" w:styleId="WW8Num14z4">
    <w:name w:val="WW8Num14z4"/>
    <w:qFormat/>
    <w:rPr/>
  </w:style>
  <w:style w:type="character" w:styleId="WW8Num14z5">
    <w:name w:val="WW8Num14z5"/>
    <w:qFormat/>
    <w:rPr/>
  </w:style>
  <w:style w:type="character" w:styleId="WW8Num14z6">
    <w:name w:val="WW8Num14z6"/>
    <w:qFormat/>
    <w:rPr/>
  </w:style>
  <w:style w:type="character" w:styleId="WW8Num14z7">
    <w:name w:val="WW8Num14z7"/>
    <w:qFormat/>
    <w:rPr/>
  </w:style>
  <w:style w:type="character" w:styleId="WW8Num14z8">
    <w:name w:val="WW8Num14z8"/>
    <w:qFormat/>
    <w:rPr/>
  </w:style>
  <w:style w:type="character" w:styleId="WW8Num15z0">
    <w:name w:val="WW8Num15z0"/>
    <w:qFormat/>
    <w:rPr/>
  </w:style>
  <w:style w:type="character" w:styleId="WW8Num15z1">
    <w:name w:val="WW8Num15z1"/>
    <w:qFormat/>
    <w:rPr/>
  </w:style>
  <w:style w:type="character" w:styleId="WW8Num15z2">
    <w:name w:val="WW8Num15z2"/>
    <w:qFormat/>
    <w:rPr/>
  </w:style>
  <w:style w:type="character" w:styleId="WW8Num15z3">
    <w:name w:val="WW8Num15z3"/>
    <w:qFormat/>
    <w:rPr/>
  </w:style>
  <w:style w:type="character" w:styleId="WW8Num15z4">
    <w:name w:val="WW8Num15z4"/>
    <w:qFormat/>
    <w:rPr/>
  </w:style>
  <w:style w:type="character" w:styleId="WW8Num15z5">
    <w:name w:val="WW8Num15z5"/>
    <w:qFormat/>
    <w:rPr/>
  </w:style>
  <w:style w:type="character" w:styleId="WW8Num15z6">
    <w:name w:val="WW8Num15z6"/>
    <w:qFormat/>
    <w:rPr/>
  </w:style>
  <w:style w:type="character" w:styleId="WW8Num15z7">
    <w:name w:val="WW8Num15z7"/>
    <w:qFormat/>
    <w:rPr/>
  </w:style>
  <w:style w:type="character" w:styleId="WW8Num15z8">
    <w:name w:val="WW8Num15z8"/>
    <w:qFormat/>
    <w:rPr/>
  </w:style>
  <w:style w:type="character" w:styleId="WW8Num16z0">
    <w:name w:val="WW8Num16z0"/>
    <w:qFormat/>
    <w:rPr/>
  </w:style>
  <w:style w:type="character" w:styleId="WW8Num16z1">
    <w:name w:val="WW8Num16z1"/>
    <w:qFormat/>
    <w:rPr/>
  </w:style>
  <w:style w:type="character" w:styleId="WW8Num16z2">
    <w:name w:val="WW8Num16z2"/>
    <w:qFormat/>
    <w:rPr/>
  </w:style>
  <w:style w:type="character" w:styleId="WW8Num16z3">
    <w:name w:val="WW8Num16z3"/>
    <w:qFormat/>
    <w:rPr/>
  </w:style>
  <w:style w:type="character" w:styleId="WW8Num16z4">
    <w:name w:val="WW8Num16z4"/>
    <w:qFormat/>
    <w:rPr/>
  </w:style>
  <w:style w:type="character" w:styleId="WW8Num16z5">
    <w:name w:val="WW8Num16z5"/>
    <w:qFormat/>
    <w:rPr/>
  </w:style>
  <w:style w:type="character" w:styleId="WW8Num16z6">
    <w:name w:val="WW8Num16z6"/>
    <w:qFormat/>
    <w:rPr/>
  </w:style>
  <w:style w:type="character" w:styleId="WW8Num16z7">
    <w:name w:val="WW8Num16z7"/>
    <w:qFormat/>
    <w:rPr/>
  </w:style>
  <w:style w:type="character" w:styleId="WW8Num16z8">
    <w:name w:val="WW8Num16z8"/>
    <w:qFormat/>
    <w:rPr/>
  </w:style>
  <w:style w:type="character" w:styleId="WW8Num17z0">
    <w:name w:val="WW8Num17z0"/>
    <w:qFormat/>
    <w:rPr/>
  </w:style>
  <w:style w:type="character" w:styleId="WW8Num17z1">
    <w:name w:val="WW8Num17z1"/>
    <w:qFormat/>
    <w:rPr/>
  </w:style>
  <w:style w:type="character" w:styleId="WW8Num17z2">
    <w:name w:val="WW8Num17z2"/>
    <w:qFormat/>
    <w:rPr/>
  </w:style>
  <w:style w:type="character" w:styleId="WW8Num17z3">
    <w:name w:val="WW8Num17z3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18z0">
    <w:name w:val="WW8Num18z0"/>
    <w:qFormat/>
    <w:rPr/>
  </w:style>
  <w:style w:type="character" w:styleId="WW8Num18z1">
    <w:name w:val="WW8Num18z1"/>
    <w:qFormat/>
    <w:rPr/>
  </w:style>
  <w:style w:type="character" w:styleId="WW8Num18z2">
    <w:name w:val="WW8Num18z2"/>
    <w:qFormat/>
    <w:rPr/>
  </w:style>
  <w:style w:type="character" w:styleId="WW8Num18z3">
    <w:name w:val="WW8Num18z3"/>
    <w:qFormat/>
    <w:rPr/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/>
  </w:style>
  <w:style w:type="character" w:styleId="WW8Num19z1">
    <w:name w:val="WW8Num19z1"/>
    <w:qFormat/>
    <w:rPr/>
  </w:style>
  <w:style w:type="character" w:styleId="WW8Num19z2">
    <w:name w:val="WW8Num19z2"/>
    <w:qFormat/>
    <w:rPr/>
  </w:style>
  <w:style w:type="character" w:styleId="WW8Num19z3">
    <w:name w:val="WW8Num19z3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0">
    <w:name w:val="WW8Num20z0"/>
    <w:qFormat/>
    <w:rPr/>
  </w:style>
  <w:style w:type="character" w:styleId="WW8Num20z1">
    <w:name w:val="WW8Num20z1"/>
    <w:qFormat/>
    <w:rPr/>
  </w:style>
  <w:style w:type="character" w:styleId="WW8Num20z2">
    <w:name w:val="WW8Num20z2"/>
    <w:qFormat/>
    <w:rPr/>
  </w:style>
  <w:style w:type="character" w:styleId="WW8Num20z3">
    <w:name w:val="WW8Num20z3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21z0">
    <w:name w:val="WW8Num21z0"/>
    <w:qFormat/>
    <w:rPr/>
  </w:style>
  <w:style w:type="character" w:styleId="WW8Num21z1">
    <w:name w:val="WW8Num21z1"/>
    <w:qFormat/>
    <w:rPr/>
  </w:style>
  <w:style w:type="character" w:styleId="WW8Num21z2">
    <w:name w:val="WW8Num21z2"/>
    <w:qFormat/>
    <w:rPr/>
  </w:style>
  <w:style w:type="character" w:styleId="WW8Num21z3">
    <w:name w:val="WW8Num21z3"/>
    <w:qFormat/>
    <w:rPr/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0">
    <w:name w:val="WW8Num22z0"/>
    <w:qFormat/>
    <w:rPr/>
  </w:style>
  <w:style w:type="character" w:styleId="WW8Num22z1">
    <w:name w:val="WW8Num22z1"/>
    <w:qFormat/>
    <w:rPr/>
  </w:style>
  <w:style w:type="character" w:styleId="WW8Num22z2">
    <w:name w:val="WW8Num22z2"/>
    <w:qFormat/>
    <w:rPr/>
  </w:style>
  <w:style w:type="character" w:styleId="WW8Num22z3">
    <w:name w:val="WW8Num22z3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3z0">
    <w:name w:val="WW8Num23z0"/>
    <w:qFormat/>
    <w:rPr/>
  </w:style>
  <w:style w:type="character" w:styleId="WW8Num23z1">
    <w:name w:val="WW8Num23z1"/>
    <w:qFormat/>
    <w:rPr/>
  </w:style>
  <w:style w:type="character" w:styleId="WW8Num23z2">
    <w:name w:val="WW8Num23z2"/>
    <w:qFormat/>
    <w:rPr/>
  </w:style>
  <w:style w:type="character" w:styleId="WW8Num23z3">
    <w:name w:val="WW8Num23z3"/>
    <w:qFormat/>
    <w:rPr/>
  </w:style>
  <w:style w:type="character" w:styleId="WW8Num23z4">
    <w:name w:val="WW8Num23z4"/>
    <w:qFormat/>
    <w:rPr/>
  </w:style>
  <w:style w:type="character" w:styleId="WW8Num23z5">
    <w:name w:val="WW8Num23z5"/>
    <w:qFormat/>
    <w:rPr/>
  </w:style>
  <w:style w:type="character" w:styleId="WW8Num23z6">
    <w:name w:val="WW8Num23z6"/>
    <w:qFormat/>
    <w:rPr/>
  </w:style>
  <w:style w:type="character" w:styleId="WW8Num23z7">
    <w:name w:val="WW8Num23z7"/>
    <w:qFormat/>
    <w:rPr/>
  </w:style>
  <w:style w:type="character" w:styleId="WW8Num23z8">
    <w:name w:val="WW8Num23z8"/>
    <w:qFormat/>
    <w:rPr/>
  </w:style>
  <w:style w:type="character" w:styleId="WW8Num24z0">
    <w:name w:val="WW8Num24z0"/>
    <w:qFormat/>
    <w:rPr/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WW8Num25z0">
    <w:name w:val="WW8Num25z0"/>
    <w:qFormat/>
    <w:rPr/>
  </w:style>
  <w:style w:type="character" w:styleId="WW8Num25z1">
    <w:name w:val="WW8Num25z1"/>
    <w:qFormat/>
    <w:rPr/>
  </w:style>
  <w:style w:type="character" w:styleId="WW8Num25z2">
    <w:name w:val="WW8Num25z2"/>
    <w:qFormat/>
    <w:rPr/>
  </w:style>
  <w:style w:type="character" w:styleId="WW8Num25z3">
    <w:name w:val="WW8Num25z3"/>
    <w:qFormat/>
    <w:rPr/>
  </w:style>
  <w:style w:type="character" w:styleId="WW8Num25z4">
    <w:name w:val="WW8Num25z4"/>
    <w:qFormat/>
    <w:rPr/>
  </w:style>
  <w:style w:type="character" w:styleId="WW8Num25z5">
    <w:name w:val="WW8Num25z5"/>
    <w:qFormat/>
    <w:rPr/>
  </w:style>
  <w:style w:type="character" w:styleId="WW8Num25z6">
    <w:name w:val="WW8Num25z6"/>
    <w:qFormat/>
    <w:rPr/>
  </w:style>
  <w:style w:type="character" w:styleId="WW8Num25z7">
    <w:name w:val="WW8Num25z7"/>
    <w:qFormat/>
    <w:rPr/>
  </w:style>
  <w:style w:type="character" w:styleId="WW8Num25z8">
    <w:name w:val="WW8Num25z8"/>
    <w:qFormat/>
    <w:rPr/>
  </w:style>
  <w:style w:type="character" w:styleId="WW8Num26z0">
    <w:name w:val="WW8Num26z0"/>
    <w:qFormat/>
    <w:rPr/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27z0">
    <w:name w:val="WW8Num27z0"/>
    <w:qFormat/>
    <w:rPr/>
  </w:style>
  <w:style w:type="character" w:styleId="WW8Num27z1">
    <w:name w:val="WW8Num27z1"/>
    <w:qFormat/>
    <w:rPr/>
  </w:style>
  <w:style w:type="character" w:styleId="WW8Num27z2">
    <w:name w:val="WW8Num27z2"/>
    <w:qFormat/>
    <w:rPr/>
  </w:style>
  <w:style w:type="character" w:styleId="WW8Num27z3">
    <w:name w:val="WW8Num27z3"/>
    <w:qFormat/>
    <w:rPr/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DefaultParagraphFont">
    <w:name w:val="Default Paragraph Font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  <w:style w:type="numbering" w:styleId="WW8Num12">
    <w:name w:val="WW8Num12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16">
    <w:name w:val="WW8Num16"/>
    <w:qFormat/>
  </w:style>
  <w:style w:type="numbering" w:styleId="WW8Num17">
    <w:name w:val="WW8Num17"/>
    <w:qFormat/>
  </w:style>
  <w:style w:type="numbering" w:styleId="WW8Num18">
    <w:name w:val="WW8Num18"/>
    <w:qFormat/>
  </w:style>
  <w:style w:type="numbering" w:styleId="WW8Num19">
    <w:name w:val="WW8Num19"/>
    <w:qFormat/>
  </w:style>
  <w:style w:type="numbering" w:styleId="WW8Num20">
    <w:name w:val="WW8Num20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3">
    <w:name w:val="WW8Num23"/>
    <w:qFormat/>
  </w:style>
  <w:style w:type="numbering" w:styleId="WW8Num24">
    <w:name w:val="WW8Num24"/>
    <w:qFormat/>
  </w:style>
  <w:style w:type="numbering" w:styleId="WW8Num25">
    <w:name w:val="WW8Num25"/>
    <w:qFormat/>
  </w:style>
  <w:style w:type="numbering" w:styleId="WW8Num26">
    <w:name w:val="WW8Num26"/>
    <w:qFormat/>
  </w:style>
  <w:style w:type="numbering" w:styleId="WW8Num27">
    <w:name w:val="WW8Num2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LibreOffice/6.4.3.2$Windows_X86_64 LibreOffice_project/747b5d0ebf89f41c860ec2a39efd7cb15b54f2d8</Application>
  <Pages>8</Pages>
  <Words>1884</Words>
  <Characters>11231</Characters>
  <CharactersWithSpaces>12838</CharactersWithSpaces>
  <Paragraphs>262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2021-06-30T13:29:12Z</dcterms:modified>
  <cp:revision>1</cp:revision>
  <dc:subject/>
  <dc:title/>
</cp:coreProperties>
</file>