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Poznámky Úč PODV 3- 01</w:t>
        <w:tab/>
        <w:tab/>
        <w:tab/>
        <w:tab/>
        <w:tab/>
        <w:tab/>
        <w:t>IČO: 47572264</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ab/>
        <w:tab/>
        <w:tab/>
        <w:tab/>
        <w:tab/>
        <w:tab/>
        <w:tab/>
        <w:tab/>
        <w:tab/>
        <w:t>DIČ: 2023968573</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center"/>
        <w:rPr>
          <w:rFonts w:ascii="Times New Roman" w:hAnsi="Times New Roman" w:eastAsia="Times New Roman" w:cs="Times New Roman"/>
          <w:b/>
          <w:b/>
          <w:sz w:val="28"/>
        </w:rPr>
      </w:pPr>
      <w:r>
        <w:rPr>
          <w:rFonts w:eastAsia="Times New Roman" w:cs="Times New Roman" w:ascii="Times New Roman" w:hAnsi="Times New Roman"/>
          <w:b/>
          <w:sz w:val="28"/>
        </w:rPr>
        <w:t>Poznámky</w:t>
      </w:r>
    </w:p>
    <w:p>
      <w:pPr>
        <w:pStyle w:val="Normal"/>
        <w:spacing w:lineRule="auto" w:line="240" w:before="0" w:after="0"/>
        <w:jc w:val="center"/>
        <w:rPr/>
      </w:pPr>
      <w:r>
        <w:rPr>
          <w:rFonts w:eastAsia="Times New Roman" w:cs="Times New Roman" w:ascii="Times New Roman" w:hAnsi="Times New Roman"/>
          <w:b/>
          <w:sz w:val="28"/>
        </w:rPr>
        <w:t>individuálnej účtovnej závierky zostavenej k 31. decembru 20</w:t>
      </w:r>
      <w:r>
        <w:rPr>
          <w:rFonts w:eastAsia="Times New Roman" w:cs="Times New Roman" w:ascii="Times New Roman" w:hAnsi="Times New Roman"/>
          <w:b/>
          <w:sz w:val="28"/>
        </w:rPr>
        <w:t>20</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Čl. I</w:t>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Všeobecné informácie</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(1) Názov, sídlo, predmet podnikania: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spoločnosť ZUZANKA</w:t>
      </w:r>
      <w:r>
        <w:rPr>
          <w:rFonts w:eastAsia="Times New Roman" w:cs="Times New Roman" w:ascii="Times New Roman" w:hAnsi="Times New Roman"/>
          <w:b/>
          <w:i/>
          <w:sz w:val="24"/>
        </w:rPr>
        <w:t>.s.r.o.</w:t>
      </w:r>
      <w:r>
        <w:rPr>
          <w:rFonts w:eastAsia="Times New Roman" w:cs="Times New Roman" w:ascii="Times New Roman" w:hAnsi="Times New Roman"/>
          <w:sz w:val="24"/>
        </w:rPr>
        <w:t xml:space="preserve"> (ďalej len Spoločnosť), bola založená 14. 12. 2013 a do obchodného registra bola zapísaná 14.12. 2013 (Obchodný register Okresného súdu Trenčín, oddiel s.r.o., vložka 29725/R).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Hlavnými činnosťami Spoločnosti sú: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 </w:t>
      </w:r>
      <w:r>
        <w:rPr>
          <w:rFonts w:eastAsia="Times New Roman" w:cs="Times New Roman" w:ascii="Times New Roman" w:hAnsi="Times New Roman"/>
          <w:sz w:val="24"/>
        </w:rPr>
        <w:t xml:space="preserve">maloobchod,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(2) Dátum schválenia účtovnej závierky za predchádzajúce účtovné obdobie: </w:t>
      </w:r>
    </w:p>
    <w:p>
      <w:pPr>
        <w:pStyle w:val="Normal"/>
        <w:spacing w:lineRule="auto" w:line="240" w:before="0" w:after="0"/>
        <w:jc w:val="both"/>
        <w:rPr/>
      </w:pPr>
      <w:r>
        <w:rPr>
          <w:rFonts w:eastAsia="Times New Roman" w:cs="Times New Roman" w:ascii="Times New Roman" w:hAnsi="Times New Roman"/>
          <w:sz w:val="24"/>
        </w:rPr>
        <w:t>účtovná závierka Spoločnosti k 31. decembru 20</w:t>
      </w:r>
      <w:r>
        <w:rPr>
          <w:rFonts w:eastAsia="Times New Roman" w:cs="Times New Roman" w:ascii="Times New Roman" w:hAnsi="Times New Roman"/>
          <w:sz w:val="24"/>
        </w:rPr>
        <w:t>20</w:t>
      </w:r>
      <w:r>
        <w:rPr>
          <w:rFonts w:eastAsia="Times New Roman" w:cs="Times New Roman" w:ascii="Times New Roman" w:hAnsi="Times New Roman"/>
          <w:sz w:val="24"/>
        </w:rPr>
        <w:t xml:space="preserve"> za predchádzajúce účtovné obdobie bola schválená valným zhromaždením Spoločnosti dňa 30.06.20</w:t>
      </w:r>
      <w:r>
        <w:rPr>
          <w:rFonts w:eastAsia="Times New Roman" w:cs="Times New Roman" w:ascii="Times New Roman" w:hAnsi="Times New Roman"/>
          <w:sz w:val="24"/>
        </w:rPr>
        <w:t>20</w:t>
      </w:r>
      <w:r>
        <w:rPr>
          <w:rFonts w:eastAsia="Times New Roman" w:cs="Times New Roman" w:ascii="Times New Roman" w:hAnsi="Times New Roman"/>
          <w:sz w:val="24"/>
        </w:rPr>
        <w:t xml:space="preserve">.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(3) Právny dôvod na zostavenie účtovnej závierky: </w:t>
      </w:r>
    </w:p>
    <w:p>
      <w:pPr>
        <w:pStyle w:val="Normal"/>
        <w:spacing w:lineRule="auto" w:line="240" w:before="0" w:after="0"/>
        <w:jc w:val="both"/>
        <w:rPr/>
      </w:pPr>
      <w:r>
        <w:rPr>
          <w:rFonts w:eastAsia="Times New Roman" w:cs="Times New Roman" w:ascii="Times New Roman" w:hAnsi="Times New Roman"/>
          <w:sz w:val="24"/>
        </w:rPr>
        <w:t>účtovná závierka Spoločnosti k 31. decembru 20</w:t>
      </w:r>
      <w:r>
        <w:rPr>
          <w:rFonts w:eastAsia="Times New Roman" w:cs="Times New Roman" w:ascii="Times New Roman" w:hAnsi="Times New Roman"/>
          <w:sz w:val="24"/>
        </w:rPr>
        <w:t>20</w:t>
      </w:r>
      <w:r>
        <w:rPr>
          <w:rFonts w:eastAsia="Times New Roman" w:cs="Times New Roman" w:ascii="Times New Roman" w:hAnsi="Times New Roman"/>
          <w:sz w:val="24"/>
        </w:rPr>
        <w:t xml:space="preserve"> je zostavená ako riadna účtovná závierka podľa § 17 ods. 6 zákona NR SR č. 431/2002 Z. z. o účtovníctve v znení neskorších predpisov za účtovné obdobie od 1. januára 20</w:t>
      </w:r>
      <w:r>
        <w:rPr>
          <w:rFonts w:eastAsia="Times New Roman" w:cs="Times New Roman" w:ascii="Times New Roman" w:hAnsi="Times New Roman"/>
          <w:sz w:val="24"/>
        </w:rPr>
        <w:t>20</w:t>
      </w:r>
      <w:r>
        <w:rPr>
          <w:rFonts w:eastAsia="Times New Roman" w:cs="Times New Roman" w:ascii="Times New Roman" w:hAnsi="Times New Roman"/>
          <w:sz w:val="24"/>
        </w:rPr>
        <w:t xml:space="preserve"> do 31. decembra 20</w:t>
      </w:r>
      <w:r>
        <w:rPr>
          <w:rFonts w:eastAsia="Times New Roman" w:cs="Times New Roman" w:ascii="Times New Roman" w:hAnsi="Times New Roman"/>
          <w:sz w:val="24"/>
        </w:rPr>
        <w:t>20</w:t>
      </w:r>
      <w:r>
        <w:rPr>
          <w:rFonts w:eastAsia="Times New Roman" w:cs="Times New Roman" w:ascii="Times New Roman" w:hAnsi="Times New Roman"/>
          <w:sz w:val="24"/>
        </w:rPr>
        <w:t>.</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(4) Priemerný prepočítaný počet zamestnancov: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údaje o počte zamestnancov za bežné účtovné obdobie a bezprostredne predchádzajúce účtovné obdobie sú uvedené v nasledujúcom prehľade:</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 </w:t>
      </w:r>
    </w:p>
    <w:tbl>
      <w:tblPr>
        <w:tblW w:w="9042" w:type="dxa"/>
        <w:jc w:val="center"/>
        <w:tblInd w:w="0"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top w:w="0" w:type="dxa"/>
          <w:left w:w="55" w:type="dxa"/>
          <w:bottom w:w="0" w:type="dxa"/>
          <w:right w:w="70" w:type="dxa"/>
        </w:tblCellMar>
        <w:tblLook w:firstRow="0" w:noVBand="0" w:lastRow="0" w:firstColumn="0" w:lastColumn="0" w:noHBand="0" w:val="0000"/>
      </w:tblPr>
      <w:tblGrid>
        <w:gridCol w:w="3709"/>
        <w:gridCol w:w="2767"/>
        <w:gridCol w:w="2566"/>
      </w:tblGrid>
      <w:tr>
        <w:trPr>
          <w:trHeight w:val="1" w:hRule="atLeast"/>
        </w:trPr>
        <w:tc>
          <w:tcPr>
            <w:tcW w:w="370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Arial Narrow" w:cs="Arial Narrow" w:ascii="Arial Narrow" w:hAnsi="Arial Narrow"/>
                <w:b/>
              </w:rPr>
              <w:t>Názov položky</w:t>
            </w:r>
          </w:p>
        </w:tc>
        <w:tc>
          <w:tcPr>
            <w:tcW w:w="2767"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Arial Narrow" w:cs="Arial Narrow" w:ascii="Arial Narrow" w:hAnsi="Arial Narrow"/>
                <w:b/>
              </w:rPr>
              <w:t>Bežné účtovné obdobie</w:t>
            </w:r>
          </w:p>
        </w:tc>
        <w:tc>
          <w:tcPr>
            <w:tcW w:w="2566"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Arial Narrow" w:cs="Arial Narrow" w:ascii="Arial Narrow" w:hAnsi="Arial Narrow"/>
                <w:b/>
              </w:rPr>
              <w:t>Bezprostredne predchádzajúce účtovné obdobie</w:t>
            </w:r>
          </w:p>
        </w:tc>
      </w:tr>
      <w:tr>
        <w:trPr>
          <w:trHeight w:val="1" w:hRule="atLeast"/>
        </w:trPr>
        <w:tc>
          <w:tcPr>
            <w:tcW w:w="370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tcPr>
          <w:p>
            <w:pPr>
              <w:pStyle w:val="Normal"/>
              <w:spacing w:lineRule="auto" w:line="240" w:before="0" w:after="0"/>
              <w:rPr/>
            </w:pPr>
            <w:r>
              <w:rPr>
                <w:rFonts w:eastAsia="Times New Roman" w:cs="Times New Roman" w:ascii="Times New Roman" w:hAnsi="Times New Roman"/>
                <w:sz w:val="24"/>
              </w:rPr>
              <w:t>Priemerný prepočítaný počet zamestnancov ku dňu závierky</w:t>
            </w:r>
          </w:p>
        </w:tc>
        <w:tc>
          <w:tcPr>
            <w:tcW w:w="2767"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tcPr>
          <w:p>
            <w:pPr>
              <w:pStyle w:val="Normal"/>
              <w:spacing w:lineRule="auto" w:line="360" w:before="0" w:after="0"/>
              <w:jc w:val="center"/>
              <w:rPr>
                <w:rFonts w:ascii="Calibri" w:hAnsi="Calibri" w:eastAsia="Calibri" w:cs="Calibri"/>
              </w:rPr>
            </w:pPr>
            <w:r>
              <w:rPr>
                <w:rFonts w:eastAsia="Calibri" w:cs="Calibri"/>
              </w:rPr>
              <w:t>0</w:t>
            </w:r>
          </w:p>
        </w:tc>
        <w:tc>
          <w:tcPr>
            <w:tcW w:w="2566"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tcPr>
          <w:p>
            <w:pPr>
              <w:pStyle w:val="Normal"/>
              <w:spacing w:lineRule="auto" w:line="360" w:before="0" w:after="0"/>
              <w:jc w:val="center"/>
              <w:rPr>
                <w:rFonts w:ascii="Calibri" w:hAnsi="Calibri" w:eastAsia="Calibri" w:cs="Calibri"/>
              </w:rPr>
            </w:pPr>
            <w:r>
              <w:rPr>
                <w:rFonts w:eastAsia="Calibri" w:cs="Calibri"/>
              </w:rPr>
              <w:t>0</w:t>
            </w:r>
          </w:p>
        </w:tc>
      </w:tr>
    </w:tbl>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 </w:t>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Čl. II</w:t>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Informácie o orgánoch spoločnosti</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Údaje o štatutárnych orgánoch Spoločnosti sú uvedené v Obchodnom registri.</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Štatutárnym orgánom Spoločnosti je konateľka Ing. Lenka Macová.</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Poznámky Úč PODV 3- 01</w:t>
        <w:tab/>
        <w:tab/>
        <w:tab/>
        <w:tab/>
        <w:tab/>
        <w:tab/>
        <w:t xml:space="preserve">IČO: 47572264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ab/>
        <w:tab/>
        <w:tab/>
        <w:tab/>
        <w:tab/>
        <w:tab/>
        <w:tab/>
        <w:tab/>
        <w:tab/>
        <w:t xml:space="preserve">DIČ: 2023968573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Čl. III</w:t>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Informácie o prijatých postupoch</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(1) Východiská pre zostavenie účtovnej závierky: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účtovná závierka bola zostavená za predpokladu nepretržitého trvania Spoločnosti (going concern).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(2) Účtovné metódy a všeobecné účtovné zásady boli účtovnou jednotkou konzistentne aplikované.</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(3) V súvahe sú uvedené všetky transakcie, uskutočnené Spoločnosťou v účtovnom období.</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(4) Spôsob a určenie ocenenia majetku a záväzkov vrátane odhadov:</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a) dlhodobý nehmotný majetok a dlhodobý hmotný majetok:</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dlhodobý majetok nakupovaný sa oceňuje obstarávacou cenou, ktorá zahŕňa cenu obstarania a náklady súvisiace s obstaraním (clo, prepravu, montáž, poistné a pod.).</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Súčasťou obstarávacej ceny dlhodobého hmotného majetku nie sú úroky z cudzích zdrojov ani realizované kurzové rozdiely, ktoré vznikli do momentu uvedenia dlhodobého majetku do používania.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Súčasťou obstarávacej ceny dlhodobého nehmotného majetku nie sú úroky z cudzích zdrojov, ktoré vznikli do momentu zaradenia dlhodobého nehmotného majetku do používania.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Odpisy dlhodobého nehmotného majetku sú stanovené vychádzajúc z predpokladanej doby jeho používania a predpokladaného priebehu jeho opotrebenia. Odpisovať sa začína počnúc mesiacom uvedenia dlhodobého majetku do používania.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Odpisy dlhodobého hmotného majetku sú stanovené vychádzajúc z predpokladanej doby jeho používania a predpokladaného priebehu jeho opotrebenia. Odpisovať sa začína počnúc mesiacom uvedenia dlhodobého majetku do používania okrem majetku obstarávaného formou finančného leasingu, ktorý sa začína odpisovať dňom zaradenia do majetku.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Drobný nehmotný majetok, ktorého ocenenie sa rovná alebo je nižšie ako 2400 € s dobou použiteľnosti dlhšou ako jeden rok sa účtuje na ťarchu účtu 518.</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Pozemky ani zásoby sa neodpisujú.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Poznámky Úč PODV 3- 01</w:t>
        <w:tab/>
        <w:tab/>
        <w:tab/>
        <w:tab/>
        <w:tab/>
        <w:tab/>
        <w:t>IČO:  47572264</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ab/>
        <w:tab/>
        <w:tab/>
        <w:tab/>
        <w:tab/>
        <w:tab/>
        <w:tab/>
        <w:tab/>
        <w:tab/>
        <w:t>DIČ:  2023968573</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Predpokladaná doba používania, metóda odpisovania a odpisová sadzba sú uvedené v nasledujúcej tabuľke:</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rPr>
          <w:rFonts w:ascii="Arial Narrow" w:hAnsi="Arial Narrow" w:eastAsia="Arial Narrow" w:cs="Arial Narrow"/>
          <w:b/>
          <w:b/>
        </w:rPr>
      </w:pPr>
      <w:r>
        <w:rPr>
          <w:rFonts w:eastAsia="Arial Narrow" w:cs="Arial Narrow" w:ascii="Arial Narrow" w:hAnsi="Arial Narrow"/>
          <w:b/>
        </w:rPr>
      </w:r>
    </w:p>
    <w:tbl>
      <w:tblPr>
        <w:tblW w:w="9043" w:type="dxa"/>
        <w:jc w:val="center"/>
        <w:tblInd w:w="0" w:type="dxa"/>
        <w:tbl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blBorders>
        <w:tblCellMar>
          <w:top w:w="0" w:type="dxa"/>
          <w:left w:w="93" w:type="dxa"/>
          <w:bottom w:w="0" w:type="dxa"/>
          <w:right w:w="108" w:type="dxa"/>
        </w:tblCellMar>
        <w:tblLook w:firstRow="0" w:noVBand="0" w:lastRow="0" w:firstColumn="0" w:lastColumn="0" w:noHBand="0" w:val="0000"/>
      </w:tblPr>
      <w:tblGrid>
        <w:gridCol w:w="3061"/>
        <w:gridCol w:w="1993"/>
        <w:gridCol w:w="2009"/>
        <w:gridCol w:w="1979"/>
      </w:tblGrid>
      <w:tr>
        <w:trPr>
          <w:trHeight w:val="1" w:hRule="atLeast"/>
        </w:trPr>
        <w:tc>
          <w:tcPr>
            <w:tcW w:w="3061"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Arial Narrow" w:cs="Arial Narrow" w:ascii="Arial Narrow" w:hAnsi="Arial Narrow"/>
                <w:b/>
              </w:rPr>
              <w:t>Názov položky</w:t>
            </w:r>
          </w:p>
        </w:tc>
        <w:tc>
          <w:tcPr>
            <w:tcW w:w="1993"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Arial Narrow" w:cs="Arial Narrow" w:ascii="Arial Narrow" w:hAnsi="Arial Narrow"/>
                <w:b/>
              </w:rPr>
              <w:t>Doba odpisovania</w:t>
            </w:r>
          </w:p>
        </w:tc>
        <w:tc>
          <w:tcPr>
            <w:tcW w:w="200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Arial Narrow" w:cs="Arial Narrow" w:ascii="Arial Narrow" w:hAnsi="Arial Narrow"/>
                <w:b/>
              </w:rPr>
              <w:t>Sadzba odpisov</w:t>
            </w:r>
          </w:p>
        </w:tc>
        <w:tc>
          <w:tcPr>
            <w:tcW w:w="197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Arial Narrow" w:cs="Arial Narrow" w:ascii="Arial Narrow" w:hAnsi="Arial Narrow"/>
                <w:b/>
              </w:rPr>
              <w:t>Odpisová metóda</w:t>
            </w:r>
          </w:p>
        </w:tc>
      </w:tr>
      <w:tr>
        <w:trPr/>
        <w:tc>
          <w:tcPr>
            <w:tcW w:w="3061"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Arial Narrow" w:cs="Arial Narrow" w:ascii="Arial Narrow" w:hAnsi="Arial Narrow"/>
              </w:rPr>
              <w:t>a</w:t>
            </w:r>
          </w:p>
        </w:tc>
        <w:tc>
          <w:tcPr>
            <w:tcW w:w="1993"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Arial Narrow" w:cs="Arial Narrow" w:ascii="Arial Narrow" w:hAnsi="Arial Narrow"/>
              </w:rPr>
              <w:t>b</w:t>
            </w:r>
          </w:p>
        </w:tc>
        <w:tc>
          <w:tcPr>
            <w:tcW w:w="200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Arial Narrow" w:cs="Arial Narrow" w:ascii="Arial Narrow" w:hAnsi="Arial Narrow"/>
              </w:rPr>
              <w:t>c</w:t>
            </w:r>
          </w:p>
        </w:tc>
        <w:tc>
          <w:tcPr>
            <w:tcW w:w="197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Arial Narrow" w:cs="Arial Narrow" w:ascii="Arial Narrow" w:hAnsi="Arial Narrow"/>
              </w:rPr>
              <w:t>d</w:t>
            </w:r>
          </w:p>
        </w:tc>
      </w:tr>
      <w:tr>
        <w:trPr>
          <w:trHeight w:val="1" w:hRule="atLeast"/>
        </w:trPr>
        <w:tc>
          <w:tcPr>
            <w:tcW w:w="9042" w:type="dxa"/>
            <w:gridSpan w:val="4"/>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rPr/>
            </w:pPr>
            <w:r>
              <w:rPr>
                <w:rFonts w:eastAsia="Times New Roman" w:cs="Times New Roman" w:ascii="Times New Roman" w:hAnsi="Times New Roman"/>
                <w:b/>
                <w:sz w:val="24"/>
              </w:rPr>
              <w:t>Druh majetku</w:t>
            </w:r>
          </w:p>
        </w:tc>
      </w:tr>
      <w:tr>
        <w:trPr>
          <w:trHeight w:val="1" w:hRule="atLeast"/>
        </w:trPr>
        <w:tc>
          <w:tcPr>
            <w:tcW w:w="3061"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rPr/>
            </w:pPr>
            <w:r>
              <w:rPr>
                <w:rFonts w:eastAsia="Times New Roman" w:cs="Times New Roman" w:ascii="Times New Roman" w:hAnsi="Times New Roman"/>
                <w:sz w:val="24"/>
              </w:rPr>
              <w:t>Dlhodobý nehmotný majetok</w:t>
            </w:r>
          </w:p>
        </w:tc>
        <w:tc>
          <w:tcPr>
            <w:tcW w:w="1993"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2 – 4 roky</w:t>
            </w:r>
          </w:p>
        </w:tc>
        <w:tc>
          <w:tcPr>
            <w:tcW w:w="200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Podľa doby použiteľnosti. Účtovné a daňové odpisy sa rovnajú</w:t>
            </w:r>
          </w:p>
        </w:tc>
        <w:tc>
          <w:tcPr>
            <w:tcW w:w="197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Lineárne</w:t>
            </w:r>
          </w:p>
        </w:tc>
      </w:tr>
      <w:tr>
        <w:trPr>
          <w:trHeight w:val="1" w:hRule="atLeast"/>
        </w:trPr>
        <w:tc>
          <w:tcPr>
            <w:tcW w:w="3061"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rPr/>
            </w:pPr>
            <w:r>
              <w:rPr>
                <w:rFonts w:eastAsia="Times New Roman" w:cs="Times New Roman" w:ascii="Times New Roman" w:hAnsi="Times New Roman"/>
                <w:sz w:val="24"/>
              </w:rPr>
              <w:t>Dlhodobý hmotný majetok</w:t>
            </w:r>
          </w:p>
        </w:tc>
        <w:tc>
          <w:tcPr>
            <w:tcW w:w="1993"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4, 6, 8, 12, 20, 40</w:t>
            </w:r>
          </w:p>
        </w:tc>
        <w:tc>
          <w:tcPr>
            <w:tcW w:w="200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1/4, 1/6, 1/8, 1/12, 1/20, 1/40</w:t>
            </w:r>
          </w:p>
        </w:tc>
        <w:tc>
          <w:tcPr>
            <w:tcW w:w="197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Lineárne</w:t>
            </w:r>
          </w:p>
        </w:tc>
      </w:tr>
      <w:tr>
        <w:trPr>
          <w:trHeight w:val="1" w:hRule="atLeast"/>
        </w:trPr>
        <w:tc>
          <w:tcPr>
            <w:tcW w:w="3061"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rPr/>
            </w:pPr>
            <w:r>
              <w:rPr>
                <w:rFonts w:eastAsia="Times New Roman" w:cs="Times New Roman" w:ascii="Times New Roman" w:hAnsi="Times New Roman"/>
                <w:sz w:val="24"/>
              </w:rPr>
              <w:t>Majetok obstaraný na finančný leasing</w:t>
            </w:r>
          </w:p>
        </w:tc>
        <w:tc>
          <w:tcPr>
            <w:tcW w:w="1993"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4, 6, 8, 12, 20, 40</w:t>
            </w:r>
          </w:p>
        </w:tc>
        <w:tc>
          <w:tcPr>
            <w:tcW w:w="200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1/4, 1/6, 1/8, 1/12, 1/20, 1/40</w:t>
            </w:r>
          </w:p>
        </w:tc>
        <w:tc>
          <w:tcPr>
            <w:tcW w:w="1979" w:type="dxa"/>
            <w:tcBorders>
              <w:top w:val="single" w:sz="12"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Lineárne</w:t>
            </w:r>
          </w:p>
        </w:tc>
      </w:tr>
      <w:tr>
        <w:trPr>
          <w:trHeight w:val="1" w:hRule="atLeast"/>
        </w:trPr>
        <w:tc>
          <w:tcPr>
            <w:tcW w:w="3061" w:type="dxa"/>
            <w:tcBorders>
              <w:top w:val="single" w:sz="12" w:space="0" w:color="000001"/>
              <w:left w:val="single" w:sz="12" w:space="0" w:color="000001"/>
              <w:bottom w:val="single" w:sz="6" w:space="0" w:color="000001"/>
              <w:right w:val="single" w:sz="12" w:space="0" w:color="000001"/>
              <w:insideH w:val="single" w:sz="6" w:space="0" w:color="000001"/>
              <w:insideV w:val="single" w:sz="12" w:space="0" w:color="000001"/>
            </w:tcBorders>
            <w:shd w:color="000000" w:fill="FFFFFF" w:val="clear"/>
            <w:vAlign w:val="center"/>
          </w:tcPr>
          <w:p>
            <w:pPr>
              <w:pStyle w:val="Normal"/>
              <w:spacing w:lineRule="auto" w:line="240" w:before="0" w:after="0"/>
              <w:rPr/>
            </w:pPr>
            <w:r>
              <w:rPr>
                <w:rFonts w:eastAsia="Times New Roman" w:cs="Times New Roman" w:ascii="Times New Roman" w:hAnsi="Times New Roman"/>
                <w:sz w:val="24"/>
              </w:rPr>
              <w:t>Iný majetok</w:t>
            </w:r>
          </w:p>
        </w:tc>
        <w:tc>
          <w:tcPr>
            <w:tcW w:w="1993" w:type="dxa"/>
            <w:tcBorders>
              <w:top w:val="single" w:sz="12" w:space="0" w:color="000001"/>
              <w:left w:val="single" w:sz="12" w:space="0" w:color="000001"/>
              <w:bottom w:val="single" w:sz="6" w:space="0" w:color="000001"/>
              <w:right w:val="single" w:sz="12" w:space="0" w:color="000001"/>
              <w:insideH w:val="single" w:sz="6"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Doba trvania</w:t>
            </w:r>
          </w:p>
        </w:tc>
        <w:tc>
          <w:tcPr>
            <w:tcW w:w="2009" w:type="dxa"/>
            <w:tcBorders>
              <w:top w:val="single" w:sz="12" w:space="0" w:color="000001"/>
              <w:left w:val="single" w:sz="12" w:space="0" w:color="000001"/>
              <w:bottom w:val="single" w:sz="6" w:space="0" w:color="000001"/>
              <w:right w:val="single" w:sz="12" w:space="0" w:color="000001"/>
              <w:insideH w:val="single" w:sz="6"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Vstupná cena : doba trvania</w:t>
            </w:r>
          </w:p>
        </w:tc>
        <w:tc>
          <w:tcPr>
            <w:tcW w:w="1979" w:type="dxa"/>
            <w:tcBorders>
              <w:top w:val="single" w:sz="12" w:space="0" w:color="000001"/>
              <w:left w:val="single" w:sz="12" w:space="0" w:color="000001"/>
              <w:bottom w:val="single" w:sz="6" w:space="0" w:color="000001"/>
              <w:right w:val="single" w:sz="12" w:space="0" w:color="000001"/>
              <w:insideH w:val="single" w:sz="6"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Lineárne</w:t>
            </w:r>
          </w:p>
        </w:tc>
      </w:tr>
      <w:tr>
        <w:trPr/>
        <w:tc>
          <w:tcPr>
            <w:tcW w:w="3061" w:type="dxa"/>
            <w:tcBorders>
              <w:top w:val="single" w:sz="6"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rPr/>
            </w:pPr>
            <w:r>
              <w:rPr>
                <w:rFonts w:eastAsia="Times New Roman" w:cs="Times New Roman" w:ascii="Times New Roman" w:hAnsi="Times New Roman"/>
                <w:sz w:val="24"/>
              </w:rPr>
              <w:t>Drobný hmotný majetok</w:t>
            </w:r>
          </w:p>
        </w:tc>
        <w:tc>
          <w:tcPr>
            <w:tcW w:w="1993" w:type="dxa"/>
            <w:tcBorders>
              <w:top w:val="single" w:sz="6"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4 roky</w:t>
            </w:r>
          </w:p>
        </w:tc>
        <w:tc>
          <w:tcPr>
            <w:tcW w:w="2009" w:type="dxa"/>
            <w:tcBorders>
              <w:top w:val="single" w:sz="6"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1/4</w:t>
            </w:r>
          </w:p>
        </w:tc>
        <w:tc>
          <w:tcPr>
            <w:tcW w:w="1979" w:type="dxa"/>
            <w:tcBorders>
              <w:top w:val="single" w:sz="6" w:space="0" w:color="000001"/>
              <w:left w:val="single" w:sz="12" w:space="0" w:color="000001"/>
              <w:bottom w:val="single" w:sz="12" w:space="0" w:color="000001"/>
              <w:right w:val="single" w:sz="12" w:space="0" w:color="000001"/>
              <w:insideH w:val="single" w:sz="12" w:space="0" w:color="000001"/>
              <w:insideV w:val="single" w:sz="12" w:space="0" w:color="000001"/>
            </w:tcBorders>
            <w:shd w:color="000000" w:fill="FFFFFF" w:val="clear"/>
            <w:vAlign w:val="center"/>
          </w:tcPr>
          <w:p>
            <w:pPr>
              <w:pStyle w:val="Normal"/>
              <w:spacing w:lineRule="auto" w:line="240" w:before="0" w:after="0"/>
              <w:jc w:val="center"/>
              <w:rPr/>
            </w:pPr>
            <w:r>
              <w:rPr>
                <w:rFonts w:eastAsia="Times New Roman" w:cs="Times New Roman" w:ascii="Times New Roman" w:hAnsi="Times New Roman"/>
                <w:sz w:val="24"/>
              </w:rPr>
              <w:t>Lineárne</w:t>
            </w:r>
          </w:p>
        </w:tc>
      </w:tr>
    </w:tbl>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b) zásoby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zásoby sa oceňujú nižšou z nasledujúcich hodnôt: obstarávacou cenou (nakupované zásoby) alebo vlastnými nákladmi (zásoby vytvorené vlastnou činnosťou) alebo čistou realizačnou hodnotou.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Obstarávacia cena zahŕňa cenu zásob a náklady súvisiace s obstaraním (clo, prepravu, poistné, provízie, skonto a pod.). Úroky z cudzích zdrojov nie sú súčasťou obstarávacej ceny.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Čistá realizačná hodnota je predpokladaná predajná cena znížená o predpokladané náklady na ich dokončenie a o predpokladané náklady súvisiace s ich predajom.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Zníženie hodnoty zásob sa upravuje vytvorením opravnej položky.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c) pohľadávky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d) peňažné prostriedky a ceniny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peňažné prostriedky a ceniny sa oceňujú ich menovitou hodnotou. Zníženie ich hodnoty sa vyjadruje opravnou položkou.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Poznámky Úč PODV 3- 01</w:t>
        <w:tab/>
        <w:tab/>
        <w:tab/>
        <w:tab/>
        <w:tab/>
        <w:tab/>
        <w:t>IČO:  47572264</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ab/>
        <w:tab/>
        <w:tab/>
        <w:tab/>
        <w:tab/>
        <w:tab/>
        <w:tab/>
        <w:tab/>
        <w:tab/>
        <w:t>DIČ:  2023968573</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e) náklady budúcich období a príjmy budúcich období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náklady budúcich období a príjmy budúcich období sa vykazujú vo výške, ktorá je potrebná na dodržanie zásady vecnej a časovej súvislosti s účtovným obdobím.</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f) rezervy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rezervy sú záväzky s neurčitým časovým vymedzením alebo výškou; tvoria sa na krytie známych rizík alebo strát z podnikania. Oceňujú sa v očakávanej výške záväzku.</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g) záväzky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h) odložené dane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odložené dane (odložená daňová pohľadávka a odložený daňový záväzok) sa vzťahujú na: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a) dočasné rozdiely medzi účtovnou hodnotou majetku a účtovnou hodnotou záväzkov vykázanou v súvahe a ich daňovou základňou,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b) možnosť umorovať daňovú stratu v budúcnosti, ktorou sa rozumie možnosť odpočítať daňovú stratu od základu dane v budúcnosti,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c) možnosť previesť nevyužité daňové odpočty a iné daňové nároky do budúcich období.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O odloženom daňovom záväzku účtuje spoločnosť vždy, o pohľadávke účtuje, ak je realizovateľná.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i) výdavky budúcich období a výnosy budúcich období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výdavky budúcich období a výnosy budúcich období sa vykazujú vo výške, ktorá je potrebná na dodržanie zásady vecnej a časovej súvislosti s účtovným obdobím.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j) prenájom (lízing)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majetok prenajatý na základe operatívneho prenájmu bez kúpnej opcie je považovaný za operatívny prenájom. Majetok vykazuje ako svoj majetok jeho vlastník, nie nájomca.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k) cudzia mena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Poznámky Úč PODV 3- 01</w:t>
        <w:tab/>
        <w:tab/>
        <w:tab/>
        <w:tab/>
        <w:tab/>
        <w:tab/>
        <w:t>IČO:  47572264</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ab/>
        <w:tab/>
        <w:tab/>
        <w:tab/>
        <w:tab/>
        <w:tab/>
        <w:tab/>
        <w:tab/>
        <w:tab/>
        <w:t>DIČ:  2023968573</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Prijaté a poskytnuté preddavky v cudzej mene na účet zriadený v eurách a z účtu zriadeného v eurách sa prepočítavajú na menu euro kurzom, za ktorý boli tieto hodnoty nakúpené alebo predané.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Prijaté a poskytnuté preddavky sa ku dňu, ku ktorému sa zostavuje účtovná závierka, na menu euro už neprepočítavajú.</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l) výnosy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m) náklady:</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n) poskytnuté dotácie:</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Spoločnosť nedostala dotácie ani na náhradu prevádzkových nákladov, ani na obstaranie dlhodobého majetku.</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o) opravy chýb minulých období:</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opravy významných chýb minulých účtovných období, účtované s vplyvom na nerozdelený zisk minulých rokov, sa v bežnom účtovnom období nevyskytli.</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Nevýznamné opravy chýb minulých účtovných období vykonané v bežnom účtovnom období nemajú významný vplyv na výsledok hospodárenia bežného účtovného obdobia.</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Čl. IV</w:t>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Informácie, ktoré vysvetľujú a dopĺňajú súvahu a výkaz ziskov a strát</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(1) Na účtovanie goodwillu ani záporného goodwillu nemala Spoločnosť v bežnom účtovnom období náplň.</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(2) Na účtovanie o derivátoch, ani o majetku a záväzkoch zabezpečených derivátmi nemala Spoločnosť v bežnom účtovnom období náplň.</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(3) Spoločnosť nemá ku koncu bežného účtovného obdobia záväzky so zostatkovou dobou splatnosti dlhšou ako päť rokov. Spoločnosť neeviduje ku koncu bežného účtovného obdobia žiadne zabezpečené záväzky.</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Poznámky Úč PODV 3- 01</w:t>
        <w:tab/>
        <w:tab/>
        <w:tab/>
        <w:tab/>
        <w:tab/>
        <w:tab/>
        <w:t>IČO:  47572264</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ab/>
        <w:tab/>
        <w:tab/>
        <w:tab/>
        <w:tab/>
        <w:tab/>
        <w:tab/>
        <w:tab/>
        <w:tab/>
        <w:t>DIČ:  2023968573</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4) Spoločnosť nenadobudla v bežnom účtovnom období žiadne obchodné podiely, ani ku koncu bežného účtovného obdobia nevlastní žiadne obchodné podiely.</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(5) Žiadne položky nákladov ani výnosov bežného účtovného obdobia nemajú výnimočný charakter.</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Čl. V</w:t>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Informácie o iných aktívach a iných pasívach</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 xml:space="preserve">(1) Spoločnosť neeviduje ku koncu bežného účtovného obdobia žiadny podmienený majetok ani žiadne podmienené záväzky.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(2) Spoločnosť nemá žiadne finančné povinnosti, ktoré nie sú vykazované v súvahe ku koncu bežného účtovného obdobia.</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(3) Na podsúvahových účtoch neeviduje Spoločnosť žiadne významné položky ku koncu bežného účtovného obdobia.</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Čl. VI</w:t>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Udalosti, ktoré nastali po dni, ku ktorému sa zostavuje účtovná závierka</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Po 31. decembri 2017 nenastali také udalosti, ktoré majú významný vplyv na verné zobrazenie skutočností uvádzaných v tejto účtovnej závierke.</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Čl. VII</w:t>
      </w:r>
    </w:p>
    <w:p>
      <w:pPr>
        <w:pStyle w:val="Normal"/>
        <w:spacing w:lineRule="auto" w:line="240" w:before="0" w:after="0"/>
        <w:jc w:val="center"/>
        <w:rPr>
          <w:rFonts w:ascii="Times New Roman" w:hAnsi="Times New Roman" w:eastAsia="Times New Roman" w:cs="Times New Roman"/>
          <w:b/>
          <w:b/>
          <w:sz w:val="24"/>
        </w:rPr>
      </w:pPr>
      <w:r>
        <w:rPr>
          <w:rFonts w:eastAsia="Times New Roman" w:cs="Times New Roman" w:ascii="Times New Roman" w:hAnsi="Times New Roman"/>
          <w:b/>
          <w:sz w:val="24"/>
        </w:rPr>
        <w:t>Ostatné informácie</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(1)  Spoločnosť nemá výlučné ani osobitné práva poskytovať služby vo verejnom záujme.</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(2)  Spoločnosť nie je zaradená do kategórie priemyselnej výroby podľa osobitného predpisu s čistým obratom väčším ako 250 000 000 €.</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t>(3) Spoločnosť nie je zaradená do kategórie priemyselnej výroby podľa osobitného predpisu s čistým obratom väčším ako 250 000 000 €. Preto Spoločnosť ani neeviduje finančné vzťahy medzi orgánom verejnej moci a Spoločnosťou.</w:t>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jc w:val="both"/>
        <w:rPr>
          <w:rFonts w:ascii="Times New Roman" w:hAnsi="Times New Roman" w:eastAsia="Times New Roman" w:cs="Times New Roman"/>
          <w:sz w:val="24"/>
        </w:rPr>
      </w:pPr>
      <w:r>
        <w:rPr>
          <w:rFonts w:eastAsia="Times New Roman" w:cs="Times New Roman" w:ascii="Times New Roman" w:hAnsi="Times New Roman"/>
          <w:sz w:val="24"/>
        </w:rPr>
      </w:r>
    </w:p>
    <w:p>
      <w:pPr>
        <w:pStyle w:val="Normal"/>
        <w:spacing w:lineRule="auto" w:line="240" w:before="0" w:after="0"/>
        <w:rPr/>
      </w:pPr>
      <w:r>
        <w:rPr/>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 w:name="Arial Narrow">
    <w:charset w:val="ee"/>
    <w:family w:val="roman"/>
    <w:pitch w:val="variable"/>
  </w:font>
</w:fonts>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Cs w:val="22"/>
        <w:lang w:val="sk-SK" w:eastAsia="sk-SK"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59" w:before="0" w:after="160"/>
      <w:jc w:val="left"/>
    </w:pPr>
    <w:rPr>
      <w:rFonts w:ascii="Calibri" w:hAnsi="Calibri" w:eastAsia="" w:cs="" w:asciiTheme="minorHAnsi" w:cstheme="minorBidi" w:eastAsiaTheme="minorEastAsia" w:hAnsiTheme="minorHAnsi"/>
      <w:color w:val="00000A"/>
      <w:kern w:val="0"/>
      <w:sz w:val="22"/>
      <w:szCs w:val="22"/>
      <w:lang w:val="sk-SK" w:eastAsia="sk-SK" w:bidi="ar-SA"/>
    </w:rPr>
  </w:style>
  <w:style w:type="character" w:styleId="DefaultParagraphFont" w:default="1">
    <w:name w:val="Default Paragraph Font"/>
    <w:uiPriority w:val="1"/>
    <w:semiHidden/>
    <w:unhideWhenUsed/>
    <w:qFormat/>
    <w:rPr/>
  </w:style>
  <w:style w:type="paragraph" w:styleId="Nadpis">
    <w:name w:val="Nadpis"/>
    <w:basedOn w:val="Normal"/>
    <w:next w:val="Telotextu"/>
    <w:qFormat/>
    <w:pPr>
      <w:keepNext w:val="true"/>
      <w:spacing w:before="240" w:after="120"/>
    </w:pPr>
    <w:rPr>
      <w:rFonts w:ascii="Liberation Sans" w:hAnsi="Liberation Sans" w:eastAsia="Microsoft YaHei" w:cs="Lucida Sans"/>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Lucida Sans"/>
    </w:rPr>
  </w:style>
  <w:style w:type="paragraph" w:styleId="Popis">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numbering" w:styleId="NoList" w:default="1">
    <w:name w:val="No List"/>
    <w:uiPriority w:val="99"/>
    <w:semiHidden/>
    <w:unhideWhenUsed/>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Application>LibreOffice/6.0.2.1$Windows_x86 LibreOffice_project/f7f06a8f319e4b62f9bc5095aa112a65d2f3ac89</Application>
  <Pages>6</Pages>
  <Words>1790</Words>
  <Characters>10682</Characters>
  <CharactersWithSpaces>12464</CharactersWithSpaces>
  <Paragraphs>148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2020-11-02T12:40:00Z</dcterms:created>
  <dc:creator>lenka1</dc:creator>
  <dc:description/>
  <dc:language>sk-SK</dc:language>
  <cp:lastModifiedBy/>
  <dcterms:modified xsi:type="dcterms:W3CDTF">2021-06-30T17:28:50Z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