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20"/>
          <w:szCs w:val="20"/>
        </w:rPr>
      </w:pPr>
      <w:r>
        <w:rPr>
          <w:rFonts w:ascii="LucidaConsole" w:hAnsi="LucidaConsole" w:cs="LucidaConsole"/>
          <w:sz w:val="20"/>
          <w:szCs w:val="20"/>
        </w:rPr>
        <w:t xml:space="preserve">Poznámky </w:t>
      </w:r>
      <w:proofErr w:type="spellStart"/>
      <w:r>
        <w:rPr>
          <w:rFonts w:ascii="LucidaConsole" w:hAnsi="LucidaConsole" w:cs="LucidaConsole"/>
          <w:sz w:val="20"/>
          <w:szCs w:val="20"/>
        </w:rPr>
        <w:t>Úč</w:t>
      </w:r>
      <w:proofErr w:type="spellEnd"/>
      <w:r>
        <w:rPr>
          <w:rFonts w:ascii="LucidaConsole" w:hAnsi="LucidaConsole" w:cs="LucidaConsole"/>
          <w:sz w:val="20"/>
          <w:szCs w:val="20"/>
        </w:rPr>
        <w:t xml:space="preserve"> MÚJ 3-01 </w:t>
      </w:r>
      <w:r>
        <w:rPr>
          <w:rFonts w:ascii="TimesNewRoman" w:hAnsi="TimesNewRoman" w:cs="TimesNewRoman"/>
          <w:sz w:val="20"/>
          <w:szCs w:val="20"/>
        </w:rPr>
        <w:t xml:space="preserve">DIČ: </w:t>
      </w:r>
      <w:r>
        <w:rPr>
          <w:rFonts w:ascii="LucidaConsole" w:hAnsi="LucidaConsole" w:cs="LucidaConsole"/>
          <w:sz w:val="20"/>
          <w:szCs w:val="20"/>
        </w:rPr>
        <w:t>2121328253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20"/>
          <w:szCs w:val="20"/>
        </w:rPr>
      </w:pPr>
      <w:proofErr w:type="spellStart"/>
      <w:r>
        <w:rPr>
          <w:rFonts w:ascii="LucidaConsole" w:hAnsi="LucidaConsole" w:cs="LucidaConsole"/>
          <w:sz w:val="18"/>
          <w:szCs w:val="18"/>
        </w:rPr>
        <w:t>Dalibos</w:t>
      </w:r>
      <w:proofErr w:type="spellEnd"/>
      <w:r>
        <w:rPr>
          <w:rFonts w:ascii="LucidaConsole" w:hAnsi="LucidaConsole" w:cs="LucidaConsole"/>
          <w:sz w:val="18"/>
          <w:szCs w:val="18"/>
        </w:rPr>
        <w:t xml:space="preserve"> </w:t>
      </w:r>
      <w:r>
        <w:rPr>
          <w:rFonts w:ascii="LucidaConsole" w:hAnsi="LucidaConsole" w:cs="LucidaConsole"/>
          <w:sz w:val="18"/>
          <w:szCs w:val="18"/>
        </w:rPr>
        <w:t xml:space="preserve"> s.r.o. </w:t>
      </w:r>
      <w:r>
        <w:rPr>
          <w:rFonts w:ascii="TimesNewRoman" w:hAnsi="TimesNewRoman" w:cs="TimesNewRoman"/>
          <w:sz w:val="20"/>
          <w:szCs w:val="20"/>
        </w:rPr>
        <w:t xml:space="preserve">IČO: </w:t>
      </w:r>
      <w:r>
        <w:rPr>
          <w:rFonts w:ascii="LucidaConsole" w:hAnsi="LucidaConsole" w:cs="LucidaConsole"/>
          <w:sz w:val="20"/>
          <w:szCs w:val="20"/>
        </w:rPr>
        <w:t>53298594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8"/>
          <w:szCs w:val="18"/>
        </w:rPr>
      </w:pPr>
      <w:r>
        <w:rPr>
          <w:rFonts w:ascii="LucidaConsole" w:hAnsi="LucidaConsole" w:cs="LucidaConsole"/>
          <w:sz w:val="18"/>
          <w:szCs w:val="18"/>
        </w:rPr>
        <w:t>[ k termínu: 31.12.2020 ]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I. VŠEOBECNÉ ÚDAJE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8"/>
          <w:szCs w:val="18"/>
        </w:rPr>
      </w:pPr>
      <w:r>
        <w:rPr>
          <w:rFonts w:ascii="LucidaConsole" w:hAnsi="LucidaConsole" w:cs="LucidaConsole"/>
          <w:sz w:val="18"/>
          <w:szCs w:val="18"/>
        </w:rPr>
        <w:t>I. (1) Názov právnickej osoby a jej sídlo alebo meno a priezvisko fyzickej osoby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6"/>
          <w:szCs w:val="16"/>
        </w:rPr>
      </w:pPr>
      <w:r>
        <w:rPr>
          <w:rFonts w:ascii="LucidaConsole" w:hAnsi="LucidaConsole" w:cs="LucidaConsole"/>
          <w:sz w:val="16"/>
          <w:szCs w:val="16"/>
        </w:rPr>
        <w:t xml:space="preserve">Názov spoločnosti: </w:t>
      </w:r>
      <w:proofErr w:type="spellStart"/>
      <w:r>
        <w:rPr>
          <w:rFonts w:ascii="LucidaConsole" w:hAnsi="LucidaConsole" w:cs="LucidaConsole"/>
          <w:sz w:val="16"/>
          <w:szCs w:val="16"/>
        </w:rPr>
        <w:t>sWANWOOD</w:t>
      </w:r>
      <w:proofErr w:type="spellEnd"/>
      <w:r>
        <w:rPr>
          <w:rFonts w:ascii="LucidaConsole" w:hAnsi="LucidaConsole" w:cs="LucidaConsole"/>
          <w:sz w:val="16"/>
          <w:szCs w:val="16"/>
        </w:rPr>
        <w:t xml:space="preserve"> s.r.o.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6"/>
          <w:szCs w:val="16"/>
        </w:rPr>
      </w:pPr>
      <w:r>
        <w:rPr>
          <w:rFonts w:ascii="LucidaConsole" w:hAnsi="LucidaConsole" w:cs="LucidaConsole"/>
          <w:sz w:val="16"/>
          <w:szCs w:val="16"/>
        </w:rPr>
        <w:t>Sídlo spoločnosti: Krížna 204/5, Zábiedovo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8"/>
          <w:szCs w:val="18"/>
        </w:rPr>
      </w:pPr>
      <w:r>
        <w:rPr>
          <w:rFonts w:ascii="LucidaConsole" w:hAnsi="LucidaConsole" w:cs="LucidaConsole"/>
          <w:sz w:val="18"/>
          <w:szCs w:val="18"/>
        </w:rPr>
        <w:t>I. (2) Údaje o konsolidovanom celku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6"/>
          <w:szCs w:val="16"/>
        </w:rPr>
      </w:pPr>
      <w:r>
        <w:rPr>
          <w:rFonts w:ascii="LucidaConsole" w:hAnsi="LucidaConsole" w:cs="LucidaConsole"/>
          <w:sz w:val="16"/>
          <w:szCs w:val="16"/>
        </w:rPr>
        <w:t>Spoločnosť nie je súčasťou konsolidovaného celku.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8"/>
          <w:szCs w:val="18"/>
        </w:rPr>
      </w:pPr>
      <w:r>
        <w:rPr>
          <w:rFonts w:ascii="LucidaConsole" w:hAnsi="LucidaConsole" w:cs="LucidaConsole"/>
          <w:sz w:val="18"/>
          <w:szCs w:val="18"/>
        </w:rPr>
        <w:t>I. (3) Počet zamestnancov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6"/>
          <w:szCs w:val="16"/>
        </w:rPr>
      </w:pPr>
      <w:r>
        <w:rPr>
          <w:rFonts w:ascii="LucidaConsole" w:hAnsi="LucidaConsole" w:cs="LucidaConsole"/>
          <w:sz w:val="16"/>
          <w:szCs w:val="16"/>
        </w:rPr>
        <w:t>Údaje o počte zamestnancov</w:t>
      </w:r>
      <w:bookmarkStart w:id="0" w:name="_GoBack"/>
      <w:bookmarkEnd w:id="0"/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6"/>
          <w:szCs w:val="16"/>
        </w:rPr>
      </w:pPr>
      <w:r>
        <w:rPr>
          <w:rFonts w:ascii="LucidaConsole" w:hAnsi="LucidaConsole" w:cs="LucidaConsole"/>
          <w:sz w:val="16"/>
          <w:szCs w:val="16"/>
        </w:rPr>
        <w:t xml:space="preserve">Priemerný </w:t>
      </w:r>
      <w:proofErr w:type="spellStart"/>
      <w:r>
        <w:rPr>
          <w:rFonts w:ascii="LucidaConsole" w:hAnsi="LucidaConsole" w:cs="LucidaConsole"/>
          <w:sz w:val="16"/>
          <w:szCs w:val="16"/>
        </w:rPr>
        <w:t>prepočítany</w:t>
      </w:r>
      <w:proofErr w:type="spellEnd"/>
      <w:r>
        <w:rPr>
          <w:rFonts w:ascii="LucidaConsole" w:hAnsi="LucidaConsole" w:cs="LucidaConsole"/>
          <w:sz w:val="16"/>
          <w:szCs w:val="16"/>
        </w:rPr>
        <w:t xml:space="preserve"> počet zamestnancov: 2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II. INFORMÁCIE O PRIJATÝCH POSTUPOCH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8"/>
          <w:szCs w:val="18"/>
        </w:rPr>
      </w:pPr>
      <w:r>
        <w:rPr>
          <w:rFonts w:ascii="LucidaConsole" w:hAnsi="LucidaConsole" w:cs="LucidaConsole"/>
          <w:sz w:val="18"/>
          <w:szCs w:val="18"/>
        </w:rPr>
        <w:t>II. (1) Východiská pre zostavenie účtovnej závierky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6"/>
          <w:szCs w:val="16"/>
        </w:rPr>
      </w:pPr>
      <w:r>
        <w:rPr>
          <w:rFonts w:ascii="LucidaConsole" w:hAnsi="LucidaConsole" w:cs="LucidaConsole"/>
          <w:sz w:val="16"/>
          <w:szCs w:val="16"/>
        </w:rPr>
        <w:t>Účtovná závierka bola zostavená za predpokladu nepretržitého trvania spoločnosti.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6"/>
          <w:szCs w:val="16"/>
        </w:rPr>
      </w:pPr>
      <w:r>
        <w:rPr>
          <w:rFonts w:ascii="LucidaConsole" w:hAnsi="LucidaConsole" w:cs="LucidaConsole"/>
          <w:sz w:val="16"/>
          <w:szCs w:val="16"/>
        </w:rPr>
        <w:t>Účtovné metódy a všeobecné zásady boli účtovnou jednotkou konzistentne aplikované.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8"/>
          <w:szCs w:val="18"/>
        </w:rPr>
      </w:pPr>
      <w:r>
        <w:rPr>
          <w:rFonts w:ascii="LucidaConsole" w:hAnsi="LucidaConsole" w:cs="LucidaConsole"/>
          <w:sz w:val="18"/>
          <w:szCs w:val="18"/>
        </w:rPr>
        <w:t>II. (2) Spôsob oceňovania jednotlivých položiek majetku a záväzkov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8"/>
          <w:szCs w:val="18"/>
        </w:rPr>
      </w:pPr>
      <w:r>
        <w:rPr>
          <w:rFonts w:ascii="LucidaConsole" w:hAnsi="LucidaConsole" w:cs="LucidaConsole"/>
          <w:sz w:val="18"/>
          <w:szCs w:val="18"/>
        </w:rPr>
        <w:t>Dlhodobý nehmotný majetok DNM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6"/>
          <w:szCs w:val="16"/>
        </w:rPr>
      </w:pPr>
      <w:r>
        <w:rPr>
          <w:rFonts w:ascii="LucidaConsole" w:hAnsi="LucidaConsole" w:cs="LucidaConsole"/>
          <w:sz w:val="16"/>
          <w:szCs w:val="16"/>
        </w:rPr>
        <w:t>Spoločnosť nevlastní DNM.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6"/>
          <w:szCs w:val="16"/>
        </w:rPr>
      </w:pPr>
      <w:r>
        <w:rPr>
          <w:rFonts w:ascii="LucidaConsole" w:hAnsi="LucidaConsole" w:cs="LucidaConsole"/>
          <w:sz w:val="16"/>
          <w:szCs w:val="16"/>
        </w:rPr>
        <w:t>DNM sa oceňuje obstarávacou cenou, ktorá zahŕňa cenu obstarania a náklady súvisiace s obstaraním.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8"/>
          <w:szCs w:val="18"/>
        </w:rPr>
      </w:pPr>
      <w:r>
        <w:rPr>
          <w:rFonts w:ascii="LucidaConsole" w:hAnsi="LucidaConsole" w:cs="LucidaConsole"/>
          <w:sz w:val="18"/>
          <w:szCs w:val="18"/>
        </w:rPr>
        <w:t>Dlhodobý hmotný majetok DHM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6"/>
          <w:szCs w:val="16"/>
        </w:rPr>
      </w:pPr>
      <w:r>
        <w:rPr>
          <w:rFonts w:ascii="LucidaConsole" w:hAnsi="LucidaConsole" w:cs="LucidaConsole"/>
          <w:sz w:val="16"/>
          <w:szCs w:val="16"/>
        </w:rPr>
        <w:t>Spoločnosť nevlastní DHM.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6"/>
          <w:szCs w:val="16"/>
        </w:rPr>
      </w:pPr>
      <w:r>
        <w:rPr>
          <w:rFonts w:ascii="LucidaConsole" w:hAnsi="LucidaConsole" w:cs="LucidaConsole"/>
          <w:sz w:val="16"/>
          <w:szCs w:val="16"/>
        </w:rPr>
        <w:t>DHM sa oceňuje obstarávacou cenou, ktorá zahŕňa cenu obstarania a náklady súvisiace s obstaraním.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8"/>
          <w:szCs w:val="18"/>
        </w:rPr>
      </w:pPr>
      <w:r>
        <w:rPr>
          <w:rFonts w:ascii="LucidaConsole" w:hAnsi="LucidaConsole" w:cs="LucidaConsole"/>
          <w:sz w:val="18"/>
          <w:szCs w:val="18"/>
        </w:rPr>
        <w:t>Dlhodobý finančný majetok DFM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6"/>
          <w:szCs w:val="16"/>
        </w:rPr>
      </w:pPr>
      <w:r>
        <w:rPr>
          <w:rFonts w:ascii="LucidaConsole" w:hAnsi="LucidaConsole" w:cs="LucidaConsole"/>
          <w:sz w:val="16"/>
          <w:szCs w:val="16"/>
        </w:rPr>
        <w:t>Spoločnosť nevlastní DFM.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6"/>
          <w:szCs w:val="16"/>
        </w:rPr>
      </w:pPr>
      <w:r>
        <w:rPr>
          <w:rFonts w:ascii="LucidaConsole" w:hAnsi="LucidaConsole" w:cs="LucidaConsole"/>
          <w:sz w:val="16"/>
          <w:szCs w:val="16"/>
        </w:rPr>
        <w:t>DFM sa oceňuje obstarávacou cenou, ktorá zahŕňa cenu obstarania a náklady súvisiace s obstaraním.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8"/>
          <w:szCs w:val="18"/>
        </w:rPr>
      </w:pPr>
      <w:r>
        <w:rPr>
          <w:rFonts w:ascii="LucidaConsole" w:hAnsi="LucidaConsole" w:cs="LucidaConsole"/>
          <w:sz w:val="18"/>
          <w:szCs w:val="18"/>
        </w:rPr>
        <w:t>Zásoby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6"/>
          <w:szCs w:val="16"/>
        </w:rPr>
      </w:pPr>
      <w:r>
        <w:rPr>
          <w:rFonts w:ascii="LucidaConsole" w:hAnsi="LucidaConsole" w:cs="LucidaConsole"/>
          <w:sz w:val="16"/>
          <w:szCs w:val="16"/>
        </w:rPr>
        <w:t>Zásoby sa oceňujú obstarávacou cenou, ktorá zahŕňa cenu obstarania a náklady súvisiace s obstaraním.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6"/>
          <w:szCs w:val="16"/>
        </w:rPr>
      </w:pPr>
      <w:r>
        <w:rPr>
          <w:rFonts w:ascii="LucidaConsole" w:hAnsi="LucidaConsole" w:cs="LucidaConsole"/>
          <w:sz w:val="16"/>
          <w:szCs w:val="16"/>
        </w:rPr>
        <w:t>Zásoby materiálu (112), tovaru (132) sa oceňujú váženým aritmetickým priemerom z obstarávacích cien.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6"/>
          <w:szCs w:val="16"/>
        </w:rPr>
      </w:pPr>
      <w:r>
        <w:rPr>
          <w:rFonts w:ascii="LucidaConsole" w:hAnsi="LucidaConsole" w:cs="LucidaConsole"/>
          <w:sz w:val="16"/>
          <w:szCs w:val="16"/>
        </w:rPr>
        <w:t>Zásoby nedokončenej výroby a výrobkov (121, 122, 123) sa oceňujú vnútropodnikovými kalkulovanými cenami.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6"/>
          <w:szCs w:val="16"/>
        </w:rPr>
      </w:pPr>
      <w:r>
        <w:rPr>
          <w:rFonts w:ascii="LucidaConsole" w:hAnsi="LucidaConsole" w:cs="LucidaConsole"/>
          <w:sz w:val="16"/>
          <w:szCs w:val="16"/>
        </w:rPr>
        <w:t>Zníženie hodnoty zásob sa upravuje vytvorením opravnej položky.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8"/>
          <w:szCs w:val="18"/>
        </w:rPr>
      </w:pPr>
      <w:r>
        <w:rPr>
          <w:rFonts w:ascii="LucidaConsole" w:hAnsi="LucidaConsole" w:cs="LucidaConsole"/>
          <w:sz w:val="18"/>
          <w:szCs w:val="18"/>
        </w:rPr>
        <w:t>Pohľadávky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6"/>
          <w:szCs w:val="16"/>
        </w:rPr>
      </w:pPr>
      <w:r>
        <w:rPr>
          <w:rFonts w:ascii="LucidaConsole" w:hAnsi="LucidaConsole" w:cs="LucidaConsole"/>
          <w:sz w:val="16"/>
          <w:szCs w:val="16"/>
        </w:rPr>
        <w:t>Pohľadávky sa oceňujú ich menovitou hodnotou.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8"/>
          <w:szCs w:val="18"/>
        </w:rPr>
      </w:pPr>
      <w:r>
        <w:rPr>
          <w:rFonts w:ascii="LucidaConsole" w:hAnsi="LucidaConsole" w:cs="LucidaConsole"/>
          <w:sz w:val="18"/>
          <w:szCs w:val="18"/>
        </w:rPr>
        <w:t>Krátkodobý finančný majetok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6"/>
          <w:szCs w:val="16"/>
        </w:rPr>
      </w:pPr>
      <w:r>
        <w:rPr>
          <w:rFonts w:ascii="LucidaConsole" w:hAnsi="LucidaConsole" w:cs="LucidaConsole"/>
          <w:sz w:val="16"/>
          <w:szCs w:val="16"/>
        </w:rPr>
        <w:t>Peňažné prostriedky a ceniny sa oceňujú ich menovitou hodnotou.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6"/>
          <w:szCs w:val="16"/>
        </w:rPr>
      </w:pPr>
      <w:r>
        <w:rPr>
          <w:rFonts w:ascii="LucidaConsole" w:hAnsi="LucidaConsole" w:cs="LucidaConsole"/>
          <w:sz w:val="16"/>
          <w:szCs w:val="16"/>
        </w:rPr>
        <w:t>Zníženie ich hodnoty sa vyjadruje opravnou položkou.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8"/>
          <w:szCs w:val="18"/>
        </w:rPr>
      </w:pPr>
      <w:r>
        <w:rPr>
          <w:rFonts w:ascii="LucidaConsole" w:hAnsi="LucidaConsole" w:cs="LucidaConsole"/>
          <w:sz w:val="18"/>
          <w:szCs w:val="18"/>
        </w:rPr>
        <w:t>Záväzky vrátane rezerv, dlhopisov, pôžičiek a úverov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6"/>
          <w:szCs w:val="16"/>
        </w:rPr>
      </w:pPr>
      <w:r>
        <w:rPr>
          <w:rFonts w:ascii="LucidaConsole" w:hAnsi="LucidaConsole" w:cs="LucidaConsole"/>
          <w:sz w:val="16"/>
          <w:szCs w:val="16"/>
        </w:rPr>
        <w:t>Záväzky sa oceňujú ich menovitou hodnotou.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6"/>
          <w:szCs w:val="16"/>
        </w:rPr>
      </w:pPr>
      <w:r>
        <w:rPr>
          <w:rFonts w:ascii="LucidaConsole" w:hAnsi="LucidaConsole" w:cs="LucidaConsole"/>
          <w:sz w:val="16"/>
          <w:szCs w:val="16"/>
        </w:rPr>
        <w:t>Rezervy sa tvoria na krytie známych rizík alebo strát z podnikania. Oceňujú sa v očakávanej výške záväzku.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8"/>
          <w:szCs w:val="18"/>
        </w:rPr>
      </w:pPr>
      <w:r>
        <w:rPr>
          <w:rFonts w:ascii="LucidaConsole" w:hAnsi="LucidaConsole" w:cs="LucidaConsole"/>
          <w:sz w:val="18"/>
          <w:szCs w:val="18"/>
        </w:rPr>
        <w:t>Derivátové operácie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6"/>
          <w:szCs w:val="16"/>
        </w:rPr>
      </w:pPr>
      <w:r>
        <w:rPr>
          <w:rFonts w:ascii="LucidaConsole" w:hAnsi="LucidaConsole" w:cs="LucidaConsole"/>
          <w:sz w:val="16"/>
          <w:szCs w:val="16"/>
        </w:rPr>
        <w:t>Deriváty sa oceňujú reálnou hodnotou.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8"/>
          <w:szCs w:val="18"/>
        </w:rPr>
      </w:pPr>
      <w:r>
        <w:rPr>
          <w:rFonts w:ascii="LucidaConsole" w:hAnsi="LucidaConsole" w:cs="LucidaConsole"/>
          <w:sz w:val="18"/>
          <w:szCs w:val="18"/>
        </w:rPr>
        <w:t>II. (3) Spôsob zostavenia odpisového plánu pre DHM a DNM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8"/>
          <w:szCs w:val="18"/>
        </w:rPr>
      </w:pPr>
      <w:r>
        <w:rPr>
          <w:rFonts w:ascii="LucidaConsole" w:hAnsi="LucidaConsole" w:cs="LucidaConsole"/>
          <w:sz w:val="18"/>
          <w:szCs w:val="18"/>
        </w:rPr>
        <w:t>Dlhodobý hmotný majetok DHM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6"/>
          <w:szCs w:val="16"/>
        </w:rPr>
      </w:pPr>
      <w:r>
        <w:rPr>
          <w:rFonts w:ascii="LucidaConsole" w:hAnsi="LucidaConsole" w:cs="LucidaConsole"/>
          <w:sz w:val="16"/>
          <w:szCs w:val="16"/>
        </w:rPr>
        <w:t>Odpisy DHM vychádzajú z predpokladanej doby jeho používania a predpokladaného priebehu jeho opotrebovania.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6"/>
          <w:szCs w:val="16"/>
        </w:rPr>
      </w:pPr>
      <w:r>
        <w:rPr>
          <w:rFonts w:ascii="LucidaConsole" w:hAnsi="LucidaConsole" w:cs="LucidaConsole"/>
          <w:sz w:val="16"/>
          <w:szCs w:val="16"/>
        </w:rPr>
        <w:t>DHM sa začína odpisovať prvým dňom mesiaca, v ktorom bol DHM daný do používania.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6"/>
          <w:szCs w:val="16"/>
        </w:rPr>
      </w:pPr>
      <w:r>
        <w:rPr>
          <w:rFonts w:ascii="LucidaConsole" w:hAnsi="LucidaConsole" w:cs="LucidaConsole"/>
          <w:sz w:val="16"/>
          <w:szCs w:val="16"/>
        </w:rPr>
        <w:t>Účtovné odpisy DHM sa rovnajú daňovým odpisom.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6"/>
          <w:szCs w:val="16"/>
        </w:rPr>
      </w:pPr>
      <w:r>
        <w:rPr>
          <w:rFonts w:ascii="LucidaConsole" w:hAnsi="LucidaConsole" w:cs="LucidaConsole"/>
          <w:sz w:val="16"/>
          <w:szCs w:val="16"/>
        </w:rPr>
        <w:t>Informácie o DHM, predpokladanej dobe používania, metóde odpisovania a odpisovej sadzbe:</w:t>
      </w:r>
    </w:p>
    <w:p w:rsidR="007F2CE8" w:rsidRDefault="007F2CE8" w:rsidP="007F2CE8">
      <w:pPr>
        <w:autoSpaceDE w:val="0"/>
        <w:autoSpaceDN w:val="0"/>
        <w:adjustRightInd w:val="0"/>
        <w:spacing w:after="0"/>
        <w:rPr>
          <w:rFonts w:ascii="LucidaConsole" w:hAnsi="LucidaConsole" w:cs="LucidaConsole"/>
          <w:sz w:val="16"/>
          <w:szCs w:val="16"/>
        </w:rPr>
      </w:pPr>
      <w:r>
        <w:rPr>
          <w:rFonts w:ascii="LucidaConsole" w:hAnsi="LucidaConsole" w:cs="LucidaConsole"/>
          <w:sz w:val="16"/>
          <w:szCs w:val="16"/>
        </w:rPr>
        <w:t>Doba Metóda Sadzba</w:t>
      </w:r>
    </w:p>
    <w:p w:rsidR="00CE08C3" w:rsidRDefault="007F2CE8" w:rsidP="007F2CE8">
      <w:r>
        <w:rPr>
          <w:rFonts w:ascii="TimesNewRoman" w:hAnsi="TimesNewRoman" w:cs="TimesNewRoman"/>
          <w:sz w:val="18"/>
          <w:szCs w:val="18"/>
        </w:rPr>
        <w:t xml:space="preserve">Strana: </w:t>
      </w:r>
      <w:r>
        <w:rPr>
          <w:rFonts w:ascii="LucidaConsole" w:hAnsi="LucidaConsole" w:cs="LucidaConsole"/>
          <w:sz w:val="18"/>
          <w:szCs w:val="18"/>
        </w:rPr>
        <w:t>1</w:t>
      </w:r>
    </w:p>
    <w:sectPr w:rsidR="00CE08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Consol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CE8"/>
    <w:rsid w:val="007F2CE8"/>
    <w:rsid w:val="00CE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Adriana</cp:lastModifiedBy>
  <cp:revision>1</cp:revision>
  <dcterms:created xsi:type="dcterms:W3CDTF">2021-06-30T14:50:00Z</dcterms:created>
  <dcterms:modified xsi:type="dcterms:W3CDTF">2021-06-30T14:52:00Z</dcterms:modified>
</cp:coreProperties>
</file>