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902322">
        <w:rPr>
          <w:b/>
          <w:bCs/>
          <w:sz w:val="22"/>
          <w:szCs w:val="22"/>
        </w:rPr>
        <w:t>Poznámky k 31.12.2020</w:t>
      </w:r>
    </w:p>
    <w:p w:rsidR="00862D1D" w:rsidRDefault="00862D1D" w:rsidP="00F16ADA">
      <w:r w:rsidRPr="00862D1D">
        <w:t>HK KAPITÁL, s. r. o.</w:t>
      </w:r>
    </w:p>
    <w:p w:rsidR="00B2283C" w:rsidRDefault="00B2283C" w:rsidP="00F16ADA">
      <w:r>
        <w:t xml:space="preserve">V roku 2020 </w:t>
      </w:r>
      <w:r w:rsidR="00862D1D">
        <w:t>sa firma zaoberala kúpou a predajom nehnuteľností.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862D1D"/>
    <w:rsid w:val="00902322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2021-06-30T13:05:00Z</dcterms:created>
  <dcterms:modified xsi:type="dcterms:W3CDTF">2021-06-30T13:05:00Z</dcterms:modified>
</cp:coreProperties>
</file>