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C023C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before="100" w:after="100" w:line="240" w:lineRule="auto"/>
        <w:ind w:right="120"/>
        <w:jc w:val="center"/>
        <w:rPr>
          <w:rFonts w:ascii="Verdana" w:hAnsi="Verdana" w:cs="Verdana"/>
          <w:b/>
          <w:bCs/>
          <w:color w:val="000000"/>
          <w:kern w:val="36"/>
        </w:rPr>
      </w:pPr>
      <w:r>
        <w:rPr>
          <w:rFonts w:ascii="Verdana" w:hAnsi="Verdana" w:cs="Verdana"/>
          <w:b/>
          <w:bCs/>
          <w:color w:val="000000"/>
          <w:kern w:val="36"/>
        </w:rPr>
        <w:t>PŘÍLOHA K ÚČETNÍ ZÁVĚRCE</w:t>
      </w:r>
    </w:p>
    <w:p w14:paraId="65AE9A8D" w14:textId="6C8BE850" w:rsidR="00656AB9" w:rsidRDefault="00470A90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center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za účetní období od 1.1.20</w:t>
      </w:r>
      <w:r w:rsidR="00D14D6A">
        <w:rPr>
          <w:rFonts w:ascii="Verdana" w:hAnsi="Verdana" w:cs="Verdana"/>
          <w:b/>
          <w:bCs/>
          <w:color w:val="000000"/>
          <w:sz w:val="20"/>
          <w:szCs w:val="20"/>
        </w:rPr>
        <w:t>20</w:t>
      </w:r>
      <w:r w:rsidR="00656AB9">
        <w:rPr>
          <w:rFonts w:ascii="Verdana" w:hAnsi="Verdana" w:cs="Verdana"/>
          <w:b/>
          <w:bCs/>
          <w:color w:val="000000"/>
          <w:sz w:val="20"/>
          <w:szCs w:val="20"/>
        </w:rPr>
        <w:t xml:space="preserve"> do 31.12.20</w:t>
      </w:r>
      <w:r w:rsidR="00D14D6A">
        <w:rPr>
          <w:rFonts w:ascii="Verdana" w:hAnsi="Verdana" w:cs="Verdana"/>
          <w:b/>
          <w:bCs/>
          <w:color w:val="000000"/>
          <w:sz w:val="20"/>
          <w:szCs w:val="20"/>
        </w:rPr>
        <w:t>20</w:t>
      </w:r>
      <w:r w:rsidR="00656AB9">
        <w:rPr>
          <w:rFonts w:ascii="Verdana" w:hAnsi="Verdana" w:cs="Verdana"/>
          <w:b/>
          <w:bCs/>
          <w:color w:val="000000"/>
          <w:sz w:val="20"/>
          <w:szCs w:val="20"/>
        </w:rPr>
        <w:t xml:space="preserve"> účetní jednotky</w:t>
      </w:r>
    </w:p>
    <w:p w14:paraId="766BFC7E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center"/>
        <w:rPr>
          <w:rFonts w:ascii="Verdana" w:hAnsi="Verdana" w:cs="Verdana"/>
          <w:color w:val="000000"/>
          <w:sz w:val="20"/>
          <w:szCs w:val="20"/>
        </w:rPr>
      </w:pPr>
    </w:p>
    <w:p w14:paraId="27C275D8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Název: </w:t>
      </w:r>
      <w:r>
        <w:rPr>
          <w:rFonts w:ascii="Verdana" w:hAnsi="Verdana" w:cs="Verdana"/>
          <w:sz w:val="20"/>
          <w:szCs w:val="20"/>
        </w:rPr>
        <w:t>NTSUP SK s.r.o.</w:t>
      </w:r>
    </w:p>
    <w:p w14:paraId="6A2FB3E9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4315E6AF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Sídlo: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  <w:lang w:val="en-US"/>
        </w:rPr>
        <w:t>Kopčianska 20/B</w:t>
      </w:r>
      <w:r>
        <w:rPr>
          <w:rFonts w:ascii="Verdana" w:hAnsi="Verdana" w:cs="Verdana"/>
          <w:sz w:val="20"/>
          <w:szCs w:val="20"/>
        </w:rPr>
        <w:t xml:space="preserve">, </w:t>
      </w:r>
      <w:r>
        <w:rPr>
          <w:rFonts w:ascii="Verdana" w:hAnsi="Verdana" w:cs="Verdana"/>
          <w:sz w:val="20"/>
          <w:szCs w:val="20"/>
          <w:lang w:val="en-US"/>
        </w:rPr>
        <w:t>Bratislava-Petržalka 851 01</w:t>
      </w:r>
      <w:r>
        <w:rPr>
          <w:rFonts w:ascii="Verdana" w:hAnsi="Verdana" w:cs="Verdana"/>
          <w:sz w:val="20"/>
          <w:szCs w:val="20"/>
        </w:rPr>
        <w:t>, Slovenská republika</w:t>
      </w:r>
    </w:p>
    <w:p w14:paraId="3A3F96C6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   </w:t>
      </w:r>
    </w:p>
    <w:p w14:paraId="3488038C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IČO:</w:t>
      </w:r>
      <w:r>
        <w:rPr>
          <w:rFonts w:ascii="Verdana" w:hAnsi="Verdana" w:cs="Verdana"/>
          <w:color w:val="000000"/>
          <w:sz w:val="20"/>
          <w:szCs w:val="20"/>
        </w:rPr>
        <w:tab/>
        <w:t>46 794 883</w:t>
      </w:r>
    </w:p>
    <w:p w14:paraId="60FCCEA0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DIČ:    2023588589</w:t>
      </w:r>
    </w:p>
    <w:p w14:paraId="5D8FB5E0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before="100" w:after="100" w:line="240" w:lineRule="auto"/>
        <w:ind w:left="2124" w:right="120"/>
        <w:jc w:val="both"/>
        <w:rPr>
          <w:rFonts w:ascii="Verdana" w:hAnsi="Verdana" w:cs="Verdana"/>
          <w:b/>
          <w:bCs/>
          <w:color w:val="000000"/>
          <w:kern w:val="36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kern w:val="36"/>
          <w:sz w:val="20"/>
          <w:szCs w:val="20"/>
        </w:rPr>
        <w:t>I. OBECNÉ ÚDAJE</w:t>
      </w:r>
    </w:p>
    <w:p w14:paraId="6D4145D6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1) ZÁKLADNÍ ÚDAJE</w:t>
      </w:r>
    </w:p>
    <w:p w14:paraId="7C211F6B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2445"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 </w:t>
      </w:r>
    </w:p>
    <w:p w14:paraId="1DBF55AB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1a)Datum vzniku: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          </w:t>
      </w:r>
      <w:r>
        <w:rPr>
          <w:rFonts w:ascii="Verdana" w:hAnsi="Verdana" w:cs="Verdana"/>
          <w:sz w:val="20"/>
          <w:szCs w:val="20"/>
        </w:rPr>
        <w:t>16.8.2012</w:t>
      </w:r>
    </w:p>
    <w:p w14:paraId="50463618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Datum zahájení činnosti: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>16.8.2012</w:t>
      </w:r>
    </w:p>
    <w:p w14:paraId="309620AB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2445"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 </w:t>
      </w:r>
    </w:p>
    <w:p w14:paraId="0A7013D2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1b) Rozhodující předmět činnosti: </w:t>
      </w:r>
    </w:p>
    <w:p w14:paraId="08B50EA6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  <w:lang w:val="en-US"/>
        </w:rPr>
      </w:pPr>
      <w:r>
        <w:rPr>
          <w:rFonts w:ascii="Verdana" w:hAnsi="Verdana" w:cs="Verdana"/>
          <w:sz w:val="20"/>
          <w:szCs w:val="20"/>
          <w:lang w:val="en-US"/>
        </w:rPr>
        <w:t>Výroba komunikačných zariadení, spotrebnej techniky, počítačov a kancelárskych strojov</w:t>
      </w:r>
    </w:p>
    <w:p w14:paraId="24FFA1FD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  <w:lang w:val="en-US"/>
        </w:rPr>
      </w:pPr>
      <w:r>
        <w:rPr>
          <w:rFonts w:ascii="Verdana" w:hAnsi="Verdana" w:cs="Verdana"/>
          <w:sz w:val="20"/>
          <w:szCs w:val="20"/>
          <w:lang w:val="en-US"/>
        </w:rPr>
        <w:t>kúpa tovaru na účely jeho predaja konečnému spotrebiteľovi (maloobchod) alebo iným prevádzkovateľom živnosti (veľkoobchod)</w:t>
      </w:r>
    </w:p>
    <w:p w14:paraId="7DF63CC6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  <w:lang w:val="en-US"/>
        </w:rPr>
      </w:pPr>
      <w:r>
        <w:rPr>
          <w:rFonts w:ascii="Verdana" w:hAnsi="Verdana" w:cs="Verdana"/>
          <w:sz w:val="20"/>
          <w:szCs w:val="20"/>
          <w:lang w:val="en-US"/>
        </w:rPr>
        <w:t xml:space="preserve">počítačové služby </w:t>
      </w:r>
      <w:r>
        <w:rPr>
          <w:rFonts w:ascii="Verdana" w:hAnsi="Verdana" w:cs="Verdana"/>
          <w:sz w:val="20"/>
          <w:szCs w:val="20"/>
          <w:lang w:val="en-US"/>
        </w:rPr>
        <w:br/>
      </w:r>
    </w:p>
    <w:p w14:paraId="6A867E46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1c) Osoby, podílející se 20 a více procenty na základním kapitál:</w:t>
      </w:r>
    </w:p>
    <w:p w14:paraId="44A7377E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Martin Junek </w:t>
      </w:r>
      <w:r>
        <w:rPr>
          <w:rFonts w:ascii="Verdana" w:hAnsi="Verdana" w:cs="Verdana"/>
          <w:color w:val="000000"/>
          <w:sz w:val="20"/>
          <w:szCs w:val="20"/>
        </w:rPr>
        <w:t>– 100%</w:t>
      </w:r>
    </w:p>
    <w:p w14:paraId="5E08C479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  <w:lang w:val="en-US"/>
        </w:rPr>
      </w:pPr>
      <w:r>
        <w:rPr>
          <w:rFonts w:ascii="Verdana" w:hAnsi="Verdana" w:cs="Verdana"/>
          <w:sz w:val="20"/>
          <w:szCs w:val="20"/>
        </w:rPr>
        <w:t xml:space="preserve">Kapitál: </w:t>
      </w:r>
      <w:r>
        <w:rPr>
          <w:rFonts w:ascii="Verdana" w:hAnsi="Verdana" w:cs="Verdana"/>
          <w:sz w:val="20"/>
          <w:szCs w:val="20"/>
          <w:lang w:val="en-US"/>
        </w:rPr>
        <w:t xml:space="preserve">10 000 EUR Paid up: 10 000 EUR </w:t>
      </w:r>
    </w:p>
    <w:p w14:paraId="11663EC9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1A835CEB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3C906A2E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1d) Změny a dodatky v obchodním rejstříku v uplynulém účetním období: </w:t>
      </w:r>
    </w:p>
    <w:p w14:paraId="0B463324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Dne 12.6.2014 firma změnila sídlo: </w:t>
      </w:r>
    </w:p>
    <w:p w14:paraId="1F24AA0C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  <w:lang w:val="en-US"/>
        </w:rPr>
      </w:pPr>
      <w:r>
        <w:rPr>
          <w:rFonts w:ascii="Verdana" w:hAnsi="Verdana" w:cs="Verdana"/>
          <w:sz w:val="20"/>
          <w:szCs w:val="20"/>
        </w:rPr>
        <w:t xml:space="preserve">původní sídlo: </w:t>
      </w:r>
      <w:r>
        <w:rPr>
          <w:rFonts w:ascii="Verdana" w:hAnsi="Verdana" w:cs="Verdana"/>
          <w:sz w:val="20"/>
          <w:szCs w:val="20"/>
          <w:lang w:val="en-US"/>
        </w:rPr>
        <w:t>Krupinská 4</w:t>
      </w:r>
      <w:r>
        <w:rPr>
          <w:rFonts w:ascii="Verdana" w:hAnsi="Verdana" w:cs="Verdana"/>
          <w:sz w:val="20"/>
          <w:szCs w:val="20"/>
        </w:rPr>
        <w:t xml:space="preserve">, </w:t>
      </w:r>
      <w:r>
        <w:rPr>
          <w:rFonts w:ascii="Verdana" w:hAnsi="Verdana" w:cs="Verdana"/>
          <w:sz w:val="20"/>
          <w:szCs w:val="20"/>
          <w:lang w:val="en-US"/>
        </w:rPr>
        <w:t xml:space="preserve">Bratislava-Petržalka 851 01 </w:t>
      </w:r>
      <w:r>
        <w:rPr>
          <w:rFonts w:ascii="Verdana" w:hAnsi="Verdana" w:cs="Verdana"/>
          <w:sz w:val="20"/>
          <w:szCs w:val="20"/>
          <w:lang w:val="en-US"/>
        </w:rPr>
        <w:br/>
      </w:r>
    </w:p>
    <w:p w14:paraId="5C9C4A27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nové sídlo: </w:t>
      </w:r>
      <w:r>
        <w:rPr>
          <w:rFonts w:ascii="Verdana" w:hAnsi="Verdana" w:cs="Verdana"/>
          <w:sz w:val="20"/>
          <w:szCs w:val="20"/>
          <w:lang w:val="en-US"/>
        </w:rPr>
        <w:t>Kopčianska 20/B</w:t>
      </w:r>
      <w:r>
        <w:rPr>
          <w:rFonts w:ascii="Verdana" w:hAnsi="Verdana" w:cs="Verdana"/>
          <w:sz w:val="20"/>
          <w:szCs w:val="20"/>
        </w:rPr>
        <w:t xml:space="preserve">, </w:t>
      </w:r>
      <w:r>
        <w:rPr>
          <w:rFonts w:ascii="Verdana" w:hAnsi="Verdana" w:cs="Verdana"/>
          <w:sz w:val="20"/>
          <w:szCs w:val="20"/>
          <w:lang w:val="en-US"/>
        </w:rPr>
        <w:t>Bratislava-Petržalka 851 01</w:t>
      </w:r>
      <w:r>
        <w:rPr>
          <w:rFonts w:ascii="Verdana" w:hAnsi="Verdana" w:cs="Verdana"/>
          <w:sz w:val="20"/>
          <w:szCs w:val="20"/>
          <w:lang w:val="en-US"/>
        </w:rPr>
        <w:br/>
      </w:r>
    </w:p>
    <w:p w14:paraId="72D5920E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1e) Organizační struktura podniku a její zásadní změny:</w:t>
      </w:r>
    </w:p>
    <w:p w14:paraId="065125C4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 ředitel firmy</w:t>
      </w:r>
    </w:p>
    <w:p w14:paraId="72227B49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     - zaměstnanci</w:t>
      </w:r>
    </w:p>
    <w:p w14:paraId="2FE08A5E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1065" w:right="120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</w:p>
    <w:p w14:paraId="542912E3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1f) Jména a příjmení statutárních a dozorčích orgánů:</w:t>
      </w:r>
    </w:p>
    <w:p w14:paraId="46C66708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Martin Junek </w:t>
      </w:r>
      <w:r>
        <w:rPr>
          <w:rFonts w:ascii="Verdana" w:hAnsi="Verdana" w:cs="Verdana"/>
          <w:color w:val="000000"/>
          <w:sz w:val="20"/>
          <w:szCs w:val="20"/>
        </w:rPr>
        <w:t>- jednatel</w:t>
      </w:r>
    </w:p>
    <w:p w14:paraId="446B6C35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6822FFF9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2) SUBJEKTY, V NICHŽ MÁ ÚČETNÍ JEDNOTKA VĚTŠÍ NEŽ 20% PODÍL NA JEJICH ZÁKLADNÍM KAPITÁL: </w:t>
      </w:r>
    </w:p>
    <w:p w14:paraId="21C2E1AE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Nejsou</w:t>
      </w:r>
    </w:p>
    <w:p w14:paraId="4C588B1B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7BDD5BCE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3) POČET ZAMĚSTNANCŮ A OSOBNÍ NÁKLADY</w:t>
      </w:r>
    </w:p>
    <w:p w14:paraId="7617D53C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Průměrný počet zaměstnanců během účetního období:   0</w:t>
      </w:r>
    </w:p>
    <w:p w14:paraId="0B5C521D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z toho řídících pracovníků 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ab/>
        <w:t>0</w:t>
      </w:r>
    </w:p>
    <w:p w14:paraId="6FC6EAFD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  </w:t>
      </w:r>
    </w:p>
    <w:p w14:paraId="3D31DE8D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4) PŮJČKY, ÚVĚRY, ZÁRUKY A OSTATNÍ PLNĚNÍ POSKYTNUTÁ ČLENŮM STATUTÁRNÍCH A ŘÍDÍCÍCH ORGÁNŮ (I BÝVALÝM), AKCIONÁŘŮM, ČLENŮM DRUŽSTVA A SPOLEČNÍKŮM:</w:t>
      </w:r>
    </w:p>
    <w:p w14:paraId="3D339DC4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nebyly vyplaceny</w:t>
      </w:r>
    </w:p>
    <w:p w14:paraId="00383A2E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before="100" w:after="100" w:line="240" w:lineRule="auto"/>
        <w:ind w:right="120"/>
        <w:jc w:val="center"/>
        <w:rPr>
          <w:rFonts w:ascii="Verdana" w:hAnsi="Verdana" w:cs="Verdana"/>
          <w:b/>
          <w:bCs/>
          <w:color w:val="000000"/>
          <w:kern w:val="36"/>
          <w:sz w:val="20"/>
          <w:szCs w:val="20"/>
          <w:u w:val="single"/>
        </w:rPr>
      </w:pPr>
      <w:r>
        <w:rPr>
          <w:rFonts w:ascii="Verdana" w:hAnsi="Verdana" w:cs="Verdana"/>
          <w:b/>
          <w:bCs/>
          <w:color w:val="000000"/>
          <w:kern w:val="36"/>
          <w:sz w:val="20"/>
          <w:szCs w:val="20"/>
          <w:u w:val="single"/>
        </w:rPr>
        <w:lastRenderedPageBreak/>
        <w:t>II. INFORMACE O ÚČETNÍCH METODÁCH A OBECNÝCH ÚČETNÍCH ZÁSADÁCH</w:t>
      </w:r>
    </w:p>
    <w:p w14:paraId="081C9F40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1) ZPŮSOBY OCENĚNÍ</w:t>
      </w:r>
    </w:p>
    <w:p w14:paraId="4D1617FE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2445"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 </w:t>
      </w:r>
    </w:p>
    <w:p w14:paraId="63A346E6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1a1) ZÁSOBY NAKUPOVANÉ </w:t>
      </w:r>
      <w:r>
        <w:rPr>
          <w:rFonts w:ascii="Verdana" w:hAnsi="Verdana" w:cs="Verdana"/>
          <w:color w:val="000000"/>
          <w:sz w:val="20"/>
          <w:szCs w:val="20"/>
        </w:rPr>
        <w:t>- oceněny na úrovni skutečných nákladů pořízení vč. souvisejících nákladů</w:t>
      </w:r>
    </w:p>
    <w:p w14:paraId="09E3DC18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2445"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 </w:t>
      </w:r>
    </w:p>
    <w:p w14:paraId="057F45D6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1a2) ZÁSOBY VYTVOŘENÉ VE VLASTNÍ REŽII – </w:t>
      </w:r>
      <w:r>
        <w:rPr>
          <w:rFonts w:ascii="Verdana" w:hAnsi="Verdana" w:cs="Verdana"/>
          <w:color w:val="000000"/>
          <w:sz w:val="20"/>
          <w:szCs w:val="20"/>
        </w:rPr>
        <w:t>vlastními náklady</w:t>
      </w:r>
    </w:p>
    <w:p w14:paraId="7EA6D04C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2445"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 </w:t>
      </w:r>
    </w:p>
    <w:p w14:paraId="6091DE3B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1b) HMOTNÝ A NEHMOTNÝ DLOUHODOBÝ MAJETEK VYTVOŘENÝ VLASTNÍ ČINNOSTÍ </w:t>
      </w:r>
      <w:r>
        <w:rPr>
          <w:rFonts w:ascii="Verdana" w:hAnsi="Verdana" w:cs="Verdana"/>
          <w:color w:val="000000"/>
          <w:sz w:val="20"/>
          <w:szCs w:val="20"/>
        </w:rPr>
        <w:t>– vlastními náklady</w:t>
      </w:r>
    </w:p>
    <w:p w14:paraId="5707698E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2445"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 </w:t>
      </w:r>
    </w:p>
    <w:p w14:paraId="52694A8C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1c) CENNÉ PAPÍRY A MAJETKOVÉ ÚČASTI – </w:t>
      </w:r>
      <w:r>
        <w:rPr>
          <w:rFonts w:ascii="Verdana" w:hAnsi="Verdana" w:cs="Verdana"/>
          <w:color w:val="000000"/>
          <w:sz w:val="20"/>
          <w:szCs w:val="20"/>
        </w:rPr>
        <w:t>nepoužito</w:t>
      </w:r>
    </w:p>
    <w:p w14:paraId="2C5DAE28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2445"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 </w:t>
      </w:r>
    </w:p>
    <w:p w14:paraId="20EF1172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1d) PŘÍCHOVKY A PŘÍRŮSTKY ZVÍŘAT - </w:t>
      </w:r>
      <w:r>
        <w:rPr>
          <w:rFonts w:ascii="Verdana" w:hAnsi="Verdana" w:cs="Verdana"/>
          <w:color w:val="000000"/>
          <w:sz w:val="20"/>
          <w:szCs w:val="20"/>
        </w:rPr>
        <w:t>nepoužito</w:t>
      </w:r>
    </w:p>
    <w:p w14:paraId="0E7CFEE2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</w:p>
    <w:p w14:paraId="6C4AEDFA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2) DRUHY NÁKLADŮ ZAHRNOVANÝCH DO CEN ZÁSOB</w:t>
      </w:r>
    </w:p>
    <w:p w14:paraId="119893C6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2445"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 </w:t>
      </w:r>
    </w:p>
    <w:p w14:paraId="2569C176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2a) Vedlejší pořizovací náklady, které byly zahrnuty do pořizovacích cen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nakupovaných zásob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</w:p>
    <w:p w14:paraId="652F9DFD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dopravné, clo, pojištění</w:t>
      </w:r>
    </w:p>
    <w:p w14:paraId="6ECCCFBE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2445" w:right="120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424AAE40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3) ZMĚNY ZPUSOBU OCEŇOVÁNÍ, ODPISOVÁNÍ a POSTUPU ÚČTOVÁNÍ </w:t>
      </w:r>
    </w:p>
    <w:p w14:paraId="460B9B66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 nepoužito</w:t>
      </w:r>
    </w:p>
    <w:p w14:paraId="46558334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2445"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 </w:t>
      </w:r>
    </w:p>
    <w:p w14:paraId="599731FD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4) ZPŮSOB STANOVENÍ OPRAVNÝCH POLOŽEK</w:t>
      </w:r>
    </w:p>
    <w:p w14:paraId="1865976C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 nepoužito</w:t>
      </w:r>
    </w:p>
    <w:p w14:paraId="0C6EBBEA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2445"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 </w:t>
      </w:r>
    </w:p>
    <w:p w14:paraId="0F2BC3E5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5) ZPŮSOB SESTAVENÍ ODPISOVÝCH PLÁNŮ PRO DM</w:t>
      </w:r>
    </w:p>
    <w:p w14:paraId="1D06F166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2445"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 </w:t>
      </w:r>
    </w:p>
    <w:p w14:paraId="2E679B4A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5a)  Základní principy účetního odpisového plánu</w:t>
      </w:r>
    </w:p>
    <w:p w14:paraId="57BD396D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Roční sazby účetních odpisů jsou stanoveny samostatně podle předpokládané doby  životnosti majetku roční procentní sazbou.</w:t>
      </w:r>
    </w:p>
    <w:p w14:paraId="1150F8BF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Předpokládaná životnost majetku je stanovena podle jejich daňové životnosti (definované zákonem o daních z příjmů)</w:t>
      </w:r>
    </w:p>
    <w:p w14:paraId="6A636B4F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2445"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 </w:t>
      </w:r>
    </w:p>
    <w:p w14:paraId="0318B12F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6) ZPŮSOB PŘEPOČTU ÚDAJŮ V CIZÍCH MĚNÁCH NA EUR</w:t>
      </w:r>
      <w:r>
        <w:rPr>
          <w:rFonts w:ascii="Verdana" w:hAnsi="Verdana" w:cs="Verdana"/>
          <w:color w:val="000000"/>
          <w:sz w:val="20"/>
          <w:szCs w:val="20"/>
        </w:rPr>
        <w:t xml:space="preserve">  - denní kurz SNB </w:t>
      </w:r>
    </w:p>
    <w:p w14:paraId="655218BC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198BDB23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7) ZPŮSOB SESTAVENÍ ODPISOVÝCH PLÁNŮ PRO DM</w:t>
      </w:r>
    </w:p>
    <w:p w14:paraId="25629B58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52EE3956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7a) Základní principy účetního odpisového plánu</w:t>
      </w:r>
    </w:p>
    <w:p w14:paraId="181A8531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 Roční sazby účetních odpisů jsou stanoveny samostatně podle předpokládané doby životnosti majetku roční procentní sazbou. Předpokládaná životnost majetku je stanovena podle jejich daňové životnosti (definovaná zákonem o daních z příjmů)</w:t>
      </w:r>
    </w:p>
    <w:p w14:paraId="4C746052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before="100" w:after="100" w:line="240" w:lineRule="auto"/>
        <w:ind w:right="120"/>
        <w:jc w:val="both"/>
        <w:rPr>
          <w:rFonts w:ascii="Verdana" w:hAnsi="Verdana" w:cs="Verdana"/>
          <w:b/>
          <w:bCs/>
          <w:kern w:val="36"/>
          <w:sz w:val="20"/>
          <w:szCs w:val="20"/>
        </w:rPr>
      </w:pPr>
      <w:r>
        <w:rPr>
          <w:rFonts w:ascii="Verdana" w:hAnsi="Verdana" w:cs="Verdana"/>
          <w:b/>
          <w:bCs/>
          <w:kern w:val="36"/>
          <w:sz w:val="20"/>
          <w:szCs w:val="20"/>
        </w:rPr>
        <w:t>III. DOPLŇUJÍCÍ INFORMACE K ROZVAZE A VÝKAZU ZISKŮ A ZTRÁT</w:t>
      </w:r>
    </w:p>
    <w:p w14:paraId="27A01A7C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1) VÝZNAMNÉ POLOŽKY  VÝKAZŮ, PODSTATNÉ PRO HODNOCENÍ POZICE PODNIKU</w:t>
      </w:r>
    </w:p>
    <w:p w14:paraId="4424C1B7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1a) Doměrky daně z příjmů za minulé období – </w:t>
      </w:r>
      <w:r>
        <w:rPr>
          <w:rFonts w:ascii="Verdana" w:hAnsi="Verdana" w:cs="Verdana"/>
          <w:color w:val="000000"/>
          <w:sz w:val="20"/>
          <w:szCs w:val="20"/>
        </w:rPr>
        <w:t>nebyly</w:t>
      </w:r>
    </w:p>
    <w:p w14:paraId="51286BEF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2445"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 </w:t>
      </w:r>
    </w:p>
    <w:p w14:paraId="16C1A397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1b) Rozpis dlouhodobých bankovních úvěrů k 31.12. </w:t>
      </w:r>
      <w:r>
        <w:rPr>
          <w:rFonts w:ascii="Verdana" w:hAnsi="Verdana" w:cs="Verdana"/>
          <w:color w:val="000000"/>
          <w:sz w:val="20"/>
          <w:szCs w:val="20"/>
        </w:rPr>
        <w:t>– nebyly</w:t>
      </w:r>
    </w:p>
    <w:p w14:paraId="1DADA3AF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296D4386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1c) Přijaté dotace na investiční a provozní účely za účetní období – </w:t>
      </w:r>
      <w:r>
        <w:rPr>
          <w:rFonts w:ascii="Verdana" w:hAnsi="Verdana" w:cs="Verdana"/>
          <w:color w:val="000000"/>
          <w:sz w:val="20"/>
          <w:szCs w:val="20"/>
        </w:rPr>
        <w:t>nebyly</w:t>
      </w:r>
    </w:p>
    <w:p w14:paraId="5FC42213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2445" w:right="120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025C2E2A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1d) Ostatní významné položky ovlivňující finanční, majetkovou a důchodovou pozici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podniku</w:t>
      </w:r>
    </w:p>
    <w:p w14:paraId="2563AD05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 nepoužito</w:t>
      </w:r>
    </w:p>
    <w:p w14:paraId="7BF14F4A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737BBCBF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1e) Náklady vynaložené na výzkum a vývoj</w:t>
      </w:r>
    </w:p>
    <w:p w14:paraId="6D04D6C2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 nebyly vynaloženy </w:t>
      </w:r>
    </w:p>
    <w:p w14:paraId="6DAFB58D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08D4E3C7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2) VÝZNAMNÉ UDÁLOSTI NASTALÉ MEZI DATEM ÚČETNÍ ZÁVĚRKY A DATEM PŘEDÁNÍ VÝKAZŮ – </w:t>
      </w:r>
      <w:r>
        <w:rPr>
          <w:rFonts w:ascii="Verdana" w:hAnsi="Verdana" w:cs="Verdana"/>
          <w:color w:val="000000"/>
          <w:sz w:val="20"/>
          <w:szCs w:val="20"/>
        </w:rPr>
        <w:t>nebyly</w:t>
      </w:r>
    </w:p>
    <w:p w14:paraId="6A32FF04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2445" w:right="120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416E1F5C" w14:textId="02DC0A99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3) Neuhrazené závazky ze sociálního a zdravotního pojištění k 31.12.20</w:t>
      </w:r>
      <w:r w:rsidR="004B679E">
        <w:rPr>
          <w:rFonts w:ascii="Verdana" w:hAnsi="Verdana" w:cs="Verdana"/>
          <w:b/>
          <w:bCs/>
          <w:color w:val="000000"/>
          <w:sz w:val="20"/>
          <w:szCs w:val="20"/>
        </w:rPr>
        <w:t>20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– </w:t>
      </w:r>
      <w:r>
        <w:rPr>
          <w:rFonts w:ascii="Verdana" w:hAnsi="Verdana" w:cs="Verdana"/>
          <w:color w:val="000000"/>
          <w:sz w:val="20"/>
          <w:szCs w:val="20"/>
        </w:rPr>
        <w:t xml:space="preserve"> nebyly</w:t>
      </w:r>
    </w:p>
    <w:p w14:paraId="38B5DD45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rPr>
          <w:rFonts w:ascii="Verdana" w:hAnsi="Verdana" w:cs="Verdana"/>
          <w:b/>
          <w:bCs/>
          <w:color w:val="000000"/>
          <w:sz w:val="20"/>
          <w:szCs w:val="20"/>
        </w:rPr>
      </w:pPr>
    </w:p>
    <w:p w14:paraId="33F67988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4) Závazky kryté podle zástavního práva, jinak zajištěné – </w:t>
      </w:r>
      <w:r>
        <w:rPr>
          <w:rFonts w:ascii="Verdana" w:hAnsi="Verdana" w:cs="Verdana"/>
          <w:color w:val="000000"/>
          <w:sz w:val="20"/>
          <w:szCs w:val="20"/>
        </w:rPr>
        <w:t>0 tis. Kč</w:t>
      </w:r>
    </w:p>
    <w:p w14:paraId="11A12B9A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rPr>
          <w:rFonts w:ascii="Verdana" w:hAnsi="Verdana" w:cs="Verdana"/>
          <w:b/>
          <w:bCs/>
          <w:color w:val="000000"/>
          <w:sz w:val="20"/>
          <w:szCs w:val="20"/>
        </w:rPr>
      </w:pPr>
    </w:p>
    <w:p w14:paraId="6F127A93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5) Pohledávky kryté podle zástavního práva či jinak zajištěné – </w:t>
      </w:r>
      <w:r>
        <w:rPr>
          <w:rFonts w:ascii="Verdana" w:hAnsi="Verdana" w:cs="Verdana"/>
          <w:color w:val="000000"/>
          <w:sz w:val="20"/>
          <w:szCs w:val="20"/>
        </w:rPr>
        <w:t xml:space="preserve">0 tis. Kč. </w:t>
      </w:r>
    </w:p>
    <w:p w14:paraId="32F54C1E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Pohledávky nezachycené v rozvaze – </w:t>
      </w:r>
      <w:r>
        <w:rPr>
          <w:rFonts w:ascii="Verdana" w:hAnsi="Verdana" w:cs="Verdana"/>
          <w:color w:val="000000"/>
          <w:sz w:val="20"/>
          <w:szCs w:val="20"/>
        </w:rPr>
        <w:t>0 tis. Kč</w:t>
      </w:r>
    </w:p>
    <w:p w14:paraId="0775F856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rPr>
          <w:rFonts w:ascii="Verdana" w:hAnsi="Verdana" w:cs="Verdana"/>
          <w:b/>
          <w:bCs/>
          <w:color w:val="000000"/>
          <w:sz w:val="20"/>
          <w:szCs w:val="20"/>
        </w:rPr>
      </w:pPr>
    </w:p>
    <w:p w14:paraId="53C4C220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6) ZÁKONNÉ A OSTATNÍ REZERVY – </w:t>
      </w:r>
      <w:r>
        <w:rPr>
          <w:rFonts w:ascii="Verdana" w:hAnsi="Verdana" w:cs="Verdana"/>
          <w:color w:val="000000"/>
          <w:sz w:val="20"/>
          <w:szCs w:val="20"/>
        </w:rPr>
        <w:t>nebyly vytvořeny</w:t>
      </w:r>
    </w:p>
    <w:p w14:paraId="3E581905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rPr>
          <w:rFonts w:ascii="Verdana" w:hAnsi="Verdana" w:cs="Verdana"/>
          <w:b/>
          <w:bCs/>
          <w:color w:val="000000"/>
          <w:sz w:val="20"/>
          <w:szCs w:val="20"/>
        </w:rPr>
      </w:pPr>
    </w:p>
    <w:p w14:paraId="54C4B506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rPr>
          <w:rFonts w:ascii="Verdana" w:hAnsi="Verdana" w:cs="Verdana"/>
          <w:b/>
          <w:bCs/>
          <w:color w:val="000000"/>
          <w:sz w:val="20"/>
          <w:szCs w:val="20"/>
        </w:rPr>
      </w:pPr>
    </w:p>
    <w:p w14:paraId="196189B7" w14:textId="77777777" w:rsidR="00656AB9" w:rsidRDefault="00656AB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rPr>
          <w:rFonts w:ascii="Verdana" w:hAnsi="Verdana" w:cs="Verdana"/>
          <w:b/>
          <w:bCs/>
          <w:color w:val="000000"/>
          <w:sz w:val="20"/>
          <w:szCs w:val="20"/>
        </w:rPr>
      </w:pPr>
    </w:p>
    <w:p w14:paraId="4DECDF7C" w14:textId="77777777" w:rsidR="00FB7C2F" w:rsidRDefault="00FB7C2F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20"/>
        <w:rPr>
          <w:rFonts w:ascii="Verdana" w:hAnsi="Verdana" w:cs="Verdana"/>
          <w:b/>
          <w:bCs/>
          <w:color w:val="000000"/>
          <w:sz w:val="20"/>
          <w:szCs w:val="20"/>
        </w:rPr>
      </w:pPr>
    </w:p>
    <w:p w14:paraId="1346861F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…………………………………………………………………………………</w:t>
      </w:r>
    </w:p>
    <w:p w14:paraId="13940039" w14:textId="77777777" w:rsidR="00656AB9" w:rsidRDefault="003A21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Martin Junek - jednatel</w:t>
      </w:r>
    </w:p>
    <w:p w14:paraId="2FD93D96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3C1C63C8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282CC3A7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585AA8E5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290E411E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22E4F344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4455499A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16F560E1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5E925999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2F8435D3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7E11A110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055CD29C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55085E72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3D1C28F6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7C5C2E45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77680326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6C4DD332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00AC11E4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6436FA85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2C359DFB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1FFA6713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645102EA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12E9C1FF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2CC41833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79E117B8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4B57DAB7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046E757A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1C9D7861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601FD769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4097BD7F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184D8FA0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728BA279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71E4E262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74CDAF20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11C463A0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362EB47D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38CEDE33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732F2C9B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73CF2D97" w14:textId="77777777" w:rsidR="00656AB9" w:rsidRDefault="00656A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sectPr w:rsidR="00656AB9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0A90"/>
    <w:rsid w:val="003A21B9"/>
    <w:rsid w:val="00470A90"/>
    <w:rsid w:val="004B679E"/>
    <w:rsid w:val="00656AB9"/>
    <w:rsid w:val="00BD679B"/>
    <w:rsid w:val="00D14D6A"/>
    <w:rsid w:val="00E827D0"/>
    <w:rsid w:val="00FB7C2F"/>
    <w:rsid w:val="00FE0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6C6D7D1"/>
  <w14:defaultImageDpi w14:val="0"/>
  <w15:docId w15:val="{A6A3BBC7-CEC2-43F8-B2B2-61A4793CF7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FE0D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E0DA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4</Pages>
  <Words>540</Words>
  <Characters>3434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</dc:creator>
  <cp:keywords/>
  <dc:description/>
  <cp:lastModifiedBy>Marie Tulisova</cp:lastModifiedBy>
  <cp:revision>3</cp:revision>
  <cp:lastPrinted>2020-06-30T10:45:00Z</cp:lastPrinted>
  <dcterms:created xsi:type="dcterms:W3CDTF">2021-06-30T06:58:00Z</dcterms:created>
  <dcterms:modified xsi:type="dcterms:W3CDTF">2021-06-30T07:20:00Z</dcterms:modified>
</cp:coreProperties>
</file>