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/>
        <w:jc w:val="center"/>
        <w:outlineLvl w:val="1"/>
        <w:rPr>
          <w:b/>
          <w:bCs/>
          <w:sz w:val="20"/>
        </w:rPr>
      </w:pPr>
      <w:r>
        <w:rPr>
          <w:b/>
          <w:bCs/>
          <w:sz w:val="20"/>
        </w:rPr>
        <w:t>Čl. I</w:t>
      </w:r>
    </w:p>
    <w:p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>
        <w:rPr>
          <w:b/>
          <w:bCs/>
          <w:sz w:val="20"/>
        </w:rPr>
        <w:tab/>
      </w:r>
      <w:r>
        <w:rPr>
          <w:b/>
          <w:bCs/>
          <w:sz w:val="20"/>
        </w:rPr>
        <w:tab/>
      </w:r>
      <w:r>
        <w:rPr>
          <w:b/>
          <w:bCs/>
          <w:sz w:val="20"/>
        </w:rPr>
        <w:t>Všeobecné údaje</w:t>
      </w:r>
    </w:p>
    <w:p>
      <w:pPr>
        <w:keepNext/>
        <w:jc w:val="center"/>
        <w:outlineLvl w:val="1"/>
        <w:rPr>
          <w:b/>
          <w:bCs/>
          <w:sz w:val="18"/>
          <w:szCs w:val="22"/>
        </w:rPr>
      </w:pPr>
    </w:p>
    <w:p>
      <w:pPr>
        <w:numPr>
          <w:ilvl w:val="0"/>
          <w:numId w:val="2"/>
        </w:numPr>
        <w:ind w:hanging="1339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tblStyle w:val="22"/>
        <w:tblW w:w="9498" w:type="dxa"/>
        <w:tblInd w:w="10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98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4" w:hRule="atLeast"/>
        </w:trPr>
        <w:tc>
          <w:tcPr>
            <w:tcW w:w="9498" w:type="dxa"/>
          </w:tcPr>
          <w:p>
            <w:pPr>
              <w:jc w:val="both"/>
              <w:rPr>
                <w:rFonts w:hint="default"/>
                <w:sz w:val="20"/>
                <w:lang w:val="sk-SK"/>
              </w:rPr>
            </w:pPr>
            <w:r>
              <w:rPr>
                <w:sz w:val="20"/>
              </w:rPr>
              <w:t xml:space="preserve"> </w:t>
            </w:r>
            <w:r>
              <w:rPr>
                <w:rFonts w:hint="default"/>
                <w:sz w:val="20"/>
                <w:lang w:val="sk-SK"/>
              </w:rPr>
              <w:t>PLYNEX SK s.r.o., Bieloruská 31, 821 06 Bratislava</w:t>
            </w:r>
          </w:p>
        </w:tc>
      </w:tr>
    </w:tbl>
    <w:p>
      <w:pPr>
        <w:jc w:val="both"/>
        <w:rPr>
          <w:sz w:val="20"/>
          <w:u w:val="single"/>
        </w:rPr>
      </w:pPr>
    </w:p>
    <w:p>
      <w:pPr>
        <w:numPr>
          <w:ilvl w:val="0"/>
          <w:numId w:val="2"/>
        </w:numPr>
        <w:ind w:left="709" w:hanging="567"/>
        <w:jc w:val="both"/>
        <w:rPr>
          <w:sz w:val="20"/>
        </w:rPr>
      </w:pPr>
      <w:r>
        <w:rPr>
          <w:sz w:val="20"/>
        </w:rPr>
        <w:t>Údaje o konsolidovanom celku:   Účtovná jednotka nie je materskou účtovnou jednotkou.</w:t>
      </w:r>
    </w:p>
    <w:p>
      <w:pPr>
        <w:numPr>
          <w:ilvl w:val="0"/>
          <w:numId w:val="2"/>
        </w:numPr>
        <w:ind w:hanging="1339"/>
        <w:jc w:val="both"/>
        <w:rPr>
          <w:sz w:val="20"/>
        </w:rPr>
      </w:pPr>
      <w:r>
        <w:rPr>
          <w:sz w:val="20"/>
        </w:rPr>
        <w:t xml:space="preserve">Priemerný prepočítaný počet zamestnancov: </w:t>
      </w:r>
      <w:r>
        <w:rPr>
          <w:rFonts w:hint="default"/>
          <w:sz w:val="20"/>
          <w:lang w:val="sk-SK"/>
        </w:rPr>
        <w:t>0</w:t>
      </w:r>
      <w:r>
        <w:rPr>
          <w:sz w:val="20"/>
        </w:rPr>
        <w:t xml:space="preserve">   </w:t>
      </w:r>
      <w:bookmarkStart w:id="0" w:name="_GoBack"/>
      <w:bookmarkEnd w:id="0"/>
    </w:p>
    <w:p>
      <w:pPr>
        <w:tabs>
          <w:tab w:val="left" w:pos="851"/>
        </w:tabs>
        <w:ind w:left="2870"/>
        <w:jc w:val="both"/>
        <w:rPr>
          <w:sz w:val="20"/>
        </w:rPr>
      </w:pPr>
    </w:p>
    <w:p>
      <w:pPr>
        <w:jc w:val="center"/>
        <w:rPr>
          <w:b/>
          <w:sz w:val="20"/>
        </w:rPr>
      </w:pPr>
      <w:r>
        <w:rPr>
          <w:b/>
          <w:sz w:val="20"/>
        </w:rPr>
        <w:t>Čl. II</w:t>
      </w:r>
    </w:p>
    <w:p>
      <w:pPr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>
      <w:pPr>
        <w:ind w:left="1121"/>
        <w:jc w:val="both"/>
        <w:rPr>
          <w:b/>
          <w:sz w:val="20"/>
        </w:rPr>
      </w:pPr>
    </w:p>
    <w:p>
      <w:pPr>
        <w:numPr>
          <w:ilvl w:val="0"/>
          <w:numId w:val="3"/>
        </w:numPr>
        <w:ind w:left="709" w:hanging="567"/>
        <w:jc w:val="both"/>
        <w:rPr>
          <w:sz w:val="20"/>
        </w:rPr>
      </w:pPr>
      <w:r>
        <w:rPr>
          <w:sz w:val="20"/>
        </w:rPr>
        <w:t>Účtovná závierka je zostavená za predpokladu, že účtovná jednotka bude nepretržite pokračovať vo svojej činnosti</w:t>
      </w:r>
    </w:p>
    <w:p>
      <w:pPr>
        <w:numPr>
          <w:ilvl w:val="0"/>
          <w:numId w:val="3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Spôsob oceňovania jednotlivých položiek majetku a záväzkov </w:t>
      </w:r>
    </w:p>
    <w:p>
      <w:pPr>
        <w:ind w:left="709"/>
        <w:jc w:val="both"/>
        <w:rPr>
          <w:sz w:val="20"/>
        </w:rPr>
      </w:pPr>
      <w:r>
        <w:rPr>
          <w:sz w:val="20"/>
        </w:rPr>
        <w:t xml:space="preserve">Ku dňu uskutočnenia účtovného prípadu oceňovala účtovná jednotka majetok a záväzky: </w:t>
      </w:r>
    </w:p>
    <w:p>
      <w:pPr>
        <w:ind w:left="709"/>
        <w:jc w:val="both"/>
        <w:rPr>
          <w:sz w:val="20"/>
        </w:rPr>
      </w:pPr>
      <w:r>
        <w:rPr>
          <w:sz w:val="20"/>
        </w:rPr>
        <w:t>- obstarávacou cenou: dlhodobý hmotný majetok obstaraný kúpou</w:t>
      </w:r>
    </w:p>
    <w:p>
      <w:pPr>
        <w:ind w:left="709"/>
        <w:jc w:val="both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 xml:space="preserve">         zásoby obstarané kúpou</w:t>
      </w:r>
    </w:p>
    <w:p>
      <w:pPr>
        <w:ind w:left="709"/>
        <w:jc w:val="both"/>
        <w:rPr>
          <w:sz w:val="20"/>
        </w:rPr>
      </w:pPr>
      <w:r>
        <w:rPr>
          <w:sz w:val="20"/>
        </w:rPr>
        <w:t>Obstarávacia cena obsahuje náklady súvisiace s obstaraním: dopravné</w:t>
      </w:r>
    </w:p>
    <w:p>
      <w:pPr>
        <w:ind w:left="709"/>
        <w:jc w:val="both"/>
        <w:rPr>
          <w:sz w:val="20"/>
        </w:rPr>
      </w:pPr>
      <w:r>
        <w:rPr>
          <w:sz w:val="20"/>
        </w:rPr>
        <w:t>- menovitou hodnotou: peňažné prostriedky a ceniny</w:t>
      </w:r>
    </w:p>
    <w:p>
      <w:pPr>
        <w:ind w:left="709"/>
        <w:jc w:val="both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 xml:space="preserve">           záväzky pri ich vzniku</w:t>
      </w:r>
    </w:p>
    <w:p>
      <w:pPr>
        <w:jc w:val="both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 xml:space="preserve">                        pohľadávky pri ich vzniku</w:t>
      </w:r>
    </w:p>
    <w:p>
      <w:pPr>
        <w:numPr>
          <w:ilvl w:val="0"/>
          <w:numId w:val="3"/>
        </w:numPr>
        <w:ind w:left="709" w:hanging="567"/>
        <w:jc w:val="both"/>
        <w:rPr>
          <w:sz w:val="20"/>
        </w:rPr>
      </w:pPr>
      <w:r>
        <w:rPr>
          <w:sz w:val="20"/>
        </w:rPr>
        <w:t xml:space="preserve"> Účtovná jednotka stanovila interným predpisom pravidlá pre účtovanie dlhodobého majetku:</w:t>
      </w:r>
    </w:p>
    <w:p>
      <w:pPr>
        <w:ind w:left="709"/>
        <w:jc w:val="both"/>
        <w:rPr>
          <w:sz w:val="20"/>
        </w:rPr>
      </w:pPr>
      <w:r>
        <w:rPr>
          <w:sz w:val="20"/>
        </w:rPr>
        <w:t>- Nehmotný majetok, ktorého ocenenie sa rovná sume 2.400 € alebo je nižšie sa účtuje na ťarchu účtu 518 – Ostatné služby. Nehmotný majetok, ktorého ocenenie je vyššie, účtovná jednotka účtuje do dlhodobého nehmotného  majetku.</w:t>
      </w:r>
    </w:p>
    <w:p>
      <w:pPr>
        <w:ind w:left="709"/>
        <w:jc w:val="both"/>
        <w:rPr>
          <w:sz w:val="20"/>
        </w:rPr>
      </w:pPr>
      <w:r>
        <w:rPr>
          <w:sz w:val="20"/>
        </w:rPr>
        <w:t>- Hmotný majetok, ktorého ocenenie sa rovná sume 1.700 € alebo je nižšie účtuje účtovná jednotka na ťarchu účtu zásob. Hmotný majetok, ktorého ocenenie je vyššie, účtovná jednotka účtuje do dlhodobého hmotného majetku.</w:t>
      </w:r>
    </w:p>
    <w:p>
      <w:pPr>
        <w:ind w:left="709"/>
        <w:jc w:val="both"/>
        <w:rPr>
          <w:sz w:val="20"/>
        </w:rPr>
      </w:pPr>
      <w:r>
        <w:rPr>
          <w:sz w:val="20"/>
        </w:rPr>
        <w:t>Účtovná jednotka zostavila pre bežné účtovné obdobie odpisový plán pre dlhodobý majetok, ktorý obsahuje dobu odpisovania, sadzby odpisov, odpisové metódy.</w:t>
      </w:r>
    </w:p>
    <w:p>
      <w:pPr>
        <w:ind w:left="709"/>
        <w:jc w:val="both"/>
        <w:rPr>
          <w:sz w:val="20"/>
        </w:rPr>
      </w:pPr>
      <w:r>
        <w:rPr>
          <w:sz w:val="20"/>
        </w:rPr>
        <w:t>Účtovné odpisy dlhodobého hmotného majetku sa rovnajú daňovým odpisom.</w:t>
      </w:r>
    </w:p>
    <w:p>
      <w:pPr>
        <w:ind w:left="709"/>
        <w:jc w:val="both"/>
        <w:rPr>
          <w:sz w:val="20"/>
        </w:rPr>
      </w:pPr>
    </w:p>
    <w:p>
      <w:pPr>
        <w:numPr>
          <w:ilvl w:val="0"/>
          <w:numId w:val="3"/>
        </w:numPr>
        <w:ind w:left="709" w:hanging="567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 ÚJ: bez zmeny</w:t>
      </w:r>
    </w:p>
    <w:p>
      <w:pPr>
        <w:pStyle w:val="26"/>
        <w:rPr>
          <w:sz w:val="20"/>
        </w:rPr>
      </w:pPr>
    </w:p>
    <w:p>
      <w:pPr>
        <w:numPr>
          <w:ilvl w:val="0"/>
          <w:numId w:val="3"/>
        </w:numPr>
        <w:ind w:left="709" w:hanging="567"/>
        <w:jc w:val="both"/>
        <w:rPr>
          <w:sz w:val="20"/>
        </w:rPr>
      </w:pPr>
      <w:r>
        <w:rPr>
          <w:sz w:val="20"/>
        </w:rPr>
        <w:t>Pre informáciu nie je náplň.</w:t>
      </w:r>
    </w:p>
    <w:p>
      <w:pPr>
        <w:ind w:left="709"/>
        <w:jc w:val="both"/>
        <w:rPr>
          <w:sz w:val="18"/>
          <w:szCs w:val="22"/>
        </w:rPr>
      </w:pPr>
    </w:p>
    <w:p>
      <w:pPr>
        <w:numPr>
          <w:ilvl w:val="0"/>
          <w:numId w:val="3"/>
        </w:numPr>
        <w:ind w:left="709" w:hanging="567"/>
        <w:jc w:val="both"/>
        <w:rPr>
          <w:sz w:val="20"/>
        </w:rPr>
      </w:pPr>
      <w:r>
        <w:rPr>
          <w:sz w:val="20"/>
        </w:rPr>
        <w:t>Pre informáciu nie je náplň.</w:t>
      </w:r>
    </w:p>
    <w:p>
      <w:pPr>
        <w:jc w:val="both"/>
        <w:rPr>
          <w:sz w:val="18"/>
          <w:szCs w:val="22"/>
        </w:rPr>
      </w:pPr>
    </w:p>
    <w:p>
      <w:pPr>
        <w:ind w:left="360"/>
        <w:rPr>
          <w:sz w:val="20"/>
        </w:rPr>
      </w:pPr>
    </w:p>
    <w:p>
      <w:pPr>
        <w:jc w:val="center"/>
        <w:rPr>
          <w:b/>
          <w:sz w:val="20"/>
        </w:rPr>
      </w:pPr>
      <w:r>
        <w:rPr>
          <w:b/>
          <w:sz w:val="20"/>
        </w:rPr>
        <w:t>Čl. III</w:t>
      </w:r>
    </w:p>
    <w:p>
      <w:pPr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>
      <w:pPr>
        <w:ind w:left="1841"/>
        <w:jc w:val="center"/>
        <w:rPr>
          <w:b/>
          <w:sz w:val="20"/>
        </w:rPr>
      </w:pPr>
    </w:p>
    <w:p>
      <w:pPr>
        <w:ind w:firstLine="709"/>
        <w:jc w:val="both"/>
        <w:rPr>
          <w:sz w:val="20"/>
        </w:rPr>
      </w:pPr>
      <w:r>
        <w:rPr>
          <w:sz w:val="20"/>
        </w:rPr>
        <w:t>Pre body 1-7 nemá účtovná jednotka náplň.</w:t>
      </w:r>
    </w:p>
    <w:sectPr>
      <w:headerReference r:id="rId3" w:type="default"/>
      <w:footerReference r:id="rId4" w:type="default"/>
      <w:pgSz w:w="11907" w:h="16840"/>
      <w:pgMar w:top="1418" w:right="1418" w:bottom="1418" w:left="1021" w:header="567" w:footer="567" w:gutter="0"/>
      <w:pgNumType w:start="1"/>
      <w:cols w:space="708" w:num="1"/>
      <w:docGrid w:linePitch="32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Arial Narrow">
    <w:altName w:val="Arial"/>
    <w:panose1 w:val="020B0606020202030204"/>
    <w:charset w:val="EE"/>
    <w:family w:val="swiss"/>
    <w:pitch w:val="default"/>
    <w:sig w:usb0="00000000" w:usb1="00000000" w:usb2="00000000" w:usb3="00000000" w:csb0="0000009F" w:csb1="0000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6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</w:p>
  <w:p>
    <w:pPr>
      <w:pStyle w:val="1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22"/>
      <w:tblW w:w="10311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330" w:hRule="atLeast"/>
      </w:trPr>
      <w:tc>
        <w:tcPr>
          <w:tcW w:w="2710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color="auto" w:sz="4" w:space="0"/>
            <w:right w:val="single" w:color="auto" w:sz="4" w:space="0"/>
          </w:tcBorders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bottom"/>
        </w:tcPr>
        <w:p>
          <w:pPr>
            <w:rPr>
              <w:rFonts w:hint="default"/>
              <w:color w:val="000000"/>
              <w:szCs w:val="22"/>
              <w:lang w:val="sk-SK"/>
            </w:rPr>
          </w:pPr>
          <w:r>
            <w:rPr>
              <w:rFonts w:hint="default"/>
              <w:color w:val="000000"/>
              <w:szCs w:val="22"/>
              <w:lang w:val="sk-SK"/>
            </w:rPr>
            <w:t>4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>
          <w:pPr>
            <w:rPr>
              <w:rFonts w:hint="default"/>
              <w:color w:val="000000"/>
              <w:szCs w:val="22"/>
              <w:lang w:val="sk-SK"/>
            </w:rPr>
          </w:pPr>
          <w:r>
            <w:rPr>
              <w:rFonts w:hint="default"/>
              <w:color w:val="000000"/>
              <w:szCs w:val="22"/>
              <w:lang w:val="sk-SK"/>
            </w:rPr>
            <w:t>8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>
          <w:pPr>
            <w:rPr>
              <w:rFonts w:hint="default"/>
              <w:color w:val="000000"/>
              <w:szCs w:val="22"/>
              <w:lang w:val="sk-SK"/>
            </w:rPr>
          </w:pPr>
          <w:r>
            <w:rPr>
              <w:rFonts w:hint="default"/>
              <w:color w:val="000000"/>
              <w:szCs w:val="22"/>
              <w:lang w:val="sk-SK"/>
            </w:rPr>
            <w:t>2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>
          <w:pPr>
            <w:rPr>
              <w:rFonts w:hint="default"/>
              <w:color w:val="000000"/>
              <w:szCs w:val="22"/>
              <w:lang w:val="sk-SK"/>
            </w:rPr>
          </w:pPr>
          <w:r>
            <w:rPr>
              <w:rFonts w:hint="default"/>
              <w:color w:val="000000"/>
              <w:szCs w:val="22"/>
              <w:lang w:val="sk-SK"/>
            </w:rPr>
            <w:t>5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>
          <w:pPr>
            <w:rPr>
              <w:rFonts w:hint="default"/>
              <w:color w:val="000000"/>
              <w:szCs w:val="22"/>
              <w:lang w:val="sk-SK"/>
            </w:rPr>
          </w:pPr>
          <w:r>
            <w:rPr>
              <w:rFonts w:hint="default"/>
              <w:color w:val="000000"/>
              <w:szCs w:val="22"/>
              <w:lang w:val="sk-SK"/>
            </w:rPr>
            <w:t>9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>
          <w:pPr>
            <w:rPr>
              <w:rFonts w:hint="default"/>
              <w:color w:val="000000"/>
              <w:szCs w:val="22"/>
              <w:lang w:val="sk-SK"/>
            </w:rPr>
          </w:pPr>
          <w:r>
            <w:rPr>
              <w:rFonts w:hint="default"/>
              <w:color w:val="000000"/>
              <w:szCs w:val="22"/>
              <w:lang w:val="sk-SK"/>
            </w:rPr>
            <w:t>9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>
          <w:pPr>
            <w:rPr>
              <w:rFonts w:hint="default"/>
              <w:color w:val="000000"/>
              <w:szCs w:val="22"/>
              <w:lang w:val="sk-SK"/>
            </w:rPr>
          </w:pPr>
          <w:r>
            <w:rPr>
              <w:rFonts w:hint="default"/>
              <w:color w:val="000000"/>
              <w:szCs w:val="22"/>
              <w:lang w:val="sk-SK"/>
            </w:rPr>
            <w:t>2</w:t>
          </w:r>
        </w:p>
      </w:tc>
      <w:tc>
        <w:tcPr>
          <w:tcW w:w="346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vAlign w:val="bottom"/>
        </w:tcPr>
        <w:p>
          <w:pPr>
            <w:rPr>
              <w:rFonts w:hint="default"/>
              <w:color w:val="000000"/>
              <w:szCs w:val="22"/>
              <w:lang w:val="sk-SK"/>
            </w:rPr>
          </w:pPr>
          <w:r>
            <w:rPr>
              <w:rFonts w:hint="default"/>
              <w:color w:val="000000"/>
              <w:szCs w:val="22"/>
              <w:lang w:val="sk-SK"/>
            </w:rPr>
            <w:t>6</w:t>
          </w:r>
        </w:p>
      </w:tc>
      <w:tc>
        <w:tcPr>
          <w:tcW w:w="681" w:type="dxa"/>
          <w:tcBorders>
            <w:top w:val="nil"/>
            <w:left w:val="single" w:color="auto" w:sz="4" w:space="0"/>
            <w:bottom w:val="nil"/>
            <w:right w:val="nil"/>
          </w:tcBorders>
          <w:noWrap/>
          <w:vAlign w:val="bottom"/>
        </w:tcPr>
        <w:p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rFonts w:hint="default"/>
              <w:szCs w:val="22"/>
              <w:lang w:val="sk-SK"/>
            </w:rPr>
          </w:pPr>
          <w:r>
            <w:rPr>
              <w:rFonts w:hint="default"/>
              <w:szCs w:val="22"/>
              <w:lang w:val="sk-SK"/>
            </w:rPr>
            <w:t>1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rFonts w:hint="default"/>
              <w:szCs w:val="22"/>
              <w:lang w:val="sk-SK"/>
            </w:rPr>
          </w:pPr>
          <w:r>
            <w:rPr>
              <w:rFonts w:hint="default"/>
              <w:szCs w:val="22"/>
              <w:lang w:val="sk-SK"/>
            </w:rPr>
            <w:t>1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rFonts w:hint="default"/>
              <w:szCs w:val="22"/>
              <w:lang w:val="sk-SK"/>
            </w:rPr>
          </w:pPr>
          <w:r>
            <w:rPr>
              <w:rFonts w:hint="default"/>
              <w:szCs w:val="22"/>
              <w:lang w:val="sk-SK"/>
            </w:rPr>
            <w:t>6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rFonts w:hint="default"/>
              <w:szCs w:val="22"/>
              <w:lang w:val="sk-SK"/>
            </w:rPr>
          </w:pPr>
          <w:r>
            <w:rPr>
              <w:rFonts w:hint="default"/>
              <w:szCs w:val="22"/>
              <w:lang w:val="sk-SK"/>
            </w:rPr>
            <w:t>2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rFonts w:hint="default"/>
              <w:szCs w:val="22"/>
              <w:lang w:val="sk-SK"/>
            </w:rPr>
          </w:pPr>
          <w:r>
            <w:rPr>
              <w:rFonts w:hint="default"/>
              <w:szCs w:val="22"/>
              <w:lang w:val="sk-SK"/>
            </w:rPr>
            <w:t>6</w:t>
          </w:r>
        </w:p>
      </w:tc>
      <w:tc>
        <w:tcPr>
          <w:tcW w:w="344" w:type="dxa"/>
          <w:tcBorders>
            <w:top w:val="single" w:color="auto" w:sz="4" w:space="0"/>
            <w:left w:val="nil"/>
            <w:bottom w:val="single" w:color="auto" w:sz="4" w:space="0"/>
            <w:right w:val="single" w:color="auto" w:sz="4" w:space="0"/>
          </w:tcBorders>
          <w:noWrap/>
          <w:vAlign w:val="center"/>
        </w:tcPr>
        <w:p>
          <w:pPr>
            <w:jc w:val="center"/>
            <w:rPr>
              <w:rFonts w:hint="default"/>
              <w:szCs w:val="22"/>
              <w:lang w:val="sk-SK"/>
            </w:rPr>
          </w:pPr>
          <w:r>
            <w:rPr>
              <w:rFonts w:hint="default"/>
              <w:szCs w:val="22"/>
              <w:lang w:val="sk-SK"/>
            </w:rPr>
            <w:t>2</w:t>
          </w:r>
        </w:p>
      </w:tc>
    </w:tr>
  </w:tbl>
  <w:p>
    <w:pPr>
      <w:pStyle w:val="1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C959BA"/>
    <w:multiLevelType w:val="multilevel"/>
    <w:tmpl w:val="24C959BA"/>
    <w:lvl w:ilvl="0" w:tentative="0">
      <w:start w:val="1"/>
      <w:numFmt w:val="decimal"/>
      <w:lvlText w:val="(%1)"/>
      <w:lvlJc w:val="left"/>
      <w:pPr>
        <w:ind w:left="1481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2201" w:hanging="360"/>
      </w:pPr>
    </w:lvl>
    <w:lvl w:ilvl="2" w:tentative="0">
      <w:start w:val="1"/>
      <w:numFmt w:val="lowerRoman"/>
      <w:lvlText w:val="%3."/>
      <w:lvlJc w:val="right"/>
      <w:pPr>
        <w:ind w:left="2921" w:hanging="180"/>
      </w:pPr>
    </w:lvl>
    <w:lvl w:ilvl="3" w:tentative="0">
      <w:start w:val="1"/>
      <w:numFmt w:val="decimal"/>
      <w:lvlText w:val="%4."/>
      <w:lvlJc w:val="left"/>
      <w:pPr>
        <w:ind w:left="3641" w:hanging="360"/>
      </w:pPr>
    </w:lvl>
    <w:lvl w:ilvl="4" w:tentative="0">
      <w:start w:val="1"/>
      <w:numFmt w:val="lowerLetter"/>
      <w:lvlText w:val="%5."/>
      <w:lvlJc w:val="left"/>
      <w:pPr>
        <w:ind w:left="4361" w:hanging="360"/>
      </w:pPr>
    </w:lvl>
    <w:lvl w:ilvl="5" w:tentative="0">
      <w:start w:val="1"/>
      <w:numFmt w:val="lowerRoman"/>
      <w:lvlText w:val="%6."/>
      <w:lvlJc w:val="right"/>
      <w:pPr>
        <w:ind w:left="5081" w:hanging="180"/>
      </w:pPr>
    </w:lvl>
    <w:lvl w:ilvl="6" w:tentative="0">
      <w:start w:val="1"/>
      <w:numFmt w:val="decimal"/>
      <w:lvlText w:val="%7."/>
      <w:lvlJc w:val="left"/>
      <w:pPr>
        <w:ind w:left="5801" w:hanging="360"/>
      </w:pPr>
    </w:lvl>
    <w:lvl w:ilvl="7" w:tentative="0">
      <w:start w:val="1"/>
      <w:numFmt w:val="lowerLetter"/>
      <w:lvlText w:val="%8."/>
      <w:lvlJc w:val="left"/>
      <w:pPr>
        <w:ind w:left="6521" w:hanging="360"/>
      </w:pPr>
    </w:lvl>
    <w:lvl w:ilvl="8" w:tentative="0">
      <w:start w:val="1"/>
      <w:numFmt w:val="lowerRoman"/>
      <w:lvlText w:val="%9."/>
      <w:lvlJc w:val="right"/>
      <w:pPr>
        <w:ind w:left="7241" w:hanging="180"/>
      </w:pPr>
    </w:lvl>
  </w:abstractNum>
  <w:abstractNum w:abstractNumId="1">
    <w:nsid w:val="2BA80257"/>
    <w:multiLevelType w:val="multilevel"/>
    <w:tmpl w:val="2BA80257"/>
    <w:lvl w:ilvl="0" w:tentative="0">
      <w:start w:val="1"/>
      <w:numFmt w:val="decimal"/>
      <w:lvlText w:val="(%1)"/>
      <w:lvlJc w:val="left"/>
      <w:pPr>
        <w:ind w:left="3479" w:hanging="360"/>
      </w:pPr>
      <w:rPr>
        <w:rFonts w:hint="default" w:ascii="Times New Roman" w:hAnsi="Times New Roman" w:cs="Times New Roman"/>
        <w:b w:val="0"/>
        <w:i w:val="0"/>
        <w:sz w:val="20"/>
        <w:szCs w:val="24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487002"/>
    <w:multiLevelType w:val="multilevel"/>
    <w:tmpl w:val="67487002"/>
    <w:lvl w:ilvl="0" w:tentative="0">
      <w:start w:val="1"/>
      <w:numFmt w:val="decimal"/>
      <w:pStyle w:val="2"/>
      <w:lvlText w:val="§ %1"/>
      <w:lvlJc w:val="center"/>
      <w:pPr>
        <w:tabs>
          <w:tab w:val="left" w:pos="4613"/>
        </w:tabs>
        <w:ind w:left="3893" w:firstLine="360"/>
      </w:pPr>
      <w:rPr>
        <w:rFonts w:hint="default" w:ascii="Times New Roman" w:hAnsi="Times New Roman" w:cs="Times New Roman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shd w:val="clear" w:color="000000" w:fill="000000"/>
        <w:vertAlign w:val="baseline"/>
        <w:lang w:val="zh-CN" w:eastAsia="zh-CN" w:bidi="zh-CN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 w14:prst="orthographicFront"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  <w14:cntxtalts w14:val="0"/>
      </w:rPr>
    </w:lvl>
    <w:lvl w:ilvl="1" w:tentative="0">
      <w:start w:val="1"/>
      <w:numFmt w:val="lowerLetter"/>
      <w:lvlText w:val="%2."/>
      <w:lvlJc w:val="left"/>
      <w:pPr>
        <w:tabs>
          <w:tab w:val="left" w:pos="833"/>
        </w:tabs>
        <w:ind w:left="833" w:hanging="360"/>
      </w:pPr>
    </w:lvl>
    <w:lvl w:ilvl="2" w:tentative="0">
      <w:start w:val="1"/>
      <w:numFmt w:val="lowerRoman"/>
      <w:lvlText w:val="%3."/>
      <w:lvlJc w:val="right"/>
      <w:pPr>
        <w:tabs>
          <w:tab w:val="left" w:pos="1553"/>
        </w:tabs>
        <w:ind w:left="1553" w:hanging="180"/>
      </w:pPr>
    </w:lvl>
    <w:lvl w:ilvl="3" w:tentative="0">
      <w:start w:val="1"/>
      <w:numFmt w:val="decimal"/>
      <w:lvlText w:val="%4."/>
      <w:lvlJc w:val="left"/>
      <w:pPr>
        <w:tabs>
          <w:tab w:val="left" w:pos="2273"/>
        </w:tabs>
        <w:ind w:left="2273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2993"/>
        </w:tabs>
        <w:ind w:left="2993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3713"/>
        </w:tabs>
        <w:ind w:left="3713" w:hanging="180"/>
      </w:pPr>
    </w:lvl>
    <w:lvl w:ilvl="6" w:tentative="0">
      <w:start w:val="1"/>
      <w:numFmt w:val="decimal"/>
      <w:lvlText w:val="(%7)"/>
      <w:lvlJc w:val="left"/>
      <w:pPr>
        <w:tabs>
          <w:tab w:val="left" w:pos="4463"/>
        </w:tabs>
        <w:ind w:left="4463" w:hanging="390"/>
      </w:pPr>
      <w:rPr>
        <w:rFonts w:hint="default"/>
      </w:rPr>
    </w:lvl>
    <w:lvl w:ilvl="7" w:tentative="0">
      <w:start w:val="1"/>
      <w:numFmt w:val="lowerLetter"/>
      <w:lvlText w:val="%8."/>
      <w:lvlJc w:val="left"/>
      <w:pPr>
        <w:tabs>
          <w:tab w:val="left" w:pos="5153"/>
        </w:tabs>
        <w:ind w:left="5153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5873"/>
        </w:tabs>
        <w:ind w:left="5873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09"/>
  <w:hyphenationZone w:val="425"/>
  <w:noPunctuationKerning w:val="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0DF0"/>
    <w:rsid w:val="0002184E"/>
    <w:rsid w:val="00033903"/>
    <w:rsid w:val="000363E9"/>
    <w:rsid w:val="00040568"/>
    <w:rsid w:val="00052349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424"/>
    <w:rsid w:val="000A5B44"/>
    <w:rsid w:val="000C089A"/>
    <w:rsid w:val="000C35F8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367F3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4007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58C0"/>
    <w:rsid w:val="00406BE9"/>
    <w:rsid w:val="00410F85"/>
    <w:rsid w:val="00416946"/>
    <w:rsid w:val="004204DE"/>
    <w:rsid w:val="00436BD4"/>
    <w:rsid w:val="00442928"/>
    <w:rsid w:val="00455D8A"/>
    <w:rsid w:val="004561B1"/>
    <w:rsid w:val="004645A4"/>
    <w:rsid w:val="00467072"/>
    <w:rsid w:val="004678D9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56B0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C2A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07E1"/>
    <w:rsid w:val="009938E9"/>
    <w:rsid w:val="0099494F"/>
    <w:rsid w:val="009A0C7A"/>
    <w:rsid w:val="009B0528"/>
    <w:rsid w:val="009B5199"/>
    <w:rsid w:val="009D2214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7C0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544C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5095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A9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2F1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3A6"/>
    <w:rsid w:val="00E474DA"/>
    <w:rsid w:val="00E56CB9"/>
    <w:rsid w:val="00E6578B"/>
    <w:rsid w:val="00E7437E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3BEA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056A"/>
    <w:rsid w:val="00F8192A"/>
    <w:rsid w:val="00F907BC"/>
    <w:rsid w:val="00F9390B"/>
    <w:rsid w:val="00FA1CA1"/>
    <w:rsid w:val="00FC09CE"/>
    <w:rsid w:val="00FD0B26"/>
    <w:rsid w:val="00FD5678"/>
    <w:rsid w:val="00FE5C71"/>
    <w:rsid w:val="00FE678A"/>
    <w:rsid w:val="11507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nhideWhenUsed="0" w:uiPriority="0" w:name="footnote reference"/>
    <w:lsdException w:uiPriority="99" w:name="annotation reference"/>
    <w:lsdException w:uiPriority="99" w:name="line number"/>
    <w:lsdException w:unhideWhenUsed="0" w:uiPriority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nhideWhenUsed="0" w:uiPriority="0" w:name="Default Paragraph Font"/>
    <w:lsdException w:unhideWhenUsed="0" w:uiPriority="0" w:name="Body Text"/>
    <w:lsdException w:unhideWhenUsed="0" w:uiPriority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nhideWhenUsed="0" w:uiPriority="0" w:name="Body Text 2"/>
    <w:lsdException w:qFormat="1" w:unhideWhenUsed="0" w:uiPriority="0" w:name="Body Text 3"/>
    <w:lsdException w:qFormat="1" w:unhideWhenUsed="0" w:uiPriority="0" w:name="Body Text Indent 2"/>
    <w:lsdException w:unhideWhenUsed="0" w:uiPriority="0" w:name="Body Text Indent 3"/>
    <w:lsdException w:qFormat="1" w:unhideWhenUsed="0" w:uiPriority="0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="Times New Roman"/>
      <w:sz w:val="24"/>
      <w:szCs w:val="24"/>
      <w:lang w:val="sk-SK" w:eastAsia="sk-SK" w:bidi="ar-SA"/>
    </w:rPr>
  </w:style>
  <w:style w:type="paragraph" w:styleId="2">
    <w:name w:val="heading 1"/>
    <w:next w:val="3"/>
    <w:qFormat/>
    <w:uiPriority w:val="0"/>
    <w:pPr>
      <w:keepNext/>
      <w:numPr>
        <w:ilvl w:val="0"/>
        <w:numId w:val="1"/>
      </w:numPr>
      <w:spacing w:before="240" w:after="60"/>
      <w:jc w:val="center"/>
      <w:outlineLvl w:val="0"/>
    </w:pPr>
    <w:rPr>
      <w:rFonts w:ascii="Times New Roman" w:hAnsi="Times New Roman" w:eastAsia="Times New Roman" w:cs="Arial"/>
      <w:b/>
      <w:bCs/>
      <w:kern w:val="32"/>
      <w:sz w:val="24"/>
      <w:szCs w:val="32"/>
      <w:lang w:val="sk-SK" w:eastAsia="sk-SK" w:bidi="ar-SA"/>
    </w:rPr>
  </w:style>
  <w:style w:type="paragraph" w:styleId="3">
    <w:name w:val="heading 2"/>
    <w:basedOn w:val="1"/>
    <w:next w:val="1"/>
    <w:qFormat/>
    <w:uiPriority w:val="0"/>
    <w:pPr>
      <w:keepNext/>
      <w:spacing w:after="120"/>
      <w:jc w:val="center"/>
      <w:outlineLvl w:val="1"/>
    </w:pPr>
    <w:rPr>
      <w:b/>
    </w:rPr>
  </w:style>
  <w:style w:type="paragraph" w:styleId="4">
    <w:name w:val="heading 3"/>
    <w:basedOn w:val="1"/>
    <w:next w:val="1"/>
    <w:qFormat/>
    <w:uiPriority w:val="0"/>
    <w:pPr>
      <w:keepNext/>
      <w:jc w:val="both"/>
      <w:outlineLvl w:val="2"/>
    </w:pPr>
    <w:rPr>
      <w:b/>
      <w:u w:val="single"/>
    </w:rPr>
  </w:style>
  <w:style w:type="paragraph" w:styleId="5">
    <w:name w:val="heading 4"/>
    <w:basedOn w:val="1"/>
    <w:next w:val="1"/>
    <w:qFormat/>
    <w:uiPriority w:val="0"/>
    <w:pPr>
      <w:keepNext/>
      <w:keepLines/>
      <w:ind w:firstLine="357"/>
      <w:jc w:val="both"/>
      <w:outlineLvl w:val="3"/>
    </w:pPr>
    <w:rPr>
      <w:b/>
    </w:rPr>
  </w:style>
  <w:style w:type="paragraph" w:styleId="6">
    <w:name w:val="heading 5"/>
    <w:basedOn w:val="1"/>
    <w:next w:val="1"/>
    <w:qFormat/>
    <w:uiPriority w:val="0"/>
    <w:pPr>
      <w:keepNext/>
      <w:keepLines/>
      <w:ind w:firstLine="360"/>
      <w:jc w:val="both"/>
      <w:outlineLvl w:val="4"/>
    </w:pPr>
    <w:rPr>
      <w:b/>
    </w:rPr>
  </w:style>
  <w:style w:type="paragraph" w:styleId="7">
    <w:name w:val="heading 6"/>
    <w:basedOn w:val="1"/>
    <w:next w:val="1"/>
    <w:qFormat/>
    <w:uiPriority w:val="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19">
    <w:name w:val="Default Paragraph Font"/>
    <w:semiHidden/>
    <w:uiPriority w:val="0"/>
  </w:style>
  <w:style w:type="table" w:default="1" w:styleId="2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Balloon Text"/>
    <w:basedOn w:val="1"/>
    <w:link w:val="31"/>
    <w:semiHidden/>
    <w:unhideWhenUsed/>
    <w:uiPriority w:val="99"/>
    <w:rPr>
      <w:rFonts w:ascii="Tahoma" w:hAnsi="Tahoma"/>
      <w:sz w:val="16"/>
      <w:szCs w:val="16"/>
      <w:lang w:val="zh-CN" w:eastAsia="zh-CN"/>
    </w:rPr>
  </w:style>
  <w:style w:type="paragraph" w:styleId="9">
    <w:name w:val="Block Text"/>
    <w:basedOn w:val="1"/>
    <w:semiHidden/>
    <w:qFormat/>
    <w:uiPriority w:val="0"/>
    <w:pPr>
      <w:ind w:left="1680" w:right="-468" w:hanging="240"/>
    </w:pPr>
  </w:style>
  <w:style w:type="paragraph" w:styleId="10">
    <w:name w:val="Body Text"/>
    <w:basedOn w:val="1"/>
    <w:semiHidden/>
    <w:uiPriority w:val="0"/>
    <w:rPr>
      <w:rFonts w:ascii="Arial" w:hAnsi="Arial" w:cs="Arial"/>
      <w:sz w:val="20"/>
      <w:szCs w:val="18"/>
      <w:lang w:val="en-GB"/>
    </w:rPr>
  </w:style>
  <w:style w:type="paragraph" w:styleId="11">
    <w:name w:val="Body Text 2"/>
    <w:basedOn w:val="1"/>
    <w:semiHidden/>
    <w:qFormat/>
    <w:uiPriority w:val="0"/>
    <w:pPr>
      <w:jc w:val="both"/>
    </w:pPr>
  </w:style>
  <w:style w:type="paragraph" w:styleId="12">
    <w:name w:val="Body Text 3"/>
    <w:basedOn w:val="1"/>
    <w:semiHidden/>
    <w:qFormat/>
    <w:uiPriority w:val="0"/>
    <w:pPr>
      <w:ind w:right="-468"/>
      <w:jc w:val="both"/>
    </w:pPr>
    <w:rPr>
      <w:b/>
      <w:bCs/>
    </w:rPr>
  </w:style>
  <w:style w:type="paragraph" w:styleId="13">
    <w:name w:val="Body Text Indent"/>
    <w:basedOn w:val="1"/>
    <w:semiHidden/>
    <w:uiPriority w:val="0"/>
    <w:pPr>
      <w:ind w:firstLine="360"/>
      <w:jc w:val="both"/>
    </w:pPr>
  </w:style>
  <w:style w:type="paragraph" w:styleId="14">
    <w:name w:val="Body Text Indent 2"/>
    <w:basedOn w:val="1"/>
    <w:semiHidden/>
    <w:qFormat/>
    <w:uiPriority w:val="0"/>
    <w:pPr>
      <w:ind w:firstLine="360"/>
    </w:pPr>
  </w:style>
  <w:style w:type="paragraph" w:styleId="15">
    <w:name w:val="Body Text Indent 3"/>
    <w:basedOn w:val="1"/>
    <w:semiHidden/>
    <w:uiPriority w:val="0"/>
    <w:pPr>
      <w:ind w:right="-468" w:firstLine="720"/>
      <w:jc w:val="both"/>
    </w:pPr>
    <w:rPr>
      <w:bCs/>
    </w:rPr>
  </w:style>
  <w:style w:type="paragraph" w:styleId="16">
    <w:name w:val="footer"/>
    <w:basedOn w:val="1"/>
    <w:link w:val="25"/>
    <w:qFormat/>
    <w:uiPriority w:val="99"/>
    <w:pPr>
      <w:tabs>
        <w:tab w:val="center" w:pos="4536"/>
        <w:tab w:val="right" w:pos="9072"/>
      </w:tabs>
      <w:jc w:val="right"/>
    </w:pPr>
    <w:rPr>
      <w:lang w:val="zh-CN" w:eastAsia="zh-CN"/>
    </w:rPr>
  </w:style>
  <w:style w:type="paragraph" w:styleId="17">
    <w:name w:val="footnote text"/>
    <w:basedOn w:val="1"/>
    <w:semiHidden/>
    <w:qFormat/>
    <w:uiPriority w:val="0"/>
    <w:rPr>
      <w:sz w:val="20"/>
      <w:szCs w:val="20"/>
    </w:rPr>
  </w:style>
  <w:style w:type="paragraph" w:styleId="18">
    <w:name w:val="header"/>
    <w:basedOn w:val="1"/>
    <w:link w:val="30"/>
    <w:qFormat/>
    <w:uiPriority w:val="99"/>
    <w:pPr>
      <w:tabs>
        <w:tab w:val="center" w:pos="4703"/>
        <w:tab w:val="right" w:pos="9406"/>
      </w:tabs>
    </w:pPr>
    <w:rPr>
      <w:lang w:val="zh-CN" w:eastAsia="zh-CN"/>
    </w:rPr>
  </w:style>
  <w:style w:type="character" w:styleId="20">
    <w:name w:val="footnote reference"/>
    <w:semiHidden/>
    <w:uiPriority w:val="0"/>
    <w:rPr>
      <w:vertAlign w:val="superscript"/>
    </w:rPr>
  </w:style>
  <w:style w:type="character" w:styleId="21">
    <w:name w:val="page number"/>
    <w:basedOn w:val="19"/>
    <w:semiHidden/>
    <w:uiPriority w:val="0"/>
  </w:style>
  <w:style w:type="table" w:styleId="23">
    <w:name w:val="Table Grid"/>
    <w:basedOn w:val="22"/>
    <w:uiPriority w:val="9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customStyle="1" w:styleId="24">
    <w:name w:val="Základní text"/>
    <w:qFormat/>
    <w:uiPriority w:val="0"/>
    <w:pPr>
      <w:spacing w:after="240"/>
      <w:jc w:val="both"/>
    </w:pPr>
    <w:rPr>
      <w:rFonts w:ascii="Times New Roman" w:hAnsi="Times New Roman" w:eastAsia="Times New Roman" w:cs="Times New Roman"/>
      <w:snapToGrid w:val="0"/>
      <w:color w:val="000000"/>
      <w:sz w:val="24"/>
      <w:lang w:val="sk-SK" w:eastAsia="sk-SK" w:bidi="ar-SA"/>
    </w:rPr>
  </w:style>
  <w:style w:type="character" w:customStyle="1" w:styleId="25">
    <w:name w:val="Päta Char"/>
    <w:link w:val="16"/>
    <w:uiPriority w:val="99"/>
    <w:rPr>
      <w:sz w:val="24"/>
      <w:szCs w:val="24"/>
      <w:lang w:eastAsia="zh-CN"/>
    </w:rPr>
  </w:style>
  <w:style w:type="paragraph" w:styleId="26">
    <w:name w:val="List Paragraph"/>
    <w:basedOn w:val="1"/>
    <w:link w:val="36"/>
    <w:qFormat/>
    <w:uiPriority w:val="34"/>
    <w:pPr>
      <w:ind w:left="708"/>
    </w:pPr>
    <w:rPr>
      <w:lang w:val="zh-CN" w:eastAsia="zh-CN"/>
    </w:rPr>
  </w:style>
  <w:style w:type="paragraph" w:customStyle="1" w:styleId="27">
    <w:name w:val="Text koncovej poznámky"/>
    <w:basedOn w:val="1"/>
    <w:link w:val="28"/>
    <w:semiHidden/>
    <w:unhideWhenUsed/>
    <w:uiPriority w:val="99"/>
    <w:rPr>
      <w:sz w:val="20"/>
      <w:szCs w:val="20"/>
    </w:rPr>
  </w:style>
  <w:style w:type="character" w:customStyle="1" w:styleId="28">
    <w:name w:val="Text koncovej poznámky Char"/>
    <w:basedOn w:val="19"/>
    <w:link w:val="27"/>
    <w:semiHidden/>
    <w:qFormat/>
    <w:uiPriority w:val="99"/>
  </w:style>
  <w:style w:type="character" w:customStyle="1" w:styleId="29">
    <w:name w:val="Odkaz na koncovú poznámku"/>
    <w:semiHidden/>
    <w:unhideWhenUsed/>
    <w:qFormat/>
    <w:uiPriority w:val="99"/>
    <w:rPr>
      <w:vertAlign w:val="superscript"/>
    </w:rPr>
  </w:style>
  <w:style w:type="character" w:customStyle="1" w:styleId="30">
    <w:name w:val="Hlavička Char"/>
    <w:link w:val="18"/>
    <w:qFormat/>
    <w:uiPriority w:val="99"/>
    <w:rPr>
      <w:sz w:val="24"/>
      <w:szCs w:val="24"/>
    </w:rPr>
  </w:style>
  <w:style w:type="character" w:customStyle="1" w:styleId="31">
    <w:name w:val="Text bubliny Char"/>
    <w:link w:val="8"/>
    <w:semiHidden/>
    <w:qFormat/>
    <w:uiPriority w:val="99"/>
    <w:rPr>
      <w:rFonts w:ascii="Tahoma" w:hAnsi="Tahoma" w:cs="Tahoma"/>
      <w:sz w:val="16"/>
      <w:szCs w:val="16"/>
    </w:rPr>
  </w:style>
  <w:style w:type="paragraph" w:customStyle="1" w:styleId="32">
    <w:name w:val="Štýl1"/>
    <w:basedOn w:val="16"/>
    <w:link w:val="34"/>
    <w:qFormat/>
    <w:uiPriority w:val="0"/>
  </w:style>
  <w:style w:type="character" w:customStyle="1" w:styleId="33">
    <w:name w:val="tl"/>
    <w:basedOn w:val="19"/>
    <w:qFormat/>
    <w:uiPriority w:val="0"/>
  </w:style>
  <w:style w:type="character" w:customStyle="1" w:styleId="34">
    <w:name w:val="Štýl1 Char"/>
    <w:basedOn w:val="25"/>
    <w:link w:val="32"/>
    <w:qFormat/>
    <w:uiPriority w:val="0"/>
    <w:rPr>
      <w:sz w:val="24"/>
      <w:szCs w:val="24"/>
      <w:lang w:eastAsia="zh-CN"/>
    </w:rPr>
  </w:style>
  <w:style w:type="character" w:customStyle="1" w:styleId="35">
    <w:name w:val="ra"/>
    <w:basedOn w:val="19"/>
    <w:qFormat/>
    <w:uiPriority w:val="0"/>
  </w:style>
  <w:style w:type="character" w:customStyle="1" w:styleId="36">
    <w:name w:val="Odsek zoznamu Char"/>
    <w:link w:val="26"/>
    <w:qFormat/>
    <w:locked/>
    <w:uiPriority w:val="34"/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8831F050-B4E8-4057-A687-4EDCDC76545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296</Words>
  <Characters>1690</Characters>
  <Lines>14</Lines>
  <Paragraphs>3</Paragraphs>
  <TotalTime>9</TotalTime>
  <ScaleCrop>false</ScaleCrop>
  <LinksUpToDate>false</LinksUpToDate>
  <CharactersWithSpaces>1983</CharactersWithSpaces>
  <Application>WPS Office_11.2.0.9669_F1E327BC-269C-435d-A152-05C5408002CA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2021-03-11T17:15:00Z</dcterms:created>
  <dc:creator>Hanka</dc:creator>
  <cp:lastModifiedBy>mpodm</cp:lastModifiedBy>
  <cp:lastPrinted>2017-03-20T10:28:00Z</cp:lastPrinted>
  <dcterms:modified xsi:type="dcterms:W3CDTF">2021-06-29T20:06:01Z</dcterms:modified>
  <dc:title>Opatrenie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1033-11.2.0.9669</vt:lpwstr>
  </property>
</Properties>
</file>