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/>
      </w:pPr>
      <w:r>
        <w:rPr>
          <w:b/>
          <w:bCs/>
          <w:sz w:val="24"/>
        </w:rPr>
        <w:t>ČL. I  VŠEOBECNÉ ÚDAJE</w:t>
      </w:r>
    </w:p>
    <w:p>
      <w:pPr>
        <w:pStyle w:val="Default"/>
        <w:bidi w:val="0"/>
        <w:ind w:left="0" w:right="0" w:hanging="0"/>
        <w:rPr/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>
        <w:rPr>
          <w:rFonts w:ascii="Arial Narrow" w:hAnsi="Arial Narrow"/>
          <w:sz w:val="22"/>
          <w:szCs w:val="22"/>
        </w:rPr>
        <w:t>.</w:t>
      </w:r>
    </w:p>
    <w:p>
      <w:pPr>
        <w:pStyle w:val="Normalpodnadpis"/>
        <w:tabs>
          <w:tab w:val="clear" w:pos="708"/>
          <w:tab w:val="left" w:pos="0" w:leader="none"/>
        </w:tabs>
        <w:bidi w:val="0"/>
        <w:spacing w:before="0" w:after="0"/>
        <w:ind w:left="0" w:right="0" w:hanging="0"/>
        <w:jc w:val="left"/>
        <w:rPr>
          <w:rFonts w:cs="Arial Narrow"/>
          <w:sz w:val="18"/>
          <w:szCs w:val="18"/>
          <w:lang w:eastAsia="sk-SK"/>
        </w:rPr>
      </w:pPr>
      <w:r>
        <w:rPr>
          <w:rFonts w:cs="Arial Narrow"/>
          <w:sz w:val="18"/>
          <w:szCs w:val="18"/>
          <w:lang w:eastAsia="sk-SK"/>
        </w:rPr>
      </w:r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>ASK Reality Galanta,s. r. o.</w:t>
      </w:r>
      <w:bookmarkStart w:id="1" w:name="ONAME_END"/>
      <w:bookmarkEnd w:id="1"/>
    </w:p>
    <w:p>
      <w:pPr>
        <w:pStyle w:val="Normalpodnadpis"/>
        <w:bidi w:val="0"/>
        <w:spacing w:before="0" w:after="0"/>
        <w:ind w:left="284" w:right="0" w:hanging="0"/>
        <w:jc w:val="left"/>
        <w:rPr/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Hlavná 20, 92700 Šaľa</w:t>
      </w:r>
      <w:bookmarkStart w:id="3" w:name="ADRESA_END"/>
      <w:bookmarkEnd w:id="3"/>
    </w:p>
    <w:p>
      <w:pPr>
        <w:pStyle w:val="Normalpodnadpis"/>
        <w:bidi w:val="0"/>
        <w:spacing w:before="0" w:after="0"/>
        <w:ind w:left="284" w:right="0" w:hanging="0"/>
        <w:jc w:val="left"/>
        <w:rPr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52106578</w:t>
      </w:r>
      <w:bookmarkStart w:id="5" w:name="ICOSID_END"/>
      <w:bookmarkEnd w:id="5"/>
    </w:p>
    <w:p>
      <w:pPr>
        <w:pStyle w:val="Normalpodnadpis1"/>
        <w:bidi w:val="0"/>
        <w:spacing w:before="0" w:after="0"/>
        <w:ind w:left="284" w:right="0" w:hanging="0"/>
        <w:jc w:val="left"/>
        <w:rPr/>
      </w:pPr>
      <w:r>
        <w:rPr>
          <w:rFonts w:eastAsia="Arial Narrow"/>
          <w:sz w:val="22"/>
        </w:rPr>
        <w:t>zapísaná do obchodného registra dňa:    21.12.2018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cs="Arial"/>
        </w:rPr>
      </w:pPr>
      <w:r>
        <w:rPr>
          <w:rFonts w:cs="Arial"/>
        </w:rPr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rFonts w:eastAsia="Arial Narrow"/>
          <w:sz w:val="22"/>
        </w:rPr>
        <w:t xml:space="preserve">Hlavné činnosti spoločnosti: 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/>
      </w:pPr>
      <w:r>
        <w:rPr>
          <w:rFonts w:eastAsia="Arial Narrow"/>
          <w:sz w:val="22"/>
        </w:rPr>
        <w:t>Sprostredkovanie predaja, prenájmu a kúpy nehnuteľností (realitná činnosť)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eastAsia="Arial Narrow"/>
          <w:sz w:val="22"/>
        </w:rPr>
      </w:pPr>
      <w:r>
        <w:rPr>
          <w:rFonts w:eastAsia="Arial Narrow"/>
          <w:sz w:val="22"/>
        </w:rPr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lang w:val="sk-SK"/>
        </w:rPr>
      </w:pPr>
      <w:r>
        <w:rPr>
          <w:rFonts w:eastAsia="Arial Narrow" w:cs="Arial Narrow" w:ascii="Arial Narrow" w:hAnsi="Arial Narrow"/>
          <w:i/>
          <w:sz w:val="22"/>
          <w:lang w:val="sk-SK" w:eastAsia="cs-CZ"/>
        </w:rPr>
        <w:t xml:space="preserve">(2) 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>daje o konsolidovanom celku: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Účtovná jednotka je súčasťou konsolidovaného celku Allrisk Slovakia.</w:t>
      </w:r>
    </w:p>
    <w:p>
      <w:pPr>
        <w:pStyle w:val="Normal"/>
        <w:keepNext w:val="true"/>
        <w:bidi w:val="0"/>
        <w:spacing w:lineRule="auto" w:line="360" w:before="240" w:after="6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Konsoliduj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ca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tovná jednotka, ktor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 zostavuje konsolidovan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ú</w:t>
      </w:r>
      <w:r>
        <w:rPr>
          <w:rFonts w:cs="Arial Narrow" w:ascii="Arial Narrow" w:hAnsi="Arial Narrow"/>
          <w:lang w:val="sk-SK" w:eastAsia="cs-CZ"/>
        </w:rPr>
        <w:t xml:space="preserve"> z</w:t>
      </w:r>
      <w:r>
        <w:rPr>
          <w:lang w:val="sk-SK" w:eastAsia="cs-CZ"/>
        </w:rPr>
        <w:t>á</w:t>
      </w:r>
      <w:r>
        <w:rPr>
          <w:rFonts w:cs="Arial Narrow" w:ascii="Arial Narrow" w:hAnsi="Arial Narrow"/>
          <w:lang w:val="sk-SK" w:eastAsia="cs-CZ"/>
        </w:rPr>
        <w:t xml:space="preserve">vierku skupinu </w:t>
      </w:r>
      <w:r>
        <w:rPr>
          <w:lang w:val="sk-SK" w:eastAsia="cs-CZ"/>
        </w:rPr>
        <w:t>úč</w:t>
      </w:r>
      <w:r>
        <w:rPr>
          <w:rFonts w:cs="Arial Narrow" w:ascii="Arial Narrow" w:hAnsi="Arial Narrow"/>
          <w:lang w:val="sk-SK" w:eastAsia="cs-CZ"/>
        </w:rPr>
        <w:t>tovn</w:t>
      </w:r>
      <w:r>
        <w:rPr>
          <w:lang w:val="sk-SK" w:eastAsia="cs-CZ"/>
        </w:rPr>
        <w:t>ý</w:t>
      </w:r>
      <w:r>
        <w:rPr>
          <w:rFonts w:cs="Arial Narrow" w:ascii="Arial Narrow" w:hAnsi="Arial Narrow"/>
          <w:lang w:val="sk-SK" w:eastAsia="cs-CZ"/>
        </w:rPr>
        <w:t>ch jednotiek konsolidovan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>ho celku Allrisk Slovakia: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Obchodn</w:t>
      </w:r>
      <w:r>
        <w:rPr>
          <w:lang w:val="sk-SK" w:eastAsia="cs-CZ"/>
        </w:rPr>
        <w:t>é</w:t>
      </w:r>
      <w:r>
        <w:rPr>
          <w:rFonts w:cs="Arial Narrow" w:ascii="Arial Narrow" w:hAnsi="Arial Narrow"/>
          <w:lang w:val="sk-SK" w:eastAsia="cs-CZ"/>
        </w:rPr>
        <w:t xml:space="preserve"> meno:</w:t>
        <w:tab/>
        <w:t>Allrisk Slovakia, s.r.o.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S</w:t>
      </w:r>
      <w:r>
        <w:rPr>
          <w:lang w:val="sk-SK" w:eastAsia="cs-CZ"/>
        </w:rPr>
        <w:t>í</w:t>
      </w:r>
      <w:r>
        <w:rPr>
          <w:rFonts w:cs="Arial Narrow" w:ascii="Arial Narrow" w:hAnsi="Arial Narrow"/>
          <w:lang w:val="sk-SK" w:eastAsia="cs-CZ"/>
        </w:rPr>
        <w:t>dlo:</w:t>
        <w:tab/>
        <w:tab/>
        <w:t>Prievozská 4B, 821 09  Bratislava – Ružinov</w:t>
      </w:r>
    </w:p>
    <w:p>
      <w:pPr>
        <w:pStyle w:val="Normal"/>
        <w:keepNext w:val="true"/>
        <w:bidi w:val="0"/>
        <w:spacing w:before="120" w:after="120"/>
        <w:ind w:left="426" w:right="0" w:hanging="0"/>
        <w:rPr>
          <w:lang w:val="sk-SK"/>
        </w:rPr>
      </w:pPr>
      <w:r>
        <w:rPr>
          <w:rFonts w:cs="Arial Narrow" w:ascii="Arial Narrow" w:hAnsi="Arial Narrow"/>
          <w:lang w:val="sk-SK" w:eastAsia="cs-CZ"/>
        </w:rPr>
        <w:t>IČO:</w:t>
        <w:tab/>
        <w:tab/>
        <w:t>35 947 501</w:t>
        <w:tab/>
        <w:tab/>
      </w:r>
    </w:p>
    <w:p>
      <w:pPr>
        <w:pStyle w:val="Normal"/>
        <w:tabs>
          <w:tab w:val="clear" w:pos="708"/>
          <w:tab w:val="left" w:pos="0" w:leader="none"/>
        </w:tabs>
        <w:bidi w:val="0"/>
        <w:spacing w:lineRule="auto" w:line="360"/>
        <w:ind w:left="0" w:right="0" w:hanging="0"/>
        <w:rPr>
          <w:rFonts w:eastAsia="Arial Narrow" w:cs="Lucida Sans"/>
          <w:b/>
          <w:b/>
          <w:i/>
          <w:i/>
          <w:sz w:val="22"/>
        </w:rPr>
      </w:pPr>
      <w:r>
        <w:rPr>
          <w:rFonts w:eastAsia="Arial Narrow" w:cs="Lucida Sans"/>
          <w:b/>
          <w:i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jc w:val="left"/>
        <w:rPr/>
      </w:pPr>
      <w:r>
        <w:rPr>
          <w:sz w:val="22"/>
        </w:rPr>
        <w:t>(3) Priemerný prepočítaný počet zamestnancov</w:t>
      </w:r>
    </w:p>
    <w:p>
      <w:pPr>
        <w:pStyle w:val="Normalpodnadpis1"/>
        <w:bidi w:val="0"/>
        <w:spacing w:lineRule="auto" w:line="360" w:before="0" w:after="120"/>
        <w:ind w:left="142" w:right="0" w:hanging="0"/>
        <w:jc w:val="left"/>
        <w:rPr/>
      </w:pPr>
      <w:r>
        <w:rPr>
          <w:b/>
          <w:sz w:val="22"/>
        </w:rPr>
        <w:t>Tabuľka k zamestnancom</w:t>
      </w:r>
    </w:p>
    <w:tbl>
      <w:tblPr>
        <w:tblW w:w="9923" w:type="dxa"/>
        <w:jc w:val="left"/>
        <w:tblInd w:w="-7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5"/>
        <w:gridCol w:w="2404"/>
        <w:gridCol w:w="2564"/>
      </w:tblGrid>
      <w:tr>
        <w:trPr>
          <w:trHeight w:val="558" w:hRule="atLeast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 účtovné obdobie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1440" w:leader="none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Stav zamestnancov ku dňu, ku ktorému sa zostavuje účtovná závierka, z toho: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/>
              <w:t>Počet vedúcich zamestnancov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  <w:tc>
          <w:tcPr>
            <w:tcW w:w="2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extopatrenia"/>
              <w:tabs>
                <w:tab w:val="left" w:pos="708" w:leader="none"/>
                <w:tab w:val="left" w:pos="1440" w:leader="none"/>
              </w:tabs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cs="Arial"/>
              </w:rPr>
              <w:t>0</w:t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  INFORMÁCIE O PRIJATÝCH POSTUPOCH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(1) Účtovná závierka je zostavená za splnenia predpokladu, že účtovná jednotka bude nepretržite pokračovať vo svojej činnosti. 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(2) Spôsob oceňovania jednotlivých položiek majetku a záväzkov, a to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a) dlhodobého nehmotného majetku, dlhodobého hmotného majetku a dlhodobého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b) zásob obstaraných kúpou, zásob vytvorených vlastnou činnosťou,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Obstarávacia cena, vlastné náklady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c) pohľadávok,</w:t>
      </w:r>
    </w:p>
    <w:p>
      <w:pPr>
        <w:pStyle w:val="Normalpodnadpis1"/>
        <w:bidi w:val="0"/>
        <w:spacing w:lineRule="auto" w:line="360" w:before="0" w:after="120"/>
        <w:ind w:left="360" w:right="0" w:hanging="0"/>
        <w:rPr/>
      </w:pPr>
      <w:r>
        <w:rPr>
          <w:sz w:val="22"/>
        </w:rPr>
        <w:t xml:space="preserve">    </w:t>
      </w:r>
      <w:r>
        <w:rPr>
          <w:sz w:val="22"/>
        </w:rPr>
        <w:t>Nominálna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d) krátkodobého finančného majetku,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e) záväzkov vrátane rezerv, dlhopisov, pôžičiek a úverov,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Menovitá hodnota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f) derivátových operácií.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Reálna hodnota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 xml:space="preserve">(3) Spôsob zostavenia odpisového plánu pre jednotlivé druhy dlhodobého hmotného majetku  a dlhodobého nehmotného majetku, pričom sa uvádza doba odpisovania, použité sadzby odpisov a odpisové metódy pri určení odpisov. </w:t>
      </w:r>
    </w:p>
    <w:p>
      <w:pPr>
        <w:pStyle w:val="Normalpodnadpis1"/>
        <w:bidi w:val="0"/>
        <w:spacing w:lineRule="auto" w:line="360" w:before="0" w:after="0"/>
        <w:ind w:left="0" w:right="0" w:hanging="0"/>
        <w:jc w:val="left"/>
        <w:rPr>
          <w:rFonts w:ascii="Times New Roman" w:hAnsi="Times New Roman" w:cs="Times New Roman"/>
          <w:sz w:val="24"/>
        </w:rPr>
      </w:pPr>
      <w:r>
        <w:rPr>
          <w:rFonts w:cs="Times New Roman" w:ascii="Times New Roman" w:hAnsi="Times New Roman"/>
          <w:sz w:val="24"/>
        </w:rPr>
      </w:r>
    </w:p>
    <w:tbl>
      <w:tblPr>
        <w:tblW w:w="9998" w:type="dxa"/>
        <w:jc w:val="left"/>
        <w:tblInd w:w="-248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515"/>
        <w:gridCol w:w="927"/>
        <w:gridCol w:w="1880"/>
        <w:gridCol w:w="1936"/>
        <w:gridCol w:w="1740"/>
      </w:tblGrid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Dlhodobý hmotný a nehmotný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odpisovaný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číslo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účtu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Doba odpisovania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(počet rokov)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 xml:space="preserve">Ročná odpisová sadzba </w:t>
            </w:r>
          </w:p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(%)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b/>
                <w:sz w:val="22"/>
              </w:rPr>
              <w:t>Metóda odpisovania</w:t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Software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013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center"/>
              <w:rPr/>
            </w:pPr>
            <w:r>
              <w:rPr>
                <w:rFonts w:eastAsia="Arial Narrow"/>
                <w:sz w:val="22"/>
              </w:rPr>
              <w:t>25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center"/>
              <w:rPr>
                <w:rFonts w:eastAsia="Arial Narrow"/>
                <w:sz w:val="22"/>
              </w:rPr>
            </w:pPr>
            <w:r>
              <w:rPr>
                <w:rFonts w:eastAsia="Arial Narrow"/>
                <w:sz w:val="22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 xml:space="preserve">Ostatný DNM 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019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Stavby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021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4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Počítače s príslušenstvom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022.A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Dopravné prostriedky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023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14,3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Ostatné stroje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022.A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7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14,3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  <w:tr>
        <w:trPr/>
        <w:tc>
          <w:tcPr>
            <w:tcW w:w="3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rPr/>
            </w:pPr>
            <w:r>
              <w:rPr>
                <w:rFonts w:eastAsia="Arial Narrow"/>
                <w:sz w:val="22"/>
              </w:rPr>
              <w:t>Ostatný dlhodobý hmotný majetok</w:t>
            </w:r>
          </w:p>
        </w:tc>
        <w:tc>
          <w:tcPr>
            <w:tcW w:w="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029</w:t>
            </w:r>
          </w:p>
        </w:tc>
        <w:tc>
          <w:tcPr>
            <w:tcW w:w="1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5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lang w:val="cs-CZ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  <w:t>20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rFonts w:ascii="Liberation Serif" w:hAnsi="Liberation Serif" w:eastAsia="Arial Narrow" w:cs="Liberation Serif"/>
                <w:sz w:val="22"/>
                <w:lang w:val="cs-CZ" w:eastAsia="zh-CN" w:bidi="hi-IN"/>
              </w:rPr>
            </w:pPr>
            <w:r>
              <w:rPr>
                <w:rFonts w:eastAsia="Arial Narrow" w:cs="Liberation Serif"/>
                <w:sz w:val="22"/>
                <w:lang w:val="cs-CZ" w:eastAsia="zh-CN" w:bidi="hi-IN"/>
              </w:rPr>
            </w:r>
          </w:p>
        </w:tc>
      </w:tr>
    </w:tbl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K žiadnym zmenám účtovných zásad a účtovných metód nedošlo.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(5) Informácie o dotáciách a ich oceňovanie v účtovníctve.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0" w:right="0" w:hanging="0"/>
        <w:rPr>
          <w:rFonts w:cs="Arial"/>
          <w:b/>
          <w:b/>
          <w:sz w:val="24"/>
        </w:rPr>
      </w:pPr>
      <w:r>
        <w:rPr>
          <w:rFonts w:cs="Arial"/>
          <w:b/>
          <w:sz w:val="24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b/>
          <w:sz w:val="24"/>
        </w:rPr>
        <w:t>ČL. III  INFORMÁCIE, KTORÉ DOPĹŇAJÚ A VYSVETĽUJÚ SÚVAHU A VÝKAZ ZISKOV A STRÁT</w:t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>
      <w:pPr>
        <w:pStyle w:val="Normalpodnadpis1"/>
        <w:bidi w:val="0"/>
        <w:spacing w:lineRule="auto" w:line="360" w:before="0" w:after="12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 w:before="0" w:after="12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0" w:right="0" w:hanging="0"/>
        <w:rPr/>
      </w:pPr>
      <w:r>
        <w:rPr>
          <w:sz w:val="22"/>
        </w:rPr>
        <w:t xml:space="preserve"> </w:t>
      </w:r>
      <w:r>
        <w:rPr>
          <w:sz w:val="22"/>
        </w:rPr>
        <w:t>Informácie o záväzkoch,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záväzkov so zostatkovou dobou splatnosti dlhšou ako päť rokov:         0,- EUR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zabezpečených záväzkov, opis a spôsoby zabezpečenia záväzkov:     0,- EUR</w:t>
      </w:r>
    </w:p>
    <w:p>
      <w:pPr>
        <w:pStyle w:val="Normalpodnadpis1"/>
        <w:bidi w:val="0"/>
        <w:spacing w:lineRule="auto" w:line="360"/>
        <w:ind w:left="284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 w:before="0" w:after="120"/>
        <w:ind w:left="142" w:right="0" w:hanging="0"/>
        <w:rPr/>
      </w:pPr>
      <w:r>
        <w:rPr>
          <w:b/>
          <w:sz w:val="22"/>
        </w:rPr>
        <w:t>Tabuľka k záväzkom</w:t>
      </w:r>
    </w:p>
    <w:tbl>
      <w:tblPr>
        <w:tblW w:w="10170" w:type="dxa"/>
        <w:jc w:val="left"/>
        <w:tblInd w:w="-74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56"/>
        <w:gridCol w:w="2813"/>
        <w:gridCol w:w="3201"/>
      </w:tblGrid>
      <w:tr>
        <w:trPr/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Bežné účtovné obdobie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120" w:after="0"/>
              <w:ind w:left="0" w:right="0" w:hanging="0"/>
              <w:jc w:val="center"/>
              <w:rPr/>
            </w:pPr>
            <w:r>
              <w:rPr>
                <w:b/>
                <w:sz w:val="18"/>
                <w:lang w:eastAsia="sk-SK"/>
              </w:rPr>
              <w:t>Bezprostredne predchádzajúce</w:t>
            </w:r>
            <w:r>
              <w:rPr/>
              <w:br/>
            </w:r>
            <w:r>
              <w:rPr>
                <w:b/>
                <w:sz w:val="18"/>
                <w:lang w:eastAsia="sk-SK"/>
              </w:rPr>
              <w:t>účtovné obdobie</w:t>
            </w:r>
          </w:p>
        </w:tc>
      </w:tr>
      <w:tr>
        <w:trPr>
          <w:trHeight w:val="391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  <w:lang w:eastAsia="sk-SK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  <w:lang w:eastAsia="sk-SK"/>
              </w:rPr>
              <w:t>0</w:t>
            </w:r>
          </w:p>
        </w:tc>
      </w:tr>
      <w:tr>
        <w:trPr>
          <w:trHeight w:val="391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>Záväzky do lehoty splatnosti so zostatkovou dobou splatnosti do jedného  roka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sz w:val="18"/>
                <w:lang w:val="cs-CZ" w:eastAsia="sk-SK" w:bidi="hi-IN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sz w:val="18"/>
                <w:lang w:val="cs-CZ" w:eastAsia="sk-SK" w:bidi="hi-IN"/>
              </w:rPr>
              <w:t>9 324</w:t>
            </w:r>
          </w:p>
        </w:tc>
      </w:tr>
      <w:tr>
        <w:trPr>
          <w:trHeight w:val="447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b/>
                <w:sz w:val="18"/>
              </w:rPr>
              <w:t>9 324</w:t>
            </w:r>
          </w:p>
        </w:tc>
      </w:tr>
      <w:tr>
        <w:trPr/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od jedného do piatich rokov vrátane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</w:rPr>
              <w:t>3 943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</w:rPr>
              <w:t>0</w:t>
            </w:r>
          </w:p>
        </w:tc>
      </w:tr>
      <w:tr>
        <w:trPr>
          <w:trHeight w:val="478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sz w:val="18"/>
              </w:rPr>
              <w:t xml:space="preserve">Záväzky so zostatkovou dobou splatnosti viac ako päť rokov 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</w:rPr>
              <w:t>0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b/>
                <w:sz w:val="18"/>
              </w:rPr>
              <w:t>3 943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tabs>
                <w:tab w:val="clear" w:pos="708"/>
              </w:tabs>
              <w:bidi w:val="0"/>
              <w:spacing w:lineRule="auto" w:line="360" w:before="0" w:after="0"/>
              <w:ind w:left="0" w:right="0" w:hanging="0"/>
              <w:jc w:val="right"/>
              <w:rPr/>
            </w:pPr>
            <w:r>
              <w:rPr>
                <w:rFonts w:cs="Arial"/>
                <w:b/>
                <w:sz w:val="18"/>
              </w:rPr>
              <w:t>0</w:t>
            </w:r>
          </w:p>
        </w:tc>
      </w:tr>
      <w:tr>
        <w:trPr>
          <w:trHeight w:val="409" w:hRule="atLeast"/>
        </w:trPr>
        <w:tc>
          <w:tcPr>
            <w:tcW w:w="4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podnadpis1"/>
              <w:bidi w:val="0"/>
              <w:spacing w:lineRule="auto" w:line="360" w:before="0" w:after="0"/>
              <w:ind w:left="0" w:right="0" w:hanging="0"/>
              <w:jc w:val="left"/>
              <w:rPr/>
            </w:pPr>
            <w:r>
              <w:rPr>
                <w:b/>
                <w:sz w:val="18"/>
              </w:rPr>
              <w:t>Krátkodobé a dlhodobé záväzky spolu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b/>
                <w:sz w:val="18"/>
                <w:lang w:val="cs-CZ" w:eastAsia="zh-CN" w:bidi="hi-IN"/>
              </w:rPr>
              <w:t>3 943</w:t>
            </w:r>
          </w:p>
        </w:tc>
        <w:tc>
          <w:tcPr>
            <w:tcW w:w="3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right"/>
              <w:rPr/>
            </w:pPr>
            <w:r>
              <w:rPr>
                <w:rFonts w:eastAsia="NSimSun" w:cs="Liberation Serif"/>
                <w:b/>
                <w:sz w:val="18"/>
                <w:lang w:val="cs-CZ" w:eastAsia="zh-CN" w:bidi="hi-IN"/>
              </w:rPr>
              <w:t>9 324</w:t>
            </w:r>
          </w:p>
        </w:tc>
      </w:tr>
    </w:tbl>
    <w:p>
      <w:pPr>
        <w:pStyle w:val="Normalpodnadpis1"/>
        <w:bidi w:val="0"/>
        <w:spacing w:lineRule="auto" w:line="360"/>
        <w:ind w:left="567" w:right="0" w:hanging="0"/>
        <w:rPr/>
      </w:pPr>
      <w:r>
        <w:rPr/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(3) Informácie o vlastných akciách, a to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/>
        <w:ind w:left="180" w:right="0" w:hanging="180"/>
        <w:rPr/>
      </w:pPr>
      <w:r>
        <w:rPr>
          <w:sz w:val="22"/>
        </w:rPr>
        <w:t>(4) Informácie o orgánoch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výške jednotlivých druhov záruk alebo iných zabezpečení poskytnutých pre členov štatutárneho orgánu, dozorného orgánu a iného orgánu účtovnej jednotky, a to v členení za jednotlivé orgány.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záruky alebo iné zabezpečenie.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 xml:space="preserve">b) pôžičkách poskytnutých členom štatutárneho orgánu, dozorného orgánu a iného orgánu účtovnej jednotky 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Členom štatutárneho orgánu neboli poskytnuté pôžičky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hlavných podmienkach, na základe ktorých im boli záruky alebo iné zabezpečenie a pôžičky poskytnuté; pri pôžičkách sa uvádzajú úrokové sadzby,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>(5) Informácie o povinnostiach účtovnej jednotky, a to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b) celkovej sume významných podmienených záväzkov, ktorými sa rozumie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Normalpodnadpis1"/>
        <w:bidi w:val="0"/>
        <w:spacing w:lineRule="auto" w:line="360"/>
        <w:ind w:left="426" w:right="0" w:hanging="0"/>
        <w:rPr/>
      </w:pPr>
      <w:r>
        <w:rPr>
          <w:sz w:val="22"/>
        </w:rPr>
        <w:t>2. existujúca povinnosť, ktorá vznikla ako dôsledok minulej udalosti, ale ktorá sa nevykazuje v súvahe, pretože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2a. nie je pravdepodobné, že na splnenie tejto povinnosti bude potrebný úbytok ekonomických úžitkov, alebo</w:t>
      </w:r>
    </w:p>
    <w:p>
      <w:pPr>
        <w:pStyle w:val="Normalpodnadpis1"/>
        <w:bidi w:val="0"/>
        <w:spacing w:lineRule="auto" w:line="360"/>
        <w:ind w:left="567" w:right="0" w:hanging="0"/>
        <w:rPr/>
      </w:pPr>
      <w:r>
        <w:rPr>
          <w:sz w:val="22"/>
        </w:rPr>
        <w:t>2b. výška tejto povinnosti sa nedá spoľahlivo oceniť,</w:t>
      </w:r>
    </w:p>
    <w:p>
      <w:pPr>
        <w:pStyle w:val="Normalpodnadpis1"/>
        <w:bidi w:val="0"/>
        <w:spacing w:lineRule="auto" w:line="360"/>
        <w:ind w:left="0" w:right="0" w:hanging="0"/>
        <w:rPr/>
      </w:pPr>
      <w:r>
        <w:rPr>
          <w:sz w:val="22"/>
        </w:rPr>
        <w:t xml:space="preserve">  </w:t>
      </w:r>
      <w:r>
        <w:rPr>
          <w:sz w:val="22"/>
        </w:rPr>
        <w:tab/>
        <w:t xml:space="preserve">   Nie je plnenie.</w:t>
      </w:r>
    </w:p>
    <w:p>
      <w:pPr>
        <w:pStyle w:val="Normalpodnadpis1"/>
        <w:bidi w:val="0"/>
        <w:spacing w:lineRule="auto" w:line="360"/>
        <w:ind w:left="0" w:right="0" w:hanging="0"/>
        <w:rPr>
          <w:sz w:val="22"/>
        </w:rPr>
      </w:pPr>
      <w:r>
        <w:rPr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c) opise významných finančných povinností a významných podmienených záväzkov,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d) celkovej sume významných finančných povinností a významných podmienených záväzkoch voči dcérskej účtovnej jednotke a účtovnej jednotke s podstatným vplyvom,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podnadpis1"/>
        <w:bidi w:val="0"/>
        <w:spacing w:lineRule="auto" w:line="360"/>
        <w:ind w:left="567" w:right="0" w:hanging="0"/>
        <w:rPr>
          <w:rFonts w:cs="Arial"/>
          <w:sz w:val="22"/>
        </w:rPr>
      </w:pPr>
      <w:r>
        <w:rPr>
          <w:rFonts w:cs="Arial"/>
          <w:sz w:val="22"/>
        </w:rPr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e) opise významných povinností účtovnej jednotky vyplývajúcich z dôchodkových programov pre zamestnancov.</w:t>
      </w:r>
    </w:p>
    <w:p>
      <w:pPr>
        <w:pStyle w:val="Normalpodnadpis1"/>
        <w:bidi w:val="0"/>
        <w:spacing w:lineRule="auto" w:line="360"/>
        <w:ind w:left="284" w:right="0" w:hanging="0"/>
        <w:rPr/>
      </w:pPr>
      <w:r>
        <w:rPr>
          <w:sz w:val="22"/>
        </w:rPr>
        <w:t>Nie je plnenie.</w:t>
      </w:r>
    </w:p>
    <w:p>
      <w:pPr>
        <w:pStyle w:val="Normal"/>
        <w:bidi w:val="0"/>
        <w:spacing w:before="0" w:after="0"/>
        <w:ind w:left="284" w:right="0" w:hanging="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851" w:right="851" w:header="709" w:top="1560" w:footer="373" w:bottom="851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Foot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0" w:hanging="0"/>
      <w:jc w:val="right"/>
      <w:textAlignment w:val="auto"/>
      <w:rPr/>
    </w:pPr>
    <w:r>
      <w:rPr>
        <w:rFonts w:cs="Arial" w:ascii="Arial" w:hAnsi="Arial"/>
        <w:sz w:val="20"/>
        <w:szCs w:val="20"/>
        <w:lang w:val="sk-SK" w:eastAsia="cs-CZ" w:bidi="ar-SA"/>
      </w:rPr>
      <w:t xml:space="preserve">Strana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PAGE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  <w:r>
      <w:rPr>
        <w:rFonts w:cs="Arial" w:ascii="Arial" w:hAnsi="Arial"/>
        <w:sz w:val="20"/>
        <w:szCs w:val="20"/>
        <w:lang w:val="sk-SK" w:eastAsia="cs-CZ" w:bidi="ar-SA"/>
      </w:rPr>
      <w:t xml:space="preserve"> z </w:t>
    </w:r>
    <w:r>
      <w:rPr>
        <w:rFonts w:cs="Arial" w:ascii="Arial" w:hAnsi="Arial"/>
        <w:sz w:val="20"/>
        <w:szCs w:val="20"/>
        <w:lang w:val="cs-CZ" w:eastAsia="cs-CZ" w:bidi="ar-SA"/>
      </w:rPr>
      <w:fldChar w:fldCharType="begin"/>
    </w:r>
    <w:r>
      <w:rPr>
        <w:sz w:val="20"/>
        <w:szCs w:val="20"/>
        <w:rFonts w:cs="Arial" w:ascii="Arial" w:hAnsi="Arial"/>
      </w:rPr>
      <w:instrText> NUMPAGES </w:instrText>
    </w:r>
    <w:r>
      <w:rPr>
        <w:sz w:val="20"/>
        <w:szCs w:val="20"/>
        <w:rFonts w:cs="Arial" w:ascii="Arial" w:hAnsi="Arial"/>
      </w:rPr>
      <w:fldChar w:fldCharType="separate"/>
    </w:r>
    <w:r>
      <w:rPr>
        <w:sz w:val="20"/>
        <w:szCs w:val="20"/>
        <w:rFonts w:cs="Arial" w:ascii="Arial" w:hAnsi="Arial"/>
      </w:rPr>
      <w:t>5</w:t>
    </w:r>
    <w:r>
      <w:rPr>
        <w:sz w:val="20"/>
        <w:szCs w:val="20"/>
        <w:rFonts w:cs="Arial" w:ascii="Arial" w:hAnsi="Arial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widowControl/>
      <w:tabs>
        <w:tab w:val="center" w:pos="4536" w:leader="none"/>
        <w:tab w:val="right" w:pos="9072" w:leader="none"/>
      </w:tabs>
      <w:bidi w:val="0"/>
      <w:spacing w:lineRule="auto" w:line="360" w:before="120" w:after="120"/>
      <w:ind w:left="0" w:right="360" w:hanging="0"/>
      <w:jc w:val="both"/>
      <w:textAlignment w:val="auto"/>
      <w:rPr>
        <w:rFonts w:ascii="Arial Narrow" w:hAnsi="Arial Narrow" w:cs="Arial"/>
        <w:sz w:val="20"/>
        <w:szCs w:val="24"/>
        <w:lang w:val="sk-SK" w:eastAsia="cs-CZ" w:bidi="ar-SA"/>
      </w:rPr>
    </w:pPr>
    <w:r>
      <w:rPr>
        <w:rFonts w:cs="Arial"/>
        <w:sz w:val="20"/>
        <w:szCs w:val="24"/>
        <w:lang w:val="sk-SK" w:eastAsia="cs-CZ" w:bidi="ar-SA"/>
      </w:rPr>
    </w:r>
    <w:r>
      <mc:AlternateContent>
        <mc:Choice Requires="wps">
          <w:drawing>
            <wp:anchor behindDoc="0" distT="0" distB="0" distL="0" distR="0" simplePos="0" locked="0" layoutInCell="1" allowOverlap="1" relativeHeight="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1" name="Frame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DIČ: </w:t>
                          </w:r>
                          <w:bookmarkStart w:id="6" w:name="DICHLAV"/>
                          <w:bookmarkEnd w:id="6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2120896228</w:t>
                          </w:r>
                          <w:bookmarkStart w:id="7" w:name="DICHLAV_END"/>
                          <w:bookmarkEnd w:id="7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 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382.5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DIČ: </w:t>
                    </w:r>
                    <w:bookmarkStart w:id="8" w:name="DICHLAV"/>
                    <w:bookmarkEnd w:id="8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2120896228</w:t>
                    </w:r>
                    <w:bookmarkStart w:id="9" w:name="DICHLAV_END"/>
                    <w:bookmarkEnd w:id="9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 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0" t="0" r="0" b="0"/>
              <wp:wrapNone/>
              <wp:docPr id="2" name="Frame3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50415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firstLine="1"/>
                            <w:jc w:val="left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Poznámky Úč MÚJ 3 – 01</w:t>
                          </w:r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61.45pt;height:19.45pt;mso-wrap-distance-left:5.7pt;mso-wrap-distance-right:5.7pt;mso-wrap-distance-top:5.7pt;mso-wrap-distance-bottom:5.7pt;margin-top:1.8pt;mso-position-vertical-relative:text;margin-left:2.2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firstLine="1"/>
                      <w:jc w:val="left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Poznámky Úč MÚJ 3 – 01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0" distT="0" distB="0" distL="0" distR="0" simplePos="0" locked="0" layoutInCell="1" allowOverlap="1" relativeHeight="1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0" t="0" r="0" b="0"/>
              <wp:wrapNone/>
              <wp:docPr id="3" name="Frame2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45920" cy="247015"/>
                      </a:xfrm>
                      <a:prstGeom prst="rect"/>
                      <a:ln w="952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Normalpodnadpis"/>
                            <w:widowControl/>
                            <w:bidi w:val="0"/>
                            <w:spacing w:lineRule="auto" w:line="360" w:before="120" w:after="120"/>
                            <w:ind w:left="0" w:right="0" w:hanging="0"/>
                            <w:jc w:val="both"/>
                            <w:textAlignment w:val="auto"/>
                            <w:rPr>
                              <w:lang w:val="cs-CZ"/>
                            </w:rPr>
                          </w:pPr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 xml:space="preserve">IČO:     </w:t>
                          </w:r>
                          <w:bookmarkStart w:id="10" w:name="ICOHLAV"/>
                          <w:bookmarkEnd w:id="10"/>
                          <w:r>
                            <w:rPr>
                              <w:rFonts w:cs="Arial" w:ascii="Arial" w:hAnsi="Arial"/>
                              <w:sz w:val="20"/>
                              <w:szCs w:val="20"/>
                              <w:lang w:val="cs-CZ" w:eastAsia="cs-CZ" w:bidi="ar-SA"/>
                            </w:rPr>
                            <w:t>52106578</w:t>
                          </w:r>
                          <w:bookmarkStart w:id="11" w:name="ICOHLAV_END"/>
                          <w:bookmarkEnd w:id="11"/>
                        </w:p>
                      </w:txbxContent>
                    </wps:txbx>
                    <wps:bodyPr anchor="t" lIns="36195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rotation:0;width:129.6pt;height:19.45pt;mso-wrap-distance-left:5.7pt;mso-wrap-distance-right:5.7pt;mso-wrap-distance-top:5.7pt;mso-wrap-distance-bottom:5.7pt;margin-top:1.8pt;mso-position-vertical-relative:text;margin-left:201.05pt;mso-position-horizontal-relative:text">
              <v:textbox inset="0.0395833333333333in,0in,0in,0in">
                <w:txbxContent>
                  <w:p>
                    <w:pPr>
                      <w:pStyle w:val="Normalpodnadpis"/>
                      <w:widowControl/>
                      <w:bidi w:val="0"/>
                      <w:spacing w:lineRule="auto" w:line="360" w:before="120" w:after="120"/>
                      <w:ind w:left="0" w:right="0" w:hanging="0"/>
                      <w:jc w:val="both"/>
                      <w:textAlignment w:val="auto"/>
                      <w:rPr>
                        <w:lang w:val="cs-CZ"/>
                      </w:rPr>
                    </w:pPr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 xml:space="preserve">IČO:     </w:t>
                    </w:r>
                    <w:bookmarkStart w:id="12" w:name="ICOHLAV"/>
                    <w:bookmarkEnd w:id="12"/>
                    <w:r>
                      <w:rPr>
                        <w:rFonts w:cs="Arial" w:ascii="Arial" w:hAnsi="Arial"/>
                        <w:sz w:val="20"/>
                        <w:szCs w:val="20"/>
                        <w:lang w:val="cs-CZ" w:eastAsia="cs-CZ" w:bidi="ar-SA"/>
                      </w:rPr>
                      <w:t>52106578</w:t>
                    </w:r>
                    <w:bookmarkStart w:id="13" w:name="ICOHLAV_END"/>
                    <w:bookmarkEnd w:id="13"/>
                  </w:p>
                </w:txbxContent>
              </v:textbox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</w:pPr>
    <w:rPr>
      <w:rFonts w:ascii="Liberation Serif" w:hAnsi="Liberation Serif" w:eastAsia="NSimSun" w:cs="Lucida Sans"/>
      <w:color w:val="auto"/>
      <w:kern w:val="2"/>
      <w:sz w:val="24"/>
      <w:szCs w:val="24"/>
      <w:lang w:val="cs-CZ" w:eastAsia="zh-CN" w:bidi="hi-IN"/>
    </w:rPr>
  </w:style>
  <w:style w:type="paragraph" w:styleId="Heading2">
    <w:name w:val="Heading 2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1"/>
    </w:pPr>
    <w:rPr>
      <w:rFonts w:ascii="Arial Narrow" w:hAnsi="Arial Narrow" w:cs="Arial"/>
      <w:b/>
      <w:bCs/>
      <w:i/>
      <w:iCs/>
      <w:sz w:val="28"/>
      <w:szCs w:val="28"/>
      <w:lang w:val="sk-SK" w:eastAsia="cs-CZ" w:bidi="ar-SA"/>
    </w:rPr>
  </w:style>
  <w:style w:type="paragraph" w:styleId="Heading3">
    <w:name w:val="Heading 3"/>
    <w:basedOn w:val="Normalpodnadpis"/>
    <w:qFormat/>
    <w:pPr>
      <w:keepNext w:val="true"/>
      <w:widowControl/>
      <w:spacing w:lineRule="auto" w:line="360" w:before="240" w:after="60"/>
      <w:jc w:val="both"/>
      <w:textAlignment w:val="auto"/>
      <w:outlineLvl w:val="2"/>
    </w:pPr>
    <w:rPr>
      <w:rFonts w:ascii="Cambria" w:hAnsi="Cambria" w:eastAsia="Times New Roman" w:cs="Cambria"/>
      <w:b/>
      <w:bCs/>
      <w:sz w:val="26"/>
      <w:szCs w:val="26"/>
      <w:lang w:val="sk-SK" w:eastAsia="cs-CZ" w:bidi="ar-SA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Cambria"/>
      <w:b/>
      <w:bCs/>
      <w:kern w:val="2"/>
      <w:sz w:val="32"/>
      <w:szCs w:val="32"/>
      <w:lang w:val="cs-CZ" w:eastAsia="cs-CZ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Cambria"/>
      <w:b/>
      <w:bCs/>
      <w:i/>
      <w:iCs/>
      <w:sz w:val="28"/>
      <w:szCs w:val="28"/>
      <w:lang w:val="cs-CZ" w:eastAsia="cs-CZ"/>
    </w:rPr>
  </w:style>
  <w:style w:type="character" w:styleId="Nadpis3Char">
    <w:name w:val="Nadpis 3 Char"/>
    <w:basedOn w:val="DefaultParagraphFont"/>
    <w:qFormat/>
    <w:rPr>
      <w:rFonts w:ascii="Cambria" w:hAnsi="Cambria" w:eastAsia="Times New Roman" w:cs="Cambria"/>
      <w:b/>
      <w:bCs/>
      <w:sz w:val="26"/>
      <w:szCs w:val="26"/>
      <w:lang w:val="cs-CZ" w:eastAsia="cs-CZ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>
    <w:name w:val="Zápatí Char"/>
    <w:basedOn w:val="DefaultParagraphFont"/>
    <w:qFormat/>
    <w:rPr>
      <w:rFonts w:ascii="Arial" w:hAnsi="Arial" w:cs="Arial"/>
      <w:sz w:val="24"/>
      <w:szCs w:val="24"/>
      <w:lang w:val="cs-CZ" w:eastAsia="cs-CZ"/>
    </w:rPr>
  </w:style>
  <w:style w:type="character" w:styleId="Pagenumber">
    <w:name w:val="page number"/>
    <w:basedOn w:val="DefaultParagraphFont"/>
    <w:qFormat/>
    <w:rPr>
      <w:rFonts w:cs="Times New Roman"/>
    </w:rPr>
  </w:style>
  <w:style w:type="character" w:styleId="Strong">
    <w:name w:val="Strong"/>
    <w:basedOn w:val="DefaultParagraphFont"/>
    <w:qFormat/>
    <w:rPr>
      <w:rFonts w:cs="Times New Roman"/>
      <w:b/>
      <w:bCs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val="cs-CZ" w:eastAsia="cs-CZ"/>
    </w:rPr>
  </w:style>
  <w:style w:type="character" w:styleId="ZhlavChar">
    <w:name w:val="Záhlaví Char"/>
    <w:basedOn w:val="DefaultParagraphFont"/>
    <w:qFormat/>
    <w:rPr>
      <w:rFonts w:ascii="Arial Narrow" w:hAnsi="Arial Narrow" w:cs="Arial"/>
      <w:sz w:val="24"/>
      <w:szCs w:val="24"/>
      <w:lang w:val="cs-CZ" w:eastAsia="cs-CZ"/>
    </w:rPr>
  </w:style>
  <w:style w:type="character" w:styleId="ListLabel1">
    <w:name w:val="ListLabel 1"/>
    <w:qFormat/>
    <w:rPr>
      <w:rFonts w:cs="Arial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cs="Times New Roman"/>
      <w:sz w:val="22"/>
    </w:rPr>
  </w:style>
  <w:style w:type="character" w:styleId="ListLabel92">
    <w:name w:val="ListLabel 92"/>
    <w:qFormat/>
    <w:rPr>
      <w:rFonts w:cs="Times New Roman"/>
    </w:rPr>
  </w:style>
  <w:style w:type="character" w:styleId="ListLabel93">
    <w:name w:val="ListLabel 93"/>
    <w:qFormat/>
    <w:rPr>
      <w:rFonts w:cs="Times New Roman"/>
    </w:rPr>
  </w:style>
  <w:style w:type="character" w:styleId="ListLabel94">
    <w:name w:val="ListLabel 94"/>
    <w:qFormat/>
    <w:rPr>
      <w:rFonts w:cs="Times New Roman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  <w:b w:val="false"/>
      <w:sz w:val="22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Times New Roman"/>
    </w:rPr>
  </w:style>
  <w:style w:type="character" w:styleId="ListLabel114">
    <w:name w:val="ListLabel 114"/>
    <w:qFormat/>
    <w:rPr>
      <w:rFonts w:cs="Times New Roman"/>
    </w:rPr>
  </w:style>
  <w:style w:type="character" w:styleId="ListLabel115">
    <w:name w:val="ListLabel 115"/>
    <w:qFormat/>
    <w:rPr>
      <w:rFonts w:cs="Times New Roman"/>
    </w:rPr>
  </w:style>
  <w:style w:type="character" w:styleId="ListLabel116">
    <w:name w:val="ListLabel 116"/>
    <w:qFormat/>
    <w:rPr>
      <w:rFonts w:cs="Times New Roma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podnadpis">
    <w:name w:val="Normal,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widowControl/>
      <w:spacing w:before="120" w:after="120"/>
      <w:jc w:val="center"/>
      <w:textAlignment w:val="auto"/>
      <w:outlineLvl w:val="0"/>
    </w:pPr>
    <w:rPr>
      <w:rFonts w:ascii="Arial Narrow" w:hAnsi="Arial Narrow" w:cs="Arial"/>
      <w:b/>
      <w:bCs/>
      <w:sz w:val="20"/>
      <w:szCs w:val="24"/>
      <w:lang w:val="sk-SK" w:eastAsia="sk-SK" w:bidi="ar-SA"/>
    </w:rPr>
  </w:style>
  <w:style w:type="paragraph" w:styleId="DocumentMap">
    <w:name w:val="DocumentMap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auto"/>
      <w:kern w:val="2"/>
      <w:sz w:val="20"/>
      <w:szCs w:val="20"/>
      <w:lang w:val="cs-CZ" w:eastAsia="cs-CZ" w:bidi="ar-SA"/>
    </w:rPr>
  </w:style>
  <w:style w:type="paragraph" w:styleId="Tl11ptTuniernaPodaokrajaVavo019cmRiadkova">
    <w:name w:val="Štýl 11 pt Tučné Čierna Podľa okraja Vľavo:  019 cm Riadkova..."/>
    <w:qFormat/>
    <w:pPr>
      <w:widowControl/>
      <w:spacing w:lineRule="auto" w:line="360"/>
      <w:jc w:val="both"/>
      <w:textAlignment w:val="auto"/>
    </w:pPr>
    <w:rPr>
      <w:rFonts w:ascii="Arial" w:hAnsi="Arial" w:eastAsia="Courier New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widowControl/>
      <w:spacing w:lineRule="auto" w:line="360" w:before="120" w:after="120"/>
      <w:ind w:left="1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Bododvodnenie">
    <w:name w:val="Bod odôvodnenie"/>
    <w:qFormat/>
    <w:pPr>
      <w:widowControl/>
      <w:tabs>
        <w:tab w:val="clear" w:pos="708"/>
        <w:tab w:val="left" w:pos="0" w:leader="none"/>
      </w:tabs>
      <w:spacing w:before="120" w:after="120"/>
      <w:jc w:val="left"/>
      <w:textAlignment w:val="auto"/>
    </w:pPr>
    <w:rPr>
      <w:rFonts w:ascii="Arial" w:hAnsi="Arial" w:eastAsia="Courier New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jc w:val="both"/>
      <w:textAlignment w:val="auto"/>
    </w:pPr>
    <w:rPr>
      <w:rFonts w:ascii="Arial" w:hAnsi="Arial" w:eastAsia="Courier New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widowControl/>
      <w:tabs>
        <w:tab w:val="clear" w:pos="708"/>
        <w:tab w:val="left" w:pos="0" w:leader="none"/>
      </w:tabs>
      <w:spacing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TableGrid">
    <w:name w:val="Table Grid"/>
    <w:basedOn w:val="DocumentMap"/>
    <w:qFormat/>
    <w:pPr>
      <w:widowControl/>
      <w:jc w:val="left"/>
      <w:textAlignment w:val="auto"/>
    </w:pPr>
    <w:rPr>
      <w:rFonts w:ascii="Arial" w:hAnsi="Arial" w:cs="Arial"/>
      <w:sz w:val="20"/>
      <w:szCs w:val="20"/>
      <w:lang w:val="sk-SK" w:eastAsia="sk-SK" w:bidi="ar-SA"/>
    </w:rPr>
  </w:style>
  <w:style w:type="paragraph" w:styleId="Footer">
    <w:name w:val="Foot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Normlny1">
    <w:name w:val="Normálny1"/>
    <w:qFormat/>
    <w:pPr>
      <w:widowControl/>
      <w:spacing w:lineRule="auto" w:line="360" w:before="120" w:after="120"/>
      <w:ind w:firstLine="709"/>
      <w:jc w:val="both"/>
      <w:textAlignment w:val="auto"/>
    </w:pPr>
    <w:rPr>
      <w:rFonts w:ascii="Arial" w:hAnsi="Arial" w:eastAsia="Courier New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tabs>
        <w:tab w:val="clear" w:pos="708"/>
        <w:tab w:val="left" w:pos="1440" w:leader="none"/>
      </w:tabs>
      <w:spacing w:before="120" w:after="120"/>
      <w:ind w:left="1440" w:hanging="360"/>
      <w:jc w:val="both"/>
      <w:textAlignment w:val="auto"/>
    </w:pPr>
    <w:rPr>
      <w:rFonts w:ascii="Arial Narrow" w:hAnsi="Arial Narrow" w:eastAsia="Courier New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widowControl/>
      <w:jc w:val="center"/>
      <w:textAlignment w:val="auto"/>
    </w:pPr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paragraph" w:styleId="BalloonText">
    <w:name w:val="Balloon Text"/>
    <w:basedOn w:val="Normalpodnadpis"/>
    <w:qFormat/>
    <w:pPr>
      <w:widowControl/>
      <w:jc w:val="both"/>
      <w:textAlignment w:val="auto"/>
    </w:pPr>
    <w:rPr>
      <w:rFonts w:ascii="Tahoma" w:hAnsi="Tahoma" w:cs="Tahoma"/>
      <w:sz w:val="16"/>
      <w:szCs w:val="16"/>
      <w:lang w:val="sk-SK" w:eastAsia="cs-CZ" w:bidi="ar-SA"/>
    </w:rPr>
  </w:style>
  <w:style w:type="paragraph" w:styleId="Header">
    <w:name w:val="Header"/>
    <w:basedOn w:val="Normalpodnadpis"/>
    <w:pPr>
      <w:widowControl/>
      <w:tabs>
        <w:tab w:val="clear" w:pos="708"/>
        <w:tab w:val="center" w:pos="4536" w:leader="none"/>
        <w:tab w:val="right" w:pos="9072" w:leader="none"/>
      </w:tabs>
      <w:spacing w:lineRule="auto" w:line="360" w:before="120" w:after="12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Styl1">
    <w:name w:val="Styl1"/>
    <w:basedOn w:val="Heading1Nadpisopatrenia1"/>
    <w:qFormat/>
    <w:pPr>
      <w:keepNext w:val="true"/>
      <w:widowControl/>
      <w:tabs>
        <w:tab w:val="clear" w:pos="708"/>
        <w:tab w:val="left" w:pos="720" w:leader="none"/>
        <w:tab w:val="left" w:pos="1429" w:leader="none"/>
        <w:tab w:val="left" w:pos="1713" w:leader="none"/>
      </w:tabs>
      <w:ind w:left="720" w:hanging="360"/>
      <w:jc w:val="left"/>
      <w:textAlignment w:val="auto"/>
      <w:outlineLvl w:val="0"/>
    </w:pPr>
    <w:rPr>
      <w:rFonts w:ascii="Arial Narrow" w:hAnsi="Arial Narrow" w:eastAsia="Times New Roman" w:cs="Arial Narrow"/>
      <w:b/>
      <w:bCs/>
      <w:sz w:val="22"/>
      <w:szCs w:val="22"/>
      <w:lang w:val="sk-SK" w:eastAsia="cs-CZ" w:bidi="ar-SA"/>
    </w:rPr>
  </w:style>
  <w:style w:type="paragraph" w:styleId="Default">
    <w:name w:val="Default"/>
    <w:qFormat/>
    <w:pPr>
      <w:widowControl/>
      <w:jc w:val="left"/>
      <w:textAlignment w:val="auto"/>
    </w:pPr>
    <w:rPr>
      <w:rFonts w:ascii="Times New Roman" w:hAnsi="Times New Roman" w:eastAsia="Courier New" w:cs="Times New Roman"/>
      <w:color w:val="000000"/>
      <w:kern w:val="2"/>
      <w:sz w:val="24"/>
      <w:szCs w:val="24"/>
      <w:lang w:val="sk-SK" w:eastAsia="sk-SK" w:bidi="ar-SA"/>
    </w:rPr>
  </w:style>
  <w:style w:type="paragraph" w:styleId="Styl2">
    <w:name w:val="Styl2"/>
    <w:basedOn w:val="Heading2"/>
    <w:qFormat/>
    <w:pPr>
      <w:keepNext w:val="true"/>
      <w:widowControl/>
      <w:tabs>
        <w:tab w:val="clear" w:pos="708"/>
        <w:tab w:val="left" w:pos="1440" w:leader="none"/>
        <w:tab w:val="left" w:pos="2149" w:leader="none"/>
        <w:tab w:val="left" w:pos="2433" w:leader="none"/>
      </w:tabs>
      <w:ind w:left="1440" w:hanging="360"/>
      <w:jc w:val="left"/>
      <w:textAlignment w:val="auto"/>
      <w:outlineLvl w:val="1"/>
    </w:pPr>
    <w:rPr>
      <w:rFonts w:ascii="Arial Narrow" w:hAnsi="Arial Narrow" w:eastAsia="Times New Roman" w:cs="Arial Narrow"/>
      <w:b/>
      <w:bCs/>
      <w:i/>
      <w:iCs/>
      <w:sz w:val="20"/>
      <w:szCs w:val="20"/>
      <w:lang w:val="sk-SK" w:eastAsia="cs-CZ" w:bidi="ar-SA"/>
    </w:rPr>
  </w:style>
  <w:style w:type="paragraph" w:styleId="Styl3">
    <w:name w:val="Styl3"/>
    <w:basedOn w:val="Heading3"/>
    <w:qFormat/>
    <w:pPr>
      <w:keepNext w:val="true"/>
      <w:widowControl/>
      <w:tabs>
        <w:tab w:val="clear" w:pos="708"/>
        <w:tab w:val="left" w:pos="2340" w:leader="none"/>
        <w:tab w:val="left" w:pos="3049" w:leader="none"/>
        <w:tab w:val="left" w:pos="3333" w:leader="none"/>
      </w:tabs>
      <w:ind w:left="2340" w:hanging="360"/>
      <w:jc w:val="center"/>
      <w:textAlignment w:val="auto"/>
      <w:outlineLvl w:val="2"/>
    </w:pPr>
    <w:rPr>
      <w:rFonts w:ascii="Arial Narrow" w:hAnsi="Arial Narrow" w:eastAsia="Times New Roman" w:cs="Arial Narrow"/>
      <w:b/>
      <w:bCs/>
      <w:caps/>
      <w:sz w:val="18"/>
      <w:szCs w:val="18"/>
      <w:lang w:val="sk-SK" w:eastAsia="cs-CZ" w:bidi="ar-SA"/>
    </w:rPr>
  </w:style>
  <w:style w:type="paragraph" w:styleId="ListParagraph">
    <w:name w:val="List Paragraph"/>
    <w:basedOn w:val="Normalpodnadpis"/>
    <w:qFormat/>
    <w:pPr>
      <w:widowControl/>
      <w:spacing w:lineRule="auto" w:line="360" w:before="120" w:after="120"/>
      <w:ind w:left="708" w:hanging="0"/>
      <w:jc w:val="both"/>
      <w:textAlignment w:val="auto"/>
    </w:pPr>
    <w:rPr>
      <w:rFonts w:ascii="Arial Narrow" w:hAnsi="Arial Narrow" w:cs="Arial"/>
      <w:sz w:val="20"/>
      <w:szCs w:val="24"/>
      <w:lang w:val="sk-SK" w:eastAsia="cs-CZ" w:bidi="ar-SA"/>
    </w:rPr>
  </w:style>
  <w:style w:type="paragraph" w:styleId="FrameContents">
    <w:name w:val="Frame Contents"/>
    <w:basedOn w:val="Normal"/>
    <w:qFormat/>
    <w:pPr/>
    <w:rPr/>
  </w:style>
  <w:style w:type="paragraph" w:styleId="Normalpodnadpis1">
    <w:name w:val="Normal;podnadpis"/>
    <w:qFormat/>
    <w:pPr>
      <w:widowControl/>
      <w:spacing w:lineRule="auto" w:line="360" w:before="120" w:after="120"/>
      <w:jc w:val="both"/>
      <w:textAlignment w:val="auto"/>
    </w:pPr>
    <w:rPr>
      <w:rFonts w:ascii="Arial Narrow" w:hAnsi="Arial Narrow" w:eastAsia="Courier New" w:cs="Arial Narrow"/>
      <w:color w:val="auto"/>
      <w:kern w:val="2"/>
      <w:sz w:val="20"/>
      <w:szCs w:val="24"/>
      <w:lang w:val="sk-SK" w:eastAsia="cs-CZ" w:bidi="ar-SA"/>
    </w:rPr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</TotalTime>
  <Application>LibreOffice/6.2.3.2$Windows_X86_64 LibreOffice_project/aecc05fe267cc68dde00352a451aa867b3b546ac</Application>
  <Pages>5</Pages>
  <Words>909</Words>
  <Characters>5517</Characters>
  <CharactersWithSpaces>6333</CharactersWithSpaces>
  <Paragraphs>149</Paragraphs>
  <Company>CSW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2014-01-07T09:28:00Z</dcterms:created>
  <dc:creator>Rastislav.Burza@csw.sk</dc:creator>
  <dc:description>&lt;?template name="Účtovná záverka mikro ÚJ 2014" version="1.00"?&gt;</dc:description>
  <dc:language>cs-CZ</dc:language>
  <cp:lastModifiedBy/>
  <cp:lastPrinted>2014-01-07T09:24:00Z</cp:lastPrinted>
  <dcterms:modified xsi:type="dcterms:W3CDTF">2021-06-29T17:15:45Z</dcterms:modified>
  <cp:revision>29</cp:revision>
  <dc:subject/>
  <dc:title>Poznámky Úč MÚJ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CSW</vt:lpwstr>
  </property>
  <property fmtid="{D5CDD505-2E9C-101B-9397-08002B2CF9AE}" pid="3" name="Operator">
    <vt:lpwstr>Tomáš Kubala</vt:lpwstr>
  </property>
</Properties>
</file>