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/>
      </w:pPr>
      <w:r>
        <w:rPr>
          <w:b/>
          <w:bCs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before="0" w:after="0"/>
        <w:ind w:left="0" w:right="0" w:hanging="0"/>
        <w:jc w:val="left"/>
        <w:rPr>
          <w:rFonts w:cs="Arial Narrow"/>
          <w:sz w:val="18"/>
          <w:szCs w:val="18"/>
          <w:lang w:eastAsia="sk-SK"/>
        </w:rPr>
      </w:pPr>
      <w:r>
        <w:rPr>
          <w:rFonts w:cs="Arial Narrow"/>
          <w:sz w:val="18"/>
          <w:szCs w:val="18"/>
          <w:lang w:eastAsia="sk-SK"/>
        </w:rPr>
      </w:r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>ASK Reality Nitra,s. r. o.</w:t>
      </w:r>
      <w:bookmarkStart w:id="1" w:name="ONAME_END"/>
      <w:bookmarkEnd w:id="1"/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Stropkovská 3, 82103 Bratislava</w:t>
      </w:r>
      <w:bookmarkStart w:id="3" w:name="ADRESA_END"/>
      <w:bookmarkEnd w:id="3"/>
    </w:p>
    <w:p>
      <w:pPr>
        <w:pStyle w:val="Normalpodnadpis"/>
        <w:bidi w:val="0"/>
        <w:spacing w:before="0" w:after="0"/>
        <w:ind w:left="284" w:right="0" w:hanging="0"/>
        <w:jc w:val="left"/>
        <w:rPr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51803241</w:t>
      </w:r>
      <w:bookmarkStart w:id="5" w:name="ICOSID_END"/>
      <w:bookmarkEnd w:id="5"/>
    </w:p>
    <w:p>
      <w:pPr>
        <w:pStyle w:val="Normalpodnadpis1"/>
        <w:bidi w:val="0"/>
        <w:spacing w:before="0" w:after="0"/>
        <w:ind w:left="284" w:right="0" w:hanging="0"/>
        <w:jc w:val="left"/>
        <w:rPr/>
      </w:pPr>
      <w:r>
        <w:rPr>
          <w:sz w:val="22"/>
        </w:rPr>
        <w:t>zapísaná do obchodného registra dňa:   7.7.2018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 xml:space="preserve">Hlavné činnosti spoločnosti: 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Kúpa tovaru na účely jeho predaja konečnému spotrebitelovi (maloobchod) alebo iným prevádzkovateľom živnosti (veľkoobchod)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Sprostredkovateľská činnosť oblasti obchodu, služieb a výroby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Vykonávanie mimoškolskej vzdelávacej činnosti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Činnosť podnikatelských, organizačných a ekonomických poradcov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Prenájom nehnutelností spojený s poskytnutím inžých než základných služieb spojených s prenájmom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Prenájom hnutelných vecí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Uskutočnenie stavieb a ich zmien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Prípravné práce k realizácii stavby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Dokončovacie stavebné práce pri realizácii exteriérov a interiérov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Finančný lizing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Prevádzkovanie športovných zariadení a zariadení slúžiacich na regeneráciu a rekondíciu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Sťahovacie služby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</w:t>
      </w:r>
      <w:bookmarkStart w:id="6" w:name="__DdeLink__3408_2680673599"/>
      <w:r>
        <w:rPr>
          <w:sz w:val="22"/>
        </w:rPr>
        <w:t>prostredkovanie predaja, prenájmu a kúpy nehnuteľností (realitná činnosť)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val="sk-SK"/>
        </w:rPr>
      </w:pPr>
      <w:r>
        <w:rPr>
          <w:rFonts w:eastAsia="Arial Narrow" w:cs="Arial Narrow" w:ascii="Arial Narrow" w:hAnsi="Arial Narrow"/>
          <w:sz w:val="22"/>
          <w:lang w:val="sk-SK" w:eastAsia="cs-CZ"/>
        </w:rPr>
        <w:t xml:space="preserve">(2) </w:t>
      </w:r>
      <w:r>
        <w:rPr>
          <w:rFonts w:eastAsia="Times New Roman"/>
          <w:sz w:val="22"/>
          <w:lang w:val="sk-SK" w:eastAsia="cs-CZ"/>
        </w:rPr>
        <w:t>Ú</w:t>
      </w:r>
      <w:r>
        <w:rPr>
          <w:rFonts w:eastAsia="Arial Narrow" w:cs="Arial Narrow" w:ascii="Arial Narrow" w:hAnsi="Arial Narrow"/>
          <w:sz w:val="22"/>
          <w:lang w:val="sk-SK" w:eastAsia="cs-CZ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Konsoliduj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ca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tovná jednotka, ktor</w:t>
      </w:r>
      <w:r>
        <w:rPr>
          <w:lang w:val="sk-SK" w:eastAsia="cs-CZ"/>
        </w:rPr>
        <w:t>á</w:t>
      </w:r>
      <w:r>
        <w:rPr>
          <w:rFonts w:eastAsia="Arial Narrow" w:cs="Arial Narrow" w:ascii="Arial Narrow" w:hAnsi="Arial Narrow"/>
          <w:lang w:val="sk-SK" w:eastAsia="cs-CZ"/>
        </w:rPr>
        <w:t xml:space="preserve"> zostavuje konsolidovan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 z</w:t>
      </w:r>
      <w:r>
        <w:rPr>
          <w:lang w:val="sk-SK" w:eastAsia="cs-CZ"/>
        </w:rPr>
        <w:t>á</w:t>
      </w:r>
      <w:r>
        <w:rPr>
          <w:rFonts w:eastAsia="Arial Narrow" w:cs="Arial Narrow" w:ascii="Arial Narrow" w:hAnsi="Arial Narrow"/>
          <w:lang w:val="sk-SK" w:eastAsia="cs-CZ"/>
        </w:rPr>
        <w:t xml:space="preserve">vierku skupinu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ý</w:t>
      </w:r>
      <w:r>
        <w:rPr>
          <w:rFonts w:eastAsia="Arial Narrow" w:cs="Arial Narrow" w:ascii="Arial Narrow" w:hAnsi="Arial Narrow"/>
          <w:lang w:val="sk-SK" w:eastAsia="cs-CZ"/>
        </w:rPr>
        <w:t>ch jednotiek konsolidovan</w:t>
      </w:r>
      <w:r>
        <w:rPr>
          <w:lang w:val="sk-SK" w:eastAsia="cs-CZ"/>
        </w:rPr>
        <w:t>é</w:t>
      </w:r>
      <w:r>
        <w:rPr>
          <w:rFonts w:eastAsia="Arial Narrow" w:cs="Arial Narrow" w:ascii="Arial Narrow" w:hAnsi="Arial Narrow"/>
          <w:lang w:val="sk-SK" w:eastAsia="cs-CZ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Obchodn</w:t>
      </w:r>
      <w:r>
        <w:rPr>
          <w:lang w:val="sk-SK" w:eastAsia="cs-CZ"/>
        </w:rPr>
        <w:t>é</w:t>
      </w:r>
      <w:r>
        <w:rPr>
          <w:rFonts w:eastAsia="Arial Narrow" w:cs="Arial Narrow" w:ascii="Arial Narrow" w:hAnsi="Arial Narrow"/>
          <w:lang w:val="sk-SK" w:eastAsia="cs-CZ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S</w:t>
      </w:r>
      <w:r>
        <w:rPr>
          <w:lang w:val="sk-SK" w:eastAsia="cs-CZ"/>
        </w:rPr>
        <w:t>í</w:t>
      </w:r>
      <w:r>
        <w:rPr>
          <w:rFonts w:eastAsia="Arial Narrow" w:cs="Arial Narrow" w:ascii="Arial Narrow" w:hAnsi="Arial Narrow"/>
          <w:lang w:val="sk-SK" w:eastAsia="cs-CZ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1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4" w:type="dxa"/>
        <w:jc w:val="left"/>
        <w:tblInd w:w="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7"/>
        <w:gridCol w:w="2403"/>
        <w:gridCol w:w="2564"/>
      </w:tblGrid>
      <w:tr>
        <w:trPr>
          <w:trHeight w:val="558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4"/>
              </w:rPr>
              <w:t>Priemerný prepočítaný počet zamestnancov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4"/>
              </w:rPr>
              <w:t>Stav zamestnancov ku dňu, ku ktorému sa zostavuje účtovná závierka, z toho: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4"/>
              </w:rPr>
              <w:t>Počet vedúcich zamestnancov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(1) Účtovná závierka je zostavená za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 xml:space="preserve">splnenia predpokladu, že účtovná jednotka bude nepretržite pokračovať vo svojej činnosti. 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záväzkov, a to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1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</w:t>
      </w:r>
      <w:r>
        <w:rPr>
          <w:rFonts w:eastAsia="Times New Roman" w:cs="Liberation Serif"/>
          <w:sz w:val="22"/>
        </w:rPr>
        <w:t>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(3) Spôsob zostavenia odpisového plánu pre jednotlivé druhy dlhodobého hmotného majetku 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dlhodobého nehmotného majetku, pričom sa uvádza doba odpisovania, použité sadzby odpisov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 xml:space="preserve">odpisové metódy pri určení odpisov.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cs="Times New Roman"/>
          <w:sz w:val="24"/>
        </w:rPr>
      </w:pPr>
      <w:r>
        <w:rPr>
          <w:rFonts w:cs="Times New Roman" w:ascii="Times New Roman" w:hAnsi="Times New Roman"/>
          <w:sz w:val="24"/>
        </w:rPr>
      </w:r>
    </w:p>
    <w:tbl>
      <w:tblPr>
        <w:tblW w:w="9998" w:type="dxa"/>
        <w:jc w:val="left"/>
        <w:tblInd w:w="-17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4"/>
        <w:gridCol w:w="927"/>
        <w:gridCol w:w="1879"/>
        <w:gridCol w:w="1936"/>
        <w:gridCol w:w="1742"/>
      </w:tblGrid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Dlhodobý hmotný a nehmotný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číslo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Doba odpisovania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 xml:space="preserve">Ročná odpisová sadzba 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ucida Sans" w:cs="Liberation Serif"/>
                <w:sz w:val="22"/>
                <w:lang w:val="cs-CZ" w:eastAsia="hi-IN"/>
              </w:rPr>
              <w:t>013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ucida Sans" w:cs="Liberation Serif"/>
                <w:sz w:val="22"/>
                <w:lang w:val="cs-CZ" w:eastAsia="hi-IN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ucida Sans" w:cs="Liberation Serif"/>
                <w:sz w:val="22"/>
                <w:lang w:val="cs-CZ" w:eastAsia="hi-IN"/>
              </w:rPr>
              <w:t>25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hi-IN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019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25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hi-IN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021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4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hi-IN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Počítače s</w:t>
            </w:r>
            <w:r>
              <w:rPr>
                <w:rFonts w:eastAsia="Times New Roman" w:cs="Liberation Serif"/>
                <w:sz w:val="22"/>
              </w:rPr>
              <w:t> </w:t>
            </w:r>
            <w:r>
              <w:rPr>
                <w:sz w:val="22"/>
              </w:rPr>
              <w:t>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022.A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20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hi-IN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023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14,3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hi-IN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022.A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14,3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hi-IN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029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  <w:t>20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hi-IN"/>
              </w:rPr>
            </w:pPr>
            <w:r>
              <w:rPr>
                <w:rFonts w:eastAsia="Times New Roman" w:cs="Liberation Serif"/>
                <w:sz w:val="22"/>
                <w:lang w:val="cs-CZ" w:eastAsia="hi-IN"/>
              </w:rPr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žiadnym zmenám účtovných zásad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účtovných metód nedošlo.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eastAsia="Times New Roman" w:cs="Liberation Serif"/>
          <w:b/>
          <w:b/>
          <w:sz w:val="24"/>
        </w:rPr>
      </w:pPr>
      <w:r>
        <w:rPr>
          <w:rFonts w:eastAsia="Times New Roman" w:cs="Liberation Serif"/>
          <w:b/>
          <w:sz w:val="24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</w:t>
      </w:r>
      <w:r>
        <w:rPr>
          <w:rFonts w:eastAsia="Times New Roman" w:cs="Liberation Serif"/>
          <w:b/>
          <w:sz w:val="24"/>
        </w:rPr>
        <w:t> </w:t>
      </w:r>
      <w:r>
        <w:rPr>
          <w:b/>
          <w:sz w:val="24"/>
        </w:rPr>
        <w:t>VYSVETĽUJÚ SÚVAHU A</w:t>
      </w:r>
      <w:r>
        <w:rPr>
          <w:rFonts w:eastAsia="Times New Roman" w:cs="Liberation Serif"/>
          <w:b/>
          <w:sz w:val="24"/>
        </w:rPr>
        <w:t> </w:t>
      </w:r>
      <w:r>
        <w:rPr>
          <w:b/>
          <w:sz w:val="24"/>
        </w:rPr>
        <w:t>VÝKAZ ZISKOV A STRÁT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1"/>
        <w:bidi w:val="0"/>
        <w:spacing w:lineRule="auto" w:line="360"/>
        <w:ind w:left="284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</w:t>
      </w:r>
      <w:r>
        <w:rPr>
          <w:rFonts w:eastAsia="Times New Roman" w:cs="Liberation Serif"/>
          <w:b/>
          <w:sz w:val="22"/>
        </w:rPr>
        <w:t> </w:t>
      </w:r>
      <w:r>
        <w:rPr>
          <w:b/>
          <w:sz w:val="22"/>
        </w:rPr>
        <w:t>záväzkom</w:t>
      </w:r>
    </w:p>
    <w:tbl>
      <w:tblPr>
        <w:tblW w:w="10170" w:type="dxa"/>
        <w:jc w:val="left"/>
        <w:tblInd w:w="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5"/>
        <w:gridCol w:w="2813"/>
        <w:gridCol w:w="3202"/>
      </w:tblGrid>
      <w:tr>
        <w:trPr/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  <w:lang w:eastAsia="sk-SK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  <w:lang w:val="cs-CZ" w:eastAsia="hi-IN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  <w:lang w:val="cs-CZ" w:eastAsia="hi-IN"/>
              </w:rPr>
              <w:t>156</w:t>
            </w:r>
          </w:p>
        </w:tc>
      </w:tr>
      <w:tr>
        <w:trPr>
          <w:trHeight w:val="447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b/>
                <w:sz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b/>
                <w:sz w:val="18"/>
              </w:rPr>
              <w:t>156</w:t>
            </w:r>
          </w:p>
        </w:tc>
      </w:tr>
      <w:tr>
        <w:trPr/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</w:rPr>
              <w:t>2 200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</w:rPr>
              <w:t>9 300</w:t>
            </w:r>
          </w:p>
        </w:tc>
      </w:tr>
      <w:tr>
        <w:trPr>
          <w:trHeight w:val="478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b/>
                <w:sz w:val="18"/>
              </w:rPr>
              <w:t>2 200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b/>
                <w:sz w:val="18"/>
              </w:rPr>
              <w:t>9 300</w:t>
            </w:r>
          </w:p>
        </w:tc>
      </w:tr>
      <w:tr>
        <w:trPr>
          <w:trHeight w:val="409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</w:t>
            </w:r>
            <w:r>
              <w:rPr>
                <w:rFonts w:eastAsia="Times New Roman" w:cs="Liberation Serif"/>
                <w:b/>
                <w:sz w:val="18"/>
              </w:rPr>
              <w:t> </w:t>
            </w: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b/>
                <w:sz w:val="18"/>
                <w:lang w:val="cs-CZ" w:eastAsia="hi-IN"/>
              </w:rPr>
              <w:t>2 200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b/>
                <w:sz w:val="18"/>
                <w:lang w:val="cs-CZ" w:eastAsia="hi-IN"/>
              </w:rPr>
              <w:t>9 456</w:t>
            </w:r>
          </w:p>
        </w:tc>
      </w:tr>
    </w:tbl>
    <w:p>
      <w:pPr>
        <w:pStyle w:val="Normalpodnadpis1"/>
        <w:bidi w:val="0"/>
        <w:spacing w:lineRule="auto" w:line="360"/>
        <w:ind w:left="567" w:right="0" w:hanging="0"/>
        <w:rPr>
          <w:rFonts w:cs="Liberation Serif"/>
        </w:rPr>
      </w:pPr>
      <w:r>
        <w:rPr>
          <w:rFonts w:cs="Liberation Serif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>
        <w:rPr>
          <w:rFonts w:eastAsia="Times New Roman" w:cs="Liberation Serif"/>
          <w:sz w:val="22"/>
        </w:rPr>
        <w:t>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</w:t>
      </w:r>
      <w:r>
        <w:rPr>
          <w:rFonts w:eastAsia="Times New Roman" w:cs="Liberation Serif"/>
          <w:sz w:val="22"/>
        </w:rPr>
        <w:t>,</w:t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1"/>
        <w:bidi w:val="0"/>
        <w:spacing w:lineRule="auto" w:line="360"/>
        <w:ind w:left="0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"/>
        <w:bidi w:val="0"/>
        <w:spacing w:before="0" w:after="0"/>
        <w:ind w:left="284" w:right="0" w:hanging="0"/>
        <w:jc w:val="left"/>
        <w:rPr/>
      </w:pPr>
      <w:r>
        <w:rPr/>
      </w:r>
      <w:bookmarkEnd w:id="6"/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cs="Arial" w:ascii="Arial" w:hAnsi="Arial"/>
        <w:sz w:val="20"/>
        <w:szCs w:val="20"/>
        <w:lang w:val="sk-SK" w:eastAsia="cs-CZ" w:bidi="ar-SA"/>
      </w:rPr>
      <w:t xml:space="preserve">Strana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  <w:lang w:val="sk-SK" w:eastAsia="cs-CZ" w:bidi="ar-SA"/>
      </w:rPr>
      <w:t xml:space="preserve"> z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  <w:r>
      <mc:AlternateContent>
        <mc:Choice Requires="wps">
          <w:drawing>
            <wp:anchor behindDoc="0" distT="0" distB="0" distL="0" distR="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DIČ: </w:t>
                          </w:r>
                          <w:bookmarkStart w:id="7" w:name="DICHLAV"/>
                          <w:bookmarkEnd w:id="7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2120796986</w:t>
                          </w:r>
                          <w:bookmarkStart w:id="8" w:name="DICHLAV_END"/>
                          <w:bookmarkEnd w:id="8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DIČ: </w:t>
                    </w:r>
                    <w:bookmarkStart w:id="9" w:name="DICHLAV"/>
                    <w:bookmarkEnd w:id="9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2120796986</w:t>
                    </w:r>
                    <w:bookmarkStart w:id="10" w:name="DICHLAV_END"/>
                    <w:bookmarkEnd w:id="10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IČO:     </w:t>
                          </w:r>
                          <w:bookmarkStart w:id="11" w:name="ICOHLAV"/>
                          <w:bookmarkEnd w:id="11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51803241</w:t>
                          </w:r>
                          <w:bookmarkStart w:id="12" w:name="ICOHLAV_END"/>
                          <w:bookmarkEnd w:id="12"/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IČO:     </w:t>
                    </w:r>
                    <w:bookmarkStart w:id="13" w:name="ICOHLAV"/>
                    <w:bookmarkEnd w:id="13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51803241</w:t>
                    </w:r>
                    <w:bookmarkStart w:id="14" w:name="ICOHLAV_END"/>
                    <w:bookmarkEnd w:id="14"/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Lucida Sans"/>
      <w:color w:val="auto"/>
      <w:kern w:val="2"/>
      <w:sz w:val="24"/>
      <w:szCs w:val="24"/>
      <w:lang w:val="cs-CZ" w:eastAsia="zh-CN" w:bidi="hi-IN"/>
    </w:rPr>
  </w:style>
  <w:style w:type="paragraph" w:styleId="Heading2">
    <w:name w:val="Heading 2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1"/>
    </w:pPr>
    <w:rPr>
      <w:rFonts w:ascii="Arial Narrow" w:hAnsi="Arial Narrow" w:cs="Arial"/>
      <w:b/>
      <w:bCs/>
      <w:i/>
      <w:iCs/>
      <w:sz w:val="28"/>
      <w:szCs w:val="28"/>
      <w:lang w:val="sk-SK" w:eastAsia="cs-CZ" w:bidi="ar-SA"/>
    </w:rPr>
  </w:style>
  <w:style w:type="paragraph" w:styleId="Heading3">
    <w:name w:val="Heading 3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2"/>
    </w:pPr>
    <w:rPr>
      <w:rFonts w:ascii="Cambria" w:hAnsi="Cambria" w:eastAsia="Times New Roman" w:cs="Cambria"/>
      <w:b/>
      <w:bCs/>
      <w:sz w:val="26"/>
      <w:szCs w:val="26"/>
      <w:lang w:val="sk-SK" w:eastAsia="cs-CZ" w:bidi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Cambria"/>
      <w:b/>
      <w:bCs/>
      <w:kern w:val="2"/>
      <w:sz w:val="32"/>
      <w:szCs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Cambria"/>
      <w:b/>
      <w:bCs/>
      <w:i/>
      <w:iCs/>
      <w:sz w:val="28"/>
      <w:szCs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Times New Roman" w:cs="Cambria"/>
      <w:b/>
      <w:bCs/>
      <w:sz w:val="26"/>
      <w:szCs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cs="Arial"/>
      <w:sz w:val="24"/>
      <w:szCs w:val="24"/>
      <w:lang w:val="cs-CZ" w:eastAsia="cs-CZ"/>
    </w:rPr>
  </w:style>
  <w:style w:type="character" w:styleId="Pagenumber">
    <w:name w:val="page number"/>
    <w:basedOn w:val="DefaultParagraphFont"/>
    <w:qFormat/>
    <w:rPr>
      <w:rFonts w:cs="Times New Roman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cs="Arial"/>
      <w:sz w:val="24"/>
      <w:szCs w:val="24"/>
      <w:lang w:val="cs-CZ" w:eastAsia="cs-CZ"/>
    </w:rPr>
  </w:style>
  <w:style w:type="character" w:styleId="ListLabel1">
    <w:name w:val="ListLabel 1"/>
    <w:qFormat/>
    <w:rPr>
      <w:rFonts w:cs="Arial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cs="Times New Roman"/>
      <w:sz w:val="22"/>
    </w:rPr>
  </w:style>
  <w:style w:type="character" w:styleId="ListLabel92">
    <w:name w:val="ListLabel 92"/>
    <w:qFormat/>
    <w:rPr>
      <w:rFonts w:cs="Times New Roman"/>
    </w:rPr>
  </w:style>
  <w:style w:type="character" w:styleId="ListLabel93">
    <w:name w:val="ListLabel 93"/>
    <w:qFormat/>
    <w:rPr>
      <w:rFonts w:cs="Times New Roman"/>
    </w:rPr>
  </w:style>
  <w:style w:type="character" w:styleId="ListLabel94">
    <w:name w:val="ListLabel 94"/>
    <w:qFormat/>
    <w:rPr>
      <w:rFonts w:cs="Times New Roman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  <w:b w:val="false"/>
      <w:sz w:val="22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Times New Roman"/>
    </w:rPr>
  </w:style>
  <w:style w:type="character" w:styleId="ListLabel114">
    <w:name w:val="ListLabel 114"/>
    <w:qFormat/>
    <w:rPr>
      <w:rFonts w:cs="Times New Roman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podnadpis">
    <w:name w:val="Normal,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before="120" w:after="120"/>
      <w:jc w:val="center"/>
      <w:textAlignment w:val="auto"/>
      <w:outlineLvl w:val="0"/>
    </w:pPr>
    <w:rPr>
      <w:rFonts w:ascii="Arial Narrow" w:hAnsi="Arial Narrow" w:cs="Arial"/>
      <w:b/>
      <w:bCs/>
      <w:sz w:val="20"/>
      <w:szCs w:val="24"/>
      <w:lang w:val="sk-SK" w:eastAsia="sk-SK" w:bidi="ar-SA"/>
    </w:rPr>
  </w:style>
  <w:style w:type="paragraph" w:styleId="DocumentMap">
    <w:name w:val="DocumentMap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auto"/>
      <w:kern w:val="2"/>
      <w:sz w:val="20"/>
      <w:szCs w:val="20"/>
      <w:lang w:val="cs-CZ" w:eastAsia="cs-CZ" w:bidi="ar-SA"/>
    </w:rPr>
  </w:style>
  <w:style w:type="paragraph" w:styleId="Tl11ptTuniernaPodaokrajaVavo019cmRiadkova">
    <w:name w:val="Štýl 11 pt Tučné Čierna Podľa okraja Vľavo:  019 cm Riadkova..."/>
    <w:qFormat/>
    <w:pPr>
      <w:widowControl/>
      <w:spacing w:lineRule="auto" w:line="360"/>
      <w:jc w:val="both"/>
      <w:textAlignment w:val="auto"/>
    </w:pPr>
    <w:rPr>
      <w:rFonts w:ascii="Arial" w:hAnsi="Arial" w:eastAsia="Courier New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pacing w:before="120" w:after="120"/>
      <w:jc w:val="left"/>
      <w:textAlignment w:val="auto"/>
    </w:pPr>
    <w:rPr>
      <w:rFonts w:ascii="Arial" w:hAnsi="Arial" w:eastAsia="Courier New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jc w:val="both"/>
      <w:textAlignment w:val="auto"/>
    </w:pPr>
    <w:rPr>
      <w:rFonts w:ascii="Arial" w:hAnsi="Arial" w:eastAsia="Courier New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cs="Arial"/>
      <w:sz w:val="20"/>
      <w:szCs w:val="20"/>
      <w:lang w:val="sk-SK" w:eastAsia="sk-SK" w:bidi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Normlny1">
    <w:name w:val="Normálny1"/>
    <w:qFormat/>
    <w:pPr>
      <w:widowControl/>
      <w:spacing w:lineRule="auto" w:line="360" w:before="120" w:after="120"/>
      <w:ind w:firstLine="709"/>
      <w:jc w:val="both"/>
      <w:textAlignment w:val="auto"/>
    </w:pPr>
    <w:rPr>
      <w:rFonts w:ascii="Arial" w:hAnsi="Arial" w:eastAsia="Courier New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pacing w:before="120" w:after="120"/>
      <w:ind w:left="1440" w:hanging="360"/>
      <w:jc w:val="both"/>
      <w:textAlignment w:val="auto"/>
    </w:pPr>
    <w:rPr>
      <w:rFonts w:ascii="Arial Narrow" w:hAnsi="Arial Narrow" w:eastAsia="Courier New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widowControl/>
      <w:jc w:val="center"/>
      <w:textAlignment w:val="auto"/>
    </w:pPr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paragraph" w:styleId="BalloonText">
    <w:name w:val="Balloon Text"/>
    <w:basedOn w:val="Normalpodnadpis"/>
    <w:qFormat/>
    <w:pPr>
      <w:widowControl/>
      <w:jc w:val="both"/>
      <w:textAlignment w:val="auto"/>
    </w:pPr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ind w:left="720" w:hanging="360"/>
      <w:jc w:val="left"/>
      <w:textAlignment w:val="auto"/>
      <w:outlineLvl w:val="0"/>
    </w:pPr>
    <w:rPr>
      <w:rFonts w:ascii="Arial Narrow" w:hAnsi="Arial Narrow" w:eastAsia="Times New Roman" w:cs="Arial Narrow"/>
      <w:b/>
      <w:bCs/>
      <w:sz w:val="22"/>
      <w:szCs w:val="22"/>
      <w:lang w:val="sk-SK" w:eastAsia="cs-CZ" w:bidi="ar-SA"/>
    </w:rPr>
  </w:style>
  <w:style w:type="paragraph" w:styleId="Default">
    <w:name w:val="Default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000000"/>
      <w:kern w:val="2"/>
      <w:sz w:val="24"/>
      <w:szCs w:val="24"/>
      <w:lang w:val="sk-SK" w:eastAsia="sk-SK" w:bidi="ar-SA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ind w:left="1440" w:hanging="360"/>
      <w:jc w:val="left"/>
      <w:textAlignment w:val="auto"/>
      <w:outlineLvl w:val="1"/>
    </w:pPr>
    <w:rPr>
      <w:rFonts w:ascii="Arial Narrow" w:hAnsi="Arial Narrow" w:eastAsia="Times New Roman" w:cs="Arial Narrow"/>
      <w:b/>
      <w:bCs/>
      <w:i/>
      <w:iCs/>
      <w:sz w:val="20"/>
      <w:szCs w:val="20"/>
      <w:lang w:val="sk-SK" w:eastAsia="cs-CZ" w:bidi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ind w:left="2340" w:hanging="360"/>
      <w:jc w:val="center"/>
      <w:textAlignment w:val="auto"/>
      <w:outlineLvl w:val="2"/>
    </w:pPr>
    <w:rPr>
      <w:rFonts w:ascii="Arial Narrow" w:hAnsi="Arial Narrow" w:eastAsia="Times New Roman" w:cs="Arial Narrow"/>
      <w:b/>
      <w:bCs/>
      <w:caps/>
      <w:sz w:val="18"/>
      <w:szCs w:val="18"/>
      <w:lang w:val="sk-SK" w:eastAsia="cs-CZ" w:bidi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FrameContents">
    <w:name w:val="Frame Contents"/>
    <w:basedOn w:val="Normal"/>
    <w:qFormat/>
    <w:pPr/>
    <w:rPr/>
  </w:style>
  <w:style w:type="paragraph" w:styleId="Normalpodnadpis1">
    <w:name w:val="Normal;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Arial" w:cs="Arial Narrow"/>
      <w:color w:val="auto"/>
      <w:kern w:val="2"/>
      <w:sz w:val="20"/>
      <w:szCs w:val="24"/>
      <w:lang w:val="sk-SK" w:eastAsia="ar-SA" w:bidi="hi-IN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LibreOffice/6.2.3.2$Windows_X86_64 LibreOffice_project/aecc05fe267cc68dde00352a451aa867b3b546ac</Application>
  <Pages>5</Pages>
  <Words>987</Words>
  <Characters>6123</Characters>
  <CharactersWithSpaces>7004</CharactersWithSpaces>
  <Paragraphs>161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2021-06-29T17:56:23Z</dcterms:modified>
  <cp:revision>29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