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76" w:before="0" w:after="200"/>
        <w:ind w:left="426" w:right="0" w:hanging="426"/>
        <w:jc w:val="center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76" w:before="0" w:after="20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76" w:before="0" w:after="20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  <w:t>Článok I - Všeobecné údaje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I.1</w:t>
        <w:tab/>
        <w:t>Názov právnickej osoby: 2S CONSULTING s.r.o.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i/>
          <w:i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i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ab/>
        <w:t>Sídlo účtovnej jednotky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: Antolská 6, 851 07 Bratislava 5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i/>
          <w:i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i/>
          <w:color w:val="000000"/>
          <w:spacing w:val="0"/>
          <w:sz w:val="22"/>
          <w:shd w:fill="auto" w:val="clear"/>
        </w:rPr>
        <w:t xml:space="preserve">        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76" w:before="0" w:after="0"/>
        <w:ind w:left="0" w:right="0" w:hanging="0"/>
        <w:jc w:val="both"/>
        <w:rPr>
          <w:rFonts w:ascii="Cambria" w:hAnsi="Cambria" w:eastAsia="Cambria" w:cs="Cambria"/>
          <w:i/>
          <w:i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i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I.3</w:t>
        <w:tab/>
        <w:t>Informácie o počte zamestnancov: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tbl>
      <w:tblPr>
        <w:tblW w:w="9015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3"/>
        <w:gridCol w:w="2381"/>
        <w:gridCol w:w="2381"/>
      </w:tblGrid>
      <w:tr>
        <w:trPr>
          <w:trHeight w:val="1" w:hRule="atLeast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Bežné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účtovné obdobie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Bezprostredne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predchádzajúce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34" w:right="0" w:hanging="1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426" w:right="0" w:hanging="426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</w:tr>
    </w:tbl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  <w:t>Článok II – Informácie o prijatých postupoch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II. 1 Informácia o splnení predpokladu nepretržitého pokračovania činnosti účtovnej jednotky: 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Účtovná jednotka bude nepretržite pokračovať vo svojej činnosti.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II. 2 Spôsob oceňovania jednotlivých zložiek majetku a záväzkov: </w:t>
      </w:r>
    </w:p>
    <w:tbl>
      <w:tblPr>
        <w:tblW w:w="8954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1"/>
        <w:gridCol w:w="2064"/>
        <w:gridCol w:w="2269"/>
      </w:tblGrid>
      <w:tr>
        <w:trPr>
          <w:trHeight w:val="1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Druh majetku/záväzkov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Spôsob ocenenia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Náklady spojené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Dlhodobý nehmotný majetok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Dlhodobý hmotný majetok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Dlhodobý  finančný majetok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Zásoby obstarané kúpou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Obstarávacou cenou</w:t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Zásoby vytvorené vlastnou činnosťou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Pohľadávky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Krátkodobý finančný majetok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Záväzky vrátane rezerv, dlhopisov, pôžičiek a úverov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 xml:space="preserve">   </w:t>
            </w: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Menovitou hodnotou</w:t>
            </w:r>
          </w:p>
        </w:tc>
      </w:tr>
      <w:tr>
        <w:trPr>
          <w:trHeight w:val="340" w:hRule="atLeast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Derivátové operácie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II. 3 Spôsob zostavenia odpisového plánu dlhodobého majetku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Spoločnosť vznikla 20.6.2017 a k 31.12.20</w:t>
      </w: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 xml:space="preserve"> nemala evidované v účtovníctve žiadne zložky hmotného odpisovaného majetku.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II. 4  Zmeny účtovných zásad a metód:</w:t>
      </w:r>
    </w:p>
    <w:p>
      <w:pPr>
        <w:pStyle w:val="Normal"/>
        <w:bidi w:val="0"/>
        <w:spacing w:lineRule="exact" w:line="240" w:before="0" w:after="200"/>
        <w:ind w:left="426" w:right="0" w:hanging="426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426" w:right="0" w:hanging="426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Účtovné zásady a metódy boli účtovnou jednotkou konzistentne aplikované v rámci platného zákona o účtovníctve.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II. 5 Dotácie poskytnuté na obstaranie majetku: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K 31.12.20</w:t>
      </w: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  <w:t xml:space="preserve"> neboli spoločnosti poskytnuté žiadne dotácie. </w:t>
      </w:r>
    </w:p>
    <w:p>
      <w:pPr>
        <w:pStyle w:val="Normal"/>
        <w:bidi w:val="0"/>
        <w:spacing w:lineRule="exact" w:line="240" w:before="240" w:after="20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II. 6 Oprava významných a nevýznamných chýb minulých účtovných období vykonaných v bežnom účtovnom období: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0"/>
          <w:shd w:fill="auto" w:val="clear"/>
        </w:rPr>
      </w:r>
    </w:p>
    <w:tbl>
      <w:tblPr>
        <w:tblW w:w="8954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Druh opravy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Suma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 xml:space="preserve">Oprava </w:t>
            </w: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významných</w:t>
            </w: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 xml:space="preserve"> chýb minulých účtovných období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 xml:space="preserve">Oprava </w:t>
            </w: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nevýznamných</w:t>
            </w: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 xml:space="preserve"> chýb minulých účtovných období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  <w:t>Článok III – Informácie, ktoré vysvetľujú a dopĺňajú súvahu a výkaz ziskov a strát</w:t>
      </w:r>
    </w:p>
    <w:p>
      <w:pPr>
        <w:pStyle w:val="Normal"/>
        <w:bidi w:val="0"/>
        <w:spacing w:lineRule="exact" w:line="240" w:before="0" w:after="0"/>
        <w:ind w:left="426" w:right="0" w:hanging="426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2"/>
        <w:gridCol w:w="2970"/>
        <w:gridCol w:w="2401"/>
      </w:tblGrid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Dôvod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Hodnota</w:t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Žiadne vyššie špecifikované druhy nákladov alebo výnosov spoločnosti počas roka 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 xml:space="preserve"> nevznikli.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  <w:t xml:space="preserve">III. 2 </w:t>
      </w: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Informácie o záväzkoch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III. 2 a) Záväzky so zostatkovou dobou splatnosti dlhšou ako päť rokov: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87"/>
        <w:gridCol w:w="2835"/>
        <w:gridCol w:w="2821"/>
      </w:tblGrid>
      <w:tr>
        <w:trPr>
          <w:trHeight w:val="1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2"/>
                <w:shd w:fill="auto" w:val="clear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2"/>
                <w:shd w:fill="auto" w:val="clear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355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1192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mbria" w:hAnsi="Cambria" w:eastAsia="Cambria" w:cs="Cambria"/>
                <w:b/>
                <w:b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2106</w:t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2"/>
                <w:shd w:fill="auto" w:val="clear"/>
              </w:rPr>
              <w:t>Záväzky so zostatkovou dobou splatnosti do jedného roka vrátane (v celých eurách)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1192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2106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Spoločnosť k 31.12.20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 xml:space="preserve"> neeviduje žiadne dlhodobé záväzky. Suma krátkodobých záväzkov k 31.12.20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 xml:space="preserve"> predstavuje daň z príjmov PO (účet 341) spoločnosti za rok 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 xml:space="preserve"> účtovanú súvzťažne na nákladový účet 591.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III. 2 b) Hodnota záväzkov zabezpečená záložným právom: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87"/>
        <w:gridCol w:w="3119"/>
        <w:gridCol w:w="2537"/>
      </w:tblGrid>
      <w:tr>
        <w:trPr>
          <w:trHeight w:val="1" w:hRule="atLeast"/>
        </w:trPr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Druh formy zabezpečenia záväzku</w:t>
            </w:r>
          </w:p>
        </w:tc>
        <w:tc>
          <w:tcPr>
            <w:tcW w:w="565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Hodnota záväzku zabezpečená</w:t>
            </w:r>
          </w:p>
        </w:tc>
      </w:tr>
      <w:tr>
        <w:trPr>
          <w:trHeight w:val="1" w:hRule="atLeast"/>
        </w:trPr>
        <w:tc>
          <w:tcPr>
            <w:tcW w:w="3387" w:type="dxa"/>
            <w:vMerge w:val="continue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76" w:before="0" w:after="200"/>
              <w:ind w:left="426" w:right="0" w:hanging="426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Záložným právom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Inou formou zabezpečenia</w:t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5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3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36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Spoločnosť k 31.12.20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4"/>
          <w:shd w:fill="auto" w:val="clear"/>
        </w:rPr>
        <w:t xml:space="preserve"> neeviduje žiadne záväzky zabezpečené záložným právom.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III. 4 a), b), d) Informácie o orgánoch účtovnej jednotky: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9"/>
        <w:gridCol w:w="1393"/>
        <w:gridCol w:w="1192"/>
        <w:gridCol w:w="1013"/>
        <w:gridCol w:w="1393"/>
        <w:gridCol w:w="1256"/>
        <w:gridCol w:w="1096"/>
      </w:tblGrid>
      <w:tr>
        <w:trPr>
          <w:trHeight w:val="828" w:hRule="atLeast"/>
        </w:trPr>
        <w:tc>
          <w:tcPr>
            <w:tcW w:w="16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Druh príjmu, výhody</w:t>
            </w:r>
          </w:p>
        </w:tc>
        <w:tc>
          <w:tcPr>
            <w:tcW w:w="35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Hodnota príjmu, výhody bývalých členov orgánov</w:t>
            </w:r>
          </w:p>
        </w:tc>
      </w:tr>
      <w:tr>
        <w:trPr>
          <w:trHeight w:val="1" w:hRule="atLeast"/>
        </w:trPr>
        <w:tc>
          <w:tcPr>
            <w:tcW w:w="1699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76" w:before="0" w:after="200"/>
              <w:ind w:left="426" w:right="0" w:hanging="426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štatutárnych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dozorných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iných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štatutárnych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dozorných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0"/>
                <w:shd w:fill="auto" w:val="clear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Poskytnuté pôžičky (ku dňu ÚZ) v eurách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99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Splatené pôžičky (ku dňu ÚZ)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94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Odpustené alebo odpísané pôžičky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Finančné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III. 4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Spoločnosť neposkytla v roku 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 xml:space="preserve"> žiadne záruky alebo zabezpečenia.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III. 5 a) Informácie o celkovej sume finančných povinností, ktoré sa nevykazujú v súvahe: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4"/>
        <w:gridCol w:w="2545"/>
        <w:gridCol w:w="2684"/>
      </w:tblGrid>
      <w:tr>
        <w:trPr>
          <w:trHeight w:val="1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Hodnota voči dcérskej ÚJ  a ÚJ s podstatným vplyvom</w:t>
            </w:r>
          </w:p>
        </w:tc>
      </w:tr>
      <w:tr>
        <w:trPr>
          <w:trHeight w:val="1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70" w:hRule="atLeast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Ostatné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4"/>
                <w:shd w:fill="auto" w:val="clear"/>
              </w:rPr>
              <w:t>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12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Opis významných finančných povinností:</w:t>
      </w:r>
    </w:p>
    <w:p>
      <w:pPr>
        <w:pStyle w:val="Normal"/>
        <w:bidi w:val="0"/>
        <w:spacing w:lineRule="exact" w:line="240" w:before="12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K 31.12.20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 xml:space="preserve"> spoločnosť neeviduje žiadne finančné povinnosti, ktoré by nevykázala v súvahe.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III. 5 b) Informácie o významných podmienených záväzkoch</w:t>
      </w:r>
    </w:p>
    <w:tbl>
      <w:tblPr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14"/>
        <w:gridCol w:w="3014"/>
        <w:gridCol w:w="3015"/>
      </w:tblGrid>
      <w:tr>
        <w:trPr>
          <w:trHeight w:val="1" w:hRule="atLeast"/>
        </w:trPr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Druh podmieneného záväzku</w:t>
            </w:r>
          </w:p>
        </w:tc>
        <w:tc>
          <w:tcPr>
            <w:tcW w:w="6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3014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76" w:before="0" w:after="200"/>
              <w:ind w:left="426" w:right="0" w:hanging="426"/>
              <w:jc w:val="center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Hodnota celkom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Cambria" w:cs="Cambria" w:ascii="Cambria" w:hAnsi="Cambria"/>
                <w:b/>
                <w:color w:val="000000"/>
                <w:spacing w:val="0"/>
                <w:sz w:val="22"/>
                <w:shd w:fill="auto" w:val="clear"/>
              </w:rPr>
              <w:t>Hodnota voči dcérskej ÚJ                a ÚJ s podstatným vplyvom</w:t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Cambria" w:cs="Cambria" w:ascii="Cambria" w:hAnsi="Cambria"/>
                <w:color w:val="000000"/>
                <w:spacing w:val="0"/>
                <w:sz w:val="20"/>
                <w:shd w:fill="auto" w:val="clear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120" w:after="0"/>
        <w:ind w:left="0" w:right="0" w:hanging="0"/>
        <w:jc w:val="both"/>
        <w:rPr>
          <w:rFonts w:ascii="Cambria" w:hAnsi="Cambria" w:eastAsia="Cambria" w:cs="Cambria"/>
          <w:b/>
          <w:b/>
          <w:color w:val="000000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>Opis významných podmienených záväzkov:</w:t>
      </w:r>
    </w:p>
    <w:p>
      <w:pPr>
        <w:pStyle w:val="Normal"/>
        <w:bidi w:val="0"/>
        <w:spacing w:lineRule="exact" w:line="240" w:before="120" w:after="0"/>
        <w:ind w:left="0" w:right="0" w:hanging="0"/>
        <w:jc w:val="both"/>
        <w:rPr>
          <w:rFonts w:ascii="Cambria" w:hAnsi="Cambria" w:eastAsia="Cambria" w:cs="Cambria"/>
          <w:color w:val="000000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K 31.12.20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 xml:space="preserve"> spoločnosť neeviduje žiadne podmienené záväzky.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III. 5 e) Opis významných povinností účtovnej jednotky vyplývajúcich z dôchodkových </w:t>
        <w:tab/>
        <w:t>programov pre zamestnancov: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Spoločnosť k 31.12.20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 xml:space="preserve"> nemala žiadnych zamestnancov. </w:t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4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2"/>
          <w:shd w:fill="auto" w:val="clear"/>
        </w:rPr>
        <w:t xml:space="preserve">III. 6  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tbl>
      <w:tblPr>
        <w:tblW w:w="4452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452"/>
      </w:tblGrid>
      <w:tr>
        <w:trPr>
          <w:trHeight w:val="273" w:hRule="atLeast"/>
        </w:trPr>
        <w:tc>
          <w:tcPr>
            <w:tcW w:w="4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200"/>
        <w:ind w:left="0" w:right="0" w:hanging="0"/>
        <w:jc w:val="both"/>
        <w:rPr>
          <w:rFonts w:ascii="Cambria" w:hAnsi="Cambria" w:eastAsia="Cambria" w:cs="Cambria"/>
          <w:color w:val="auto"/>
          <w:spacing w:val="0"/>
          <w:sz w:val="22"/>
          <w:shd w:fill="auto" w:val="clear"/>
        </w:rPr>
      </w:pP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Žiadne v priebehu roka 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>20</w:t>
      </w:r>
      <w:r>
        <w:rPr>
          <w:rFonts w:eastAsia="Cambria" w:cs="Cambria" w:ascii="Cambria" w:hAnsi="Cambria"/>
          <w:color w:val="000000"/>
          <w:spacing w:val="0"/>
          <w:sz w:val="22"/>
          <w:shd w:fill="auto" w:val="clear"/>
        </w:rPr>
        <w:t xml:space="preserve"> neboli spoločnosťou udelené.</w:t>
      </w:r>
    </w:p>
    <w:p>
      <w:pPr>
        <w:pStyle w:val="Normal"/>
        <w:bidi w:val="0"/>
        <w:spacing w:lineRule="exact" w:line="240" w:before="24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 xml:space="preserve">V Bratislave </w:t>
      </w: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30</w:t>
      </w: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.</w:t>
      </w: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06</w:t>
      </w: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.202</w:t>
      </w: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1</w:t>
      </w:r>
    </w:p>
    <w:p>
      <w:pPr>
        <w:pStyle w:val="Normal"/>
        <w:bidi w:val="0"/>
        <w:spacing w:lineRule="exact" w:line="240" w:before="24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  <w:t>Miesto/Dátum/Podpis</w:t>
      </w:r>
    </w:p>
    <w:p>
      <w:pPr>
        <w:pStyle w:val="Normal"/>
        <w:bidi w:val="0"/>
        <w:spacing w:lineRule="exact" w:line="240" w:before="240" w:after="200"/>
        <w:ind w:left="0" w:right="0" w:hanging="0"/>
        <w:jc w:val="both"/>
        <w:rPr>
          <w:rFonts w:ascii="Cambria" w:hAnsi="Cambria" w:eastAsia="Cambria" w:cs="Cambria"/>
          <w:i/>
          <w:i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i/>
          <w:color w:val="000000"/>
          <w:spacing w:val="0"/>
          <w:sz w:val="20"/>
          <w:shd w:fill="auto" w:val="clear"/>
        </w:rPr>
        <w:t>(odporúčané)</w:t>
      </w:r>
    </w:p>
    <w:p>
      <w:pPr>
        <w:pStyle w:val="Normal"/>
        <w:bidi w:val="0"/>
        <w:spacing w:lineRule="exact" w:line="240" w:before="240" w:after="200"/>
        <w:ind w:left="0" w:right="0" w:hanging="0"/>
        <w:jc w:val="both"/>
        <w:rPr>
          <w:rFonts w:ascii="Cambria" w:hAnsi="Cambria" w:eastAsia="Cambria" w:cs="Cambria"/>
          <w:b/>
          <w:b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240" w:after="200"/>
        <w:ind w:left="0" w:right="0" w:hanging="0"/>
        <w:jc w:val="right"/>
        <w:rPr>
          <w:rFonts w:ascii="Cambria" w:hAnsi="Cambria" w:eastAsia="Cambria" w:cs="Cambria"/>
          <w:b/>
          <w:b/>
          <w:i/>
          <w:i/>
          <w:color w:val="auto"/>
          <w:spacing w:val="0"/>
          <w:sz w:val="20"/>
          <w:shd w:fill="auto" w:val="clear"/>
        </w:rPr>
      </w:pPr>
      <w:r>
        <w:rPr>
          <w:rFonts w:eastAsia="Cambria" w:cs="Cambria" w:ascii="Cambria" w:hAnsi="Cambria"/>
          <w:b/>
          <w:i/>
          <w:color w:val="000000"/>
          <w:spacing w:val="0"/>
          <w:sz w:val="20"/>
          <w:shd w:fill="auto" w:val="clear"/>
        </w:rPr>
        <w:t>Koniec dokumentu</w:t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mbria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2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LibreOffice/7.0.3.1$Windows_X86_64 LibreOffice_project/d7547858d014d4cf69878db179d326fc3483e082</Application>
  <Pages>5</Pages>
  <Words>707</Words>
  <Characters>4496</Characters>
  <CharactersWithSpaces>5119</CharactersWithSpaces>
  <Paragraphs>133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2021-06-30T10:59:21Z</dcterms:modified>
  <cp:revision>1</cp:revision>
  <dc:subject/>
  <dc:title/>
</cp:coreProperties>
</file>