
<file path=[Content_Types].xml><?xml version="1.0" encoding="utf-8"?>
<Types xmlns="http://schemas.openxmlformats.org/package/2006/content-types">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DD357C" w:rsidRDefault="00DD357C"/>
    <w:p w14:paraId="00000002" w14:textId="77777777" w:rsidR="00DD357C" w:rsidRDefault="00DD357C"/>
    <w:p w14:paraId="00000003" w14:textId="77777777" w:rsidR="00DD357C" w:rsidRDefault="00DD357C">
      <w:pPr>
        <w:pStyle w:val="Heading1"/>
        <w:rPr>
          <w:color w:val="000000"/>
          <w:sz w:val="52"/>
          <w:szCs w:val="52"/>
        </w:rPr>
      </w:pPr>
    </w:p>
    <w:p w14:paraId="00000004" w14:textId="77777777" w:rsidR="00DD357C" w:rsidRDefault="00DD357C">
      <w:pPr>
        <w:pStyle w:val="Heading1"/>
        <w:rPr>
          <w:color w:val="000000"/>
          <w:sz w:val="52"/>
          <w:szCs w:val="52"/>
        </w:rPr>
      </w:pPr>
    </w:p>
    <w:p w14:paraId="00000005" w14:textId="77777777" w:rsidR="00DD357C" w:rsidRDefault="00EE4FC8">
      <w:pPr>
        <w:pStyle w:val="Heading1"/>
        <w:jc w:val="center"/>
        <w:rPr>
          <w:sz w:val="56"/>
          <w:szCs w:val="56"/>
        </w:rPr>
      </w:pPr>
      <w:bookmarkStart w:id="0" w:name="_heading=h.gjdgxs" w:colFirst="0" w:colLast="0"/>
      <w:bookmarkEnd w:id="0"/>
      <w:r>
        <w:rPr>
          <w:sz w:val="56"/>
          <w:szCs w:val="56"/>
        </w:rPr>
        <w:t>VÝROČNÁ SPRÁVA 2020</w:t>
      </w:r>
    </w:p>
    <w:p w14:paraId="00000006" w14:textId="77777777" w:rsidR="00DD357C" w:rsidRDefault="00DD357C"/>
    <w:p w14:paraId="00000007" w14:textId="77777777" w:rsidR="00DD357C" w:rsidRDefault="00DD357C">
      <w:pPr>
        <w:spacing w:line="276" w:lineRule="auto"/>
        <w:jc w:val="left"/>
        <w:rPr>
          <w:b/>
          <w:sz w:val="56"/>
          <w:szCs w:val="56"/>
        </w:rPr>
      </w:pPr>
    </w:p>
    <w:p w14:paraId="00000008" w14:textId="77777777" w:rsidR="00DD357C" w:rsidRDefault="00DD357C">
      <w:pPr>
        <w:rPr>
          <w:b/>
          <w:color w:val="808080"/>
          <w:sz w:val="28"/>
          <w:szCs w:val="28"/>
        </w:rPr>
      </w:pPr>
    </w:p>
    <w:p w14:paraId="00000009" w14:textId="77777777" w:rsidR="00DD357C" w:rsidRDefault="00DD357C">
      <w:pPr>
        <w:rPr>
          <w:b/>
          <w:color w:val="808080"/>
          <w:sz w:val="28"/>
          <w:szCs w:val="28"/>
        </w:rPr>
      </w:pPr>
    </w:p>
    <w:p w14:paraId="0000000A" w14:textId="77777777" w:rsidR="00DD357C" w:rsidRDefault="00DD357C">
      <w:pPr>
        <w:rPr>
          <w:b/>
          <w:color w:val="808080"/>
          <w:sz w:val="28"/>
          <w:szCs w:val="28"/>
        </w:rPr>
      </w:pPr>
    </w:p>
    <w:p w14:paraId="0000000B" w14:textId="77777777" w:rsidR="00DD357C" w:rsidRDefault="00DD357C">
      <w:pPr>
        <w:rPr>
          <w:b/>
          <w:color w:val="808080"/>
          <w:sz w:val="28"/>
          <w:szCs w:val="28"/>
        </w:rPr>
      </w:pPr>
    </w:p>
    <w:p w14:paraId="0000000C" w14:textId="77777777" w:rsidR="00DD357C" w:rsidRDefault="00DD357C">
      <w:pPr>
        <w:rPr>
          <w:b/>
          <w:color w:val="808080"/>
          <w:sz w:val="28"/>
          <w:szCs w:val="28"/>
        </w:rPr>
      </w:pPr>
    </w:p>
    <w:p w14:paraId="0000000D" w14:textId="77777777" w:rsidR="00DD357C" w:rsidRDefault="00DD357C">
      <w:pPr>
        <w:rPr>
          <w:b/>
          <w:color w:val="808080"/>
          <w:sz w:val="28"/>
          <w:szCs w:val="28"/>
        </w:rPr>
      </w:pPr>
    </w:p>
    <w:p w14:paraId="0000000E" w14:textId="77777777" w:rsidR="00DD357C" w:rsidRDefault="00DD357C">
      <w:pPr>
        <w:rPr>
          <w:b/>
          <w:color w:val="808080"/>
          <w:sz w:val="28"/>
          <w:szCs w:val="28"/>
        </w:rPr>
      </w:pPr>
    </w:p>
    <w:p w14:paraId="0000000F" w14:textId="77777777" w:rsidR="00DD357C" w:rsidRDefault="00DD357C">
      <w:pPr>
        <w:rPr>
          <w:b/>
          <w:color w:val="808080"/>
          <w:sz w:val="28"/>
          <w:szCs w:val="28"/>
        </w:rPr>
      </w:pPr>
    </w:p>
    <w:p w14:paraId="00000010" w14:textId="77777777" w:rsidR="00DD357C" w:rsidRDefault="00DD357C">
      <w:pPr>
        <w:rPr>
          <w:b/>
          <w:color w:val="808080"/>
          <w:sz w:val="28"/>
          <w:szCs w:val="28"/>
        </w:rPr>
      </w:pPr>
    </w:p>
    <w:p w14:paraId="00000011" w14:textId="77777777" w:rsidR="00DD357C" w:rsidRDefault="00DD357C">
      <w:pPr>
        <w:rPr>
          <w:b/>
          <w:color w:val="808080"/>
          <w:sz w:val="28"/>
          <w:szCs w:val="28"/>
        </w:rPr>
      </w:pPr>
    </w:p>
    <w:p w14:paraId="00000012" w14:textId="77777777" w:rsidR="00DD357C" w:rsidRDefault="00EE4FC8">
      <w:pPr>
        <w:rPr>
          <w:b/>
          <w:color w:val="808080"/>
          <w:sz w:val="28"/>
          <w:szCs w:val="28"/>
        </w:rPr>
      </w:pPr>
      <w:r>
        <w:rPr>
          <w:b/>
          <w:color w:val="808080"/>
          <w:sz w:val="28"/>
          <w:szCs w:val="28"/>
        </w:rPr>
        <w:t>OBSAH VÝROČNEJ SPRÁVY ZA ROK 2020</w:t>
      </w:r>
    </w:p>
    <w:p w14:paraId="00000013" w14:textId="77777777" w:rsidR="00DD357C" w:rsidRDefault="00EE4FC8">
      <w:pPr>
        <w:keepNext/>
        <w:keepLines/>
        <w:pBdr>
          <w:top w:val="nil"/>
          <w:left w:val="nil"/>
          <w:bottom w:val="nil"/>
          <w:right w:val="nil"/>
          <w:between w:val="nil"/>
        </w:pBdr>
        <w:spacing w:before="480" w:after="0" w:line="276" w:lineRule="auto"/>
        <w:jc w:val="left"/>
        <w:rPr>
          <w:rFonts w:ascii="Cambria" w:eastAsia="Cambria" w:hAnsi="Cambria" w:cs="Cambria"/>
          <w:b/>
          <w:color w:val="000000"/>
          <w:sz w:val="28"/>
          <w:szCs w:val="28"/>
        </w:rPr>
      </w:pPr>
      <w:r>
        <w:rPr>
          <w:rFonts w:ascii="Cambria" w:eastAsia="Cambria" w:hAnsi="Cambria" w:cs="Cambria"/>
          <w:b/>
          <w:color w:val="000000"/>
          <w:sz w:val="28"/>
          <w:szCs w:val="28"/>
        </w:rPr>
        <w:t>Obsah</w:t>
      </w:r>
    </w:p>
    <w:p w14:paraId="00000014" w14:textId="77777777" w:rsidR="00DD357C" w:rsidRDefault="00DD357C"/>
    <w:sdt>
      <w:sdtPr>
        <w:id w:val="520521776"/>
        <w:docPartObj>
          <w:docPartGallery w:val="Table of Contents"/>
          <w:docPartUnique/>
        </w:docPartObj>
      </w:sdtPr>
      <w:sdtEndPr/>
      <w:sdtContent>
        <w:p w14:paraId="00000015" w14:textId="77777777" w:rsidR="00DD357C" w:rsidRDefault="00EE4FC8">
          <w:pPr>
            <w:pBdr>
              <w:top w:val="nil"/>
              <w:left w:val="nil"/>
              <w:bottom w:val="nil"/>
              <w:right w:val="nil"/>
              <w:between w:val="nil"/>
            </w:pBdr>
            <w:tabs>
              <w:tab w:val="right" w:pos="8777"/>
            </w:tabs>
            <w:spacing w:after="100"/>
            <w:rPr>
              <w:rFonts w:ascii="Calibri" w:eastAsia="Calibri" w:hAnsi="Calibri" w:cs="Calibri"/>
              <w:color w:val="000000"/>
              <w:sz w:val="22"/>
              <w:szCs w:val="22"/>
            </w:rPr>
          </w:pPr>
          <w:r>
            <w:fldChar w:fldCharType="begin"/>
          </w:r>
          <w:r>
            <w:instrText xml:space="preserve"> TOC \h \u \z </w:instrText>
          </w:r>
          <w:r>
            <w:fldChar w:fldCharType="separate"/>
          </w:r>
          <w:hyperlink w:anchor="_heading=h.gjdgxs">
            <w:r>
              <w:rPr>
                <w:color w:val="000000"/>
              </w:rPr>
              <w:t>VÝROČNÁ SPRÁVA 2020</w:t>
            </w:r>
          </w:hyperlink>
        </w:p>
        <w:p w14:paraId="00000016"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30j0zll">
            <w:r w:rsidR="00EE4FC8">
              <w:rPr>
                <w:color w:val="000000"/>
              </w:rPr>
              <w:t>PREDSTAVENIE SPOLOČNOSTI</w:t>
            </w:r>
            <w:r w:rsidR="00EE4FC8">
              <w:rPr>
                <w:color w:val="000000"/>
              </w:rPr>
              <w:tab/>
              <w:t>III</w:t>
            </w:r>
          </w:hyperlink>
        </w:p>
        <w:p w14:paraId="00000017"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1fob9te">
            <w:r w:rsidR="00EE4FC8">
              <w:rPr>
                <w:color w:val="000000"/>
              </w:rPr>
              <w:t>ÚVODNÉ SLOVO KONATEĽA SPOLOČNOSTI</w:t>
            </w:r>
            <w:r w:rsidR="00EE4FC8">
              <w:rPr>
                <w:color w:val="000000"/>
              </w:rPr>
              <w:tab/>
              <w:t>IV</w:t>
            </w:r>
          </w:hyperlink>
        </w:p>
        <w:p w14:paraId="00000018"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3znysh7">
            <w:r w:rsidR="00EE4FC8">
              <w:rPr>
                <w:color w:val="000000"/>
              </w:rPr>
              <w:t>PREHĽAD PODNIKATEĽSKÝCH AKTIVÍT</w:t>
            </w:r>
            <w:r w:rsidR="00EE4FC8">
              <w:rPr>
                <w:color w:val="000000"/>
              </w:rPr>
              <w:tab/>
              <w:t>VI</w:t>
            </w:r>
          </w:hyperlink>
        </w:p>
        <w:p w14:paraId="00000019"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2et92p0">
            <w:r w:rsidR="00EE4FC8">
              <w:rPr>
                <w:color w:val="000000"/>
              </w:rPr>
              <w:t>HOSPODÁRENIE SPOLOČNOSTI</w:t>
            </w:r>
            <w:r w:rsidR="00EE4FC8">
              <w:rPr>
                <w:color w:val="000000"/>
              </w:rPr>
              <w:tab/>
              <w:t>VI</w:t>
            </w:r>
          </w:hyperlink>
        </w:p>
        <w:p w14:paraId="0000001A"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4d34og8">
            <w:r w:rsidR="00EE4FC8">
              <w:rPr>
                <w:color w:val="000000"/>
              </w:rPr>
              <w:t>VÝVOJ VYBRANÝCH FINANČNÝCH UKAZOVATEĽOV</w:t>
            </w:r>
            <w:r w:rsidR="00EE4FC8">
              <w:rPr>
                <w:color w:val="000000"/>
              </w:rPr>
              <w:tab/>
            </w:r>
          </w:hyperlink>
          <w:r w:rsidR="00EE4FC8">
            <w:rPr>
              <w:color w:val="000000"/>
            </w:rPr>
            <w:t>IX</w:t>
          </w:r>
        </w:p>
        <w:p w14:paraId="0000001B" w14:textId="77777777" w:rsidR="00DD357C" w:rsidRDefault="004B3E87">
          <w:pPr>
            <w:pBdr>
              <w:top w:val="nil"/>
              <w:left w:val="nil"/>
              <w:bottom w:val="nil"/>
              <w:right w:val="nil"/>
              <w:between w:val="nil"/>
            </w:pBdr>
            <w:tabs>
              <w:tab w:val="right" w:pos="8777"/>
            </w:tabs>
            <w:spacing w:after="100"/>
            <w:rPr>
              <w:rFonts w:ascii="Calibri" w:eastAsia="Calibri" w:hAnsi="Calibri" w:cs="Calibri"/>
              <w:color w:val="000000"/>
              <w:sz w:val="22"/>
              <w:szCs w:val="22"/>
            </w:rPr>
          </w:pPr>
          <w:hyperlink w:anchor="_heading=h.1t3h5sf">
            <w:r w:rsidR="00EE4FC8">
              <w:rPr>
                <w:color w:val="000000"/>
              </w:rPr>
              <w:t>STRATÉGIA SPOLOČNOSTI</w:t>
            </w:r>
            <w:r w:rsidR="00EE4FC8">
              <w:rPr>
                <w:color w:val="000000"/>
              </w:rPr>
              <w:tab/>
              <w:t>XI</w:t>
            </w:r>
          </w:hyperlink>
          <w:r w:rsidR="00EE4FC8">
            <w:rPr>
              <w:color w:val="000000"/>
            </w:rPr>
            <w:t>I</w:t>
          </w:r>
        </w:p>
        <w:p w14:paraId="0000001C" w14:textId="77777777" w:rsidR="00DD357C" w:rsidRDefault="00EE4FC8">
          <w:pPr>
            <w:rPr>
              <w:b/>
            </w:rPr>
          </w:pPr>
          <w:r>
            <w:fldChar w:fldCharType="end"/>
          </w:r>
        </w:p>
      </w:sdtContent>
    </w:sdt>
    <w:p w14:paraId="0000001D" w14:textId="77777777" w:rsidR="00DD357C" w:rsidRDefault="00DD357C"/>
    <w:p w14:paraId="0000001E" w14:textId="77777777" w:rsidR="00DD357C" w:rsidRDefault="00DD357C"/>
    <w:p w14:paraId="37162E1B" w14:textId="68F39D72" w:rsidR="00D87EF2" w:rsidRDefault="00D87EF2">
      <w:pPr>
        <w:spacing w:line="276" w:lineRule="auto"/>
        <w:jc w:val="left"/>
        <w:rPr>
          <w:b/>
          <w:color w:val="808080"/>
          <w:sz w:val="28"/>
          <w:szCs w:val="28"/>
        </w:rPr>
      </w:pPr>
    </w:p>
    <w:p w14:paraId="64EBFDDF" w14:textId="4C773D96" w:rsidR="00D87EF2" w:rsidRDefault="00D87EF2">
      <w:pPr>
        <w:spacing w:line="276" w:lineRule="auto"/>
        <w:jc w:val="left"/>
        <w:rPr>
          <w:b/>
          <w:color w:val="808080"/>
          <w:sz w:val="28"/>
          <w:szCs w:val="28"/>
        </w:rPr>
      </w:pPr>
    </w:p>
    <w:p w14:paraId="15827AB6" w14:textId="49AA5C14" w:rsidR="00D87EF2" w:rsidRDefault="00D87EF2">
      <w:pPr>
        <w:spacing w:line="276" w:lineRule="auto"/>
        <w:jc w:val="left"/>
        <w:rPr>
          <w:b/>
          <w:color w:val="808080"/>
          <w:sz w:val="28"/>
          <w:szCs w:val="28"/>
        </w:rPr>
      </w:pPr>
    </w:p>
    <w:p w14:paraId="279B3B71" w14:textId="09441F2B" w:rsidR="00D87EF2" w:rsidRDefault="00D87EF2">
      <w:pPr>
        <w:spacing w:line="276" w:lineRule="auto"/>
        <w:jc w:val="left"/>
        <w:rPr>
          <w:b/>
          <w:color w:val="808080"/>
          <w:sz w:val="28"/>
          <w:szCs w:val="28"/>
        </w:rPr>
      </w:pPr>
    </w:p>
    <w:p w14:paraId="156C622E" w14:textId="79FF42F8" w:rsidR="00D87EF2" w:rsidRDefault="00D87EF2">
      <w:pPr>
        <w:spacing w:line="276" w:lineRule="auto"/>
        <w:jc w:val="left"/>
        <w:rPr>
          <w:b/>
          <w:color w:val="808080"/>
          <w:sz w:val="28"/>
          <w:szCs w:val="28"/>
        </w:rPr>
      </w:pPr>
    </w:p>
    <w:p w14:paraId="50B91024" w14:textId="77777777" w:rsidR="00D87EF2" w:rsidRDefault="00D87EF2">
      <w:pPr>
        <w:spacing w:line="276" w:lineRule="auto"/>
        <w:jc w:val="left"/>
        <w:rPr>
          <w:b/>
          <w:sz w:val="56"/>
          <w:szCs w:val="56"/>
        </w:rPr>
      </w:pPr>
    </w:p>
    <w:p w14:paraId="00000020" w14:textId="77777777" w:rsidR="00DD357C" w:rsidRDefault="00DD357C" w:rsidP="00F51465">
      <w:pPr>
        <w:spacing w:line="276" w:lineRule="auto"/>
        <w:jc w:val="left"/>
        <w:rPr>
          <w:b/>
          <w:color w:val="808080"/>
          <w:sz w:val="28"/>
          <w:szCs w:val="28"/>
        </w:rPr>
      </w:pPr>
    </w:p>
    <w:p w14:paraId="00000021" w14:textId="77777777" w:rsidR="00DD357C" w:rsidRDefault="00EE4FC8">
      <w:pPr>
        <w:pStyle w:val="Heading2"/>
      </w:pPr>
      <w:bookmarkStart w:id="1" w:name="_heading=h.30j0zll" w:colFirst="0" w:colLast="0"/>
      <w:bookmarkEnd w:id="1"/>
      <w:r>
        <w:lastRenderedPageBreak/>
        <w:t>PREDSTAVENIE SPOLOČNOSTI</w:t>
      </w:r>
    </w:p>
    <w:p w14:paraId="00000022" w14:textId="77777777" w:rsidR="00DD357C" w:rsidRDefault="00DD357C"/>
    <w:p w14:paraId="00000023" w14:textId="49AB6B40" w:rsidR="00DD357C" w:rsidRDefault="004B3E87">
      <w:sdt>
        <w:sdtPr>
          <w:tag w:val="goog_rdk_0"/>
          <w:id w:val="-384256732"/>
        </w:sdtPr>
        <w:sdtEndPr/>
        <w:sdtContent/>
      </w:sdt>
      <w:r w:rsidR="00EE4FC8">
        <w:t xml:space="preserve">Spoločnosť </w:t>
      </w:r>
      <w:proofErr w:type="spellStart"/>
      <w:r w:rsidR="00EE4FC8">
        <w:t>STAROPRAMEN</w:t>
      </w:r>
      <w:proofErr w:type="spellEnd"/>
      <w:r w:rsidR="00EE4FC8">
        <w:t xml:space="preserve">-SLOVAKIA </w:t>
      </w:r>
      <w:proofErr w:type="spellStart"/>
      <w:r w:rsidR="00EE4FC8">
        <w:t>s.r.o</w:t>
      </w:r>
      <w:proofErr w:type="spellEnd"/>
      <w:r w:rsidR="00EE4FC8">
        <w:t>. pôsobí na slovenskom trhu od Decembra 1995. Zakladateľom spoločnosti a jej 100% vlastníkom je spoločnosť Pivovary Staropramen s.r.o., so sídlom Nádražní 84, 150 84  Praha 5. Spoločnosť Pivovary Staropramen je súčasťou skupiny Molson Coors Beverage Company, ktorá pôsobí vo viac ako 140 krajinách a je jednou z najväčších nápojarských spoločností na svete.</w:t>
      </w:r>
    </w:p>
    <w:p w14:paraId="1A64E377" w14:textId="77777777" w:rsidR="00F13D55" w:rsidRPr="00F51465" w:rsidRDefault="00F13D55" w:rsidP="00F13D55">
      <w:r w:rsidRPr="00F51465">
        <w:t>V roku 2021 bude spoločnosť Staropramen Slovakia naďalej čeliť zložitej situácii na trhu HoReCa kde v dôsledku pretrvávajúcich pandemických opatrení, súviasiacich s pandemiou COVID 19, sú naďalej zatvorené skoro všetky prevádzky HoReCa/zákazníci Staropramen - Slovakia, ktoré nemalou mierou prispievajú v čase normálneho fungovania k naplňovaniu cieľov v oblasti ziskovosti a cash flow spoločnosti Staropramen Slovakia. V dôsledku výpadku skoro 80% tržieb bežne dosahovaných v predajnom kanále HoReCa, ktoré nie sú celkom nahradené rastom tržieb dosahovaných v kanále retail a vzhľadom k faktu, že je ešte stále nejasná stratégia Slovenskej Republiky v oblasti uvoľňovania reštrikčných opatrení v segmente HoReCa a návratu na „nový normál“ v tejto oblasti, toto riziko nedosiahnutia plánovanej ziskovosti a cash flow, klasifikujeme ako veľmi vysoké.</w:t>
      </w:r>
    </w:p>
    <w:p w14:paraId="00000024" w14:textId="77777777" w:rsidR="00DD357C" w:rsidRDefault="00EE4FC8">
      <w:r>
        <w:t>Hlavným predmetom činnosti spoločnosti STAROPRAMEN-SLOVAKIA s.r.o. je kúpa tovaru za účelom jeho predaja konečnému spotrebiteľovi.</w:t>
      </w:r>
    </w:p>
    <w:p w14:paraId="00000025" w14:textId="44F5C01F" w:rsidR="00DD357C" w:rsidRDefault="00EE4FC8">
      <w:r>
        <w:t>Spoločnosť sa zaoberá predajom značkového piva Staropramen, Braník, Velvet, regionálnych značiek Ostravar, Mustang, ako i ochutených a nepivných značky Cool. Portfólio dopĺňajú belgické pivné špeciály - značky Stella Artois, Hoegaarden, Leffe, mexický ležiak Corona Extra a americké pivo Miller Genuine Draft. V roku 2020 do</w:t>
      </w:r>
      <w:r w:rsidR="00951C2A">
        <w:t> </w:t>
      </w:r>
      <w:proofErr w:type="spellStart"/>
      <w:r>
        <w:t>portfolia</w:t>
      </w:r>
      <w:proofErr w:type="spellEnd"/>
      <w:r>
        <w:t xml:space="preserve"> pribudli značky Pardubického pivovaru – Pernštejn, Porter, Taxis a Limi.</w:t>
      </w:r>
    </w:p>
    <w:p w14:paraId="00000026" w14:textId="0CC2D106" w:rsidR="00DD357C" w:rsidRDefault="00EE4FC8">
      <w:r>
        <w:t>Na slovenskom trhu sa s týmito značkami zákazníci môžu stretnúť v ponuke lokálnych</w:t>
      </w:r>
      <w:r>
        <w:br/>
        <w:t xml:space="preserve">a medzinárodných reťazcov (Retail – sieť Maloobchodných prevádzok), v zmluvných reštauráciách a v ďalších vybraných prevádzkach, hostincoch a baroch (HoReCa = Hotel – </w:t>
      </w:r>
      <w:proofErr w:type="spellStart"/>
      <w:r>
        <w:t>Restaurant</w:t>
      </w:r>
      <w:proofErr w:type="spellEnd"/>
      <w:r>
        <w:t xml:space="preserve"> - </w:t>
      </w:r>
      <w:proofErr w:type="spellStart"/>
      <w:r>
        <w:t>Caffe</w:t>
      </w:r>
      <w:proofErr w:type="spellEnd"/>
      <w:r>
        <w:t>).</w:t>
      </w:r>
    </w:p>
    <w:p w14:paraId="28D9865C" w14:textId="445897A7" w:rsidR="00135B74" w:rsidRDefault="00135B74">
      <w:r>
        <w:lastRenderedPageBreak/>
        <w:t>Spoločnosť a jej výrobky nemajú negatívny dopad na životné prostredie.</w:t>
      </w:r>
    </w:p>
    <w:p w14:paraId="696B1314" w14:textId="77777777" w:rsidR="003B2120" w:rsidRDefault="003B2120" w:rsidP="003B2120">
      <w:r>
        <w:t xml:space="preserve">Spokojný zamestnanec je cieľom každého zamestnávateľa, pretože je to zamestnanec, ktorého práca napĺňa a vykonáva ju s radosťou. Aj z tohto </w:t>
      </w:r>
      <w:proofErr w:type="spellStart"/>
      <w:r>
        <w:t>dôvodou</w:t>
      </w:r>
      <w:proofErr w:type="spellEnd"/>
      <w:r>
        <w:t>, starostlivosti o našich zamestnancov venuje naša Spoločnosť mimoriadnu pozornosť. Odráža sa to taktiež v nových firemných hodnotách, kde jednou z nich je “Ľudia na prvom mieste”.</w:t>
      </w:r>
    </w:p>
    <w:p w14:paraId="4B5AC3E0" w14:textId="77777777" w:rsidR="003B2120" w:rsidRDefault="003B2120" w:rsidP="003B2120">
      <w:r>
        <w:t xml:space="preserve">Našim zamestnancov poskytujeme zdravé a bezpečné prostredie pre prácu, podporujeme ich vzdelávanie a ponúkame im možnosť kariérneho rastu. Môžeme sa pochváliť veľkým množstvom dlhoročných </w:t>
      </w:r>
      <w:proofErr w:type="spellStart"/>
      <w:r>
        <w:t>zamestnnacov</w:t>
      </w:r>
      <w:proofErr w:type="spellEnd"/>
      <w:r>
        <w:t xml:space="preserve"> a taktiež zdravotne ťažko postihnutých zamestnancov. V pracovných tímoch sú zastúpené rôzne ekonomicky aktívne či vekové skupiny a rovnako veľký podiel žien, ktorý je pre pivovarnícku spoločnosť netradičný.</w:t>
      </w:r>
    </w:p>
    <w:p w14:paraId="06701C47" w14:textId="77777777" w:rsidR="003B2120" w:rsidRDefault="003B2120" w:rsidP="003B2120">
      <w:r>
        <w:t>O svojich zamestnancov sa Spoločnosť dokázala postarať aj v bezprecedentnej situácii “</w:t>
      </w:r>
      <w:proofErr w:type="spellStart"/>
      <w:r>
        <w:t>koronavírusového</w:t>
      </w:r>
      <w:proofErr w:type="spellEnd"/>
      <w:r>
        <w:t xml:space="preserve">” roku, kde nákupom a poskytnutím ochranných pomôcok zaistila ochranu pred vírusom. Väčšia časť zamestnancov, ktorým to umožňovala pracovná náplň, sa presunula na prácu z </w:t>
      </w:r>
      <w:proofErr w:type="spellStart"/>
      <w:r>
        <w:t>home</w:t>
      </w:r>
      <w:proofErr w:type="spellEnd"/>
      <w:r>
        <w:t xml:space="preserve"> </w:t>
      </w:r>
      <w:proofErr w:type="spellStart"/>
      <w:r>
        <w:t>office</w:t>
      </w:r>
      <w:proofErr w:type="spellEnd"/>
      <w:r>
        <w:t>. Školenia prebiehali on-line formou a pracovníkom bola dostupná taktiež psychologická linka. Aj napriek komplikovanému roku sa Spoločnosť v súvislosti s Covid-19 nemusela uchýliť k prepúšťaniu zamestnancov.</w:t>
      </w:r>
    </w:p>
    <w:p w14:paraId="22D42138" w14:textId="77777777" w:rsidR="003B2120" w:rsidRDefault="003B2120" w:rsidP="003B2120">
      <w:r>
        <w:t xml:space="preserve">Spoločnosť </w:t>
      </w:r>
      <w:proofErr w:type="spellStart"/>
      <w:r>
        <w:t>svojíc</w:t>
      </w:r>
      <w:bookmarkStart w:id="2" w:name="_GoBack"/>
      <w:bookmarkEnd w:id="2"/>
      <w:r>
        <w:t>h</w:t>
      </w:r>
      <w:proofErr w:type="spellEnd"/>
      <w:r>
        <w:t xml:space="preserve"> zamestnancov </w:t>
      </w:r>
      <w:proofErr w:type="spellStart"/>
      <w:r>
        <w:t>pravidene</w:t>
      </w:r>
      <w:proofErr w:type="spellEnd"/>
      <w:r>
        <w:t xml:space="preserve"> informuje o finančných a predajných výsledkoch. </w:t>
      </w:r>
    </w:p>
    <w:p w14:paraId="15BEC926" w14:textId="77777777" w:rsidR="003B2120" w:rsidRDefault="003B2120"/>
    <w:p w14:paraId="0747A739" w14:textId="77777777" w:rsidR="00135B74" w:rsidRDefault="00135B74"/>
    <w:p w14:paraId="1F7ECB0A" w14:textId="5E4009DC" w:rsidR="00DD357C" w:rsidRDefault="005E6075">
      <w:r>
        <w:br w:type="page"/>
      </w:r>
    </w:p>
    <w:p w14:paraId="0000002B" w14:textId="77777777" w:rsidR="00DD357C" w:rsidRDefault="00EE4FC8" w:rsidP="00F51465">
      <w:pPr>
        <w:spacing w:line="276" w:lineRule="auto"/>
        <w:jc w:val="left"/>
      </w:pPr>
      <w:bookmarkStart w:id="3" w:name="_heading=h.1fob9te" w:colFirst="0" w:colLast="0"/>
      <w:bookmarkEnd w:id="3"/>
      <w:r>
        <w:lastRenderedPageBreak/>
        <w:t>ÚVODNÉ SLOVO KONATEĽA SPOLOČNOSTI</w:t>
      </w:r>
    </w:p>
    <w:p w14:paraId="0000002C" w14:textId="77777777" w:rsidR="00DD357C" w:rsidRDefault="00DD357C" w:rsidP="00F51465">
      <w:pPr>
        <w:spacing w:after="0"/>
        <w:jc w:val="left"/>
      </w:pPr>
    </w:p>
    <w:p w14:paraId="0000002D" w14:textId="77777777" w:rsidR="00DD357C" w:rsidRDefault="00EE4FC8">
      <w:pPr>
        <w:jc w:val="left"/>
      </w:pPr>
      <w:r>
        <w:t>Vážení priatelia,</w:t>
      </w:r>
    </w:p>
    <w:p w14:paraId="0000002E" w14:textId="77777777" w:rsidR="00DD357C" w:rsidRDefault="00EE4FC8">
      <w:bookmarkStart w:id="4" w:name="_Hlk69216409"/>
      <w:r>
        <w:t xml:space="preserve">V mimoriadne náročnom roku 2020 sme zaznamenali,  v porovnaní s minulým rokom, zlepšené predajné výsledky a posilnenie postavenia spoločnosti STAROPRAMEN-SLOVAKIA s.r.o. na slovenskom trhu piva. </w:t>
      </w:r>
      <w:bookmarkEnd w:id="4"/>
      <w:r>
        <w:t>K nárastu predaja prispel predajný kanál lokálnych a  medzinárodných maloobchodných reťazcov, ktorý viac ako vykompenzoval výrazný pokles predaja v zmluvných reštauráciách a v ďalších vybraných prevádzkach, hostincoch a baroch segmentu HoReCa spôsobený pandemickými opatreniami v súvislosti s ochorením Covid 19.</w:t>
      </w:r>
    </w:p>
    <w:p w14:paraId="0000002F" w14:textId="3DF723FC" w:rsidR="00DD357C" w:rsidRDefault="00EE4FC8">
      <w:r>
        <w:t>Pandemické opatrenia v súvislosti s ochorením Covid 19 bol</w:t>
      </w:r>
      <w:r w:rsidR="000F74F7">
        <w:t>i</w:t>
      </w:r>
      <w:r>
        <w:t xml:space="preserve"> zároveň najvýraznejší externý vplyv celého roku 2020, keď </w:t>
      </w:r>
      <w:r w:rsidR="000F74F7">
        <w:t xml:space="preserve">bol </w:t>
      </w:r>
      <w:r>
        <w:t>takmer pol roka skoro úplne obmedzený predaj čapovaného piva v zariadeniach HoReCa</w:t>
      </w:r>
      <w:r w:rsidR="000F74F7">
        <w:t xml:space="preserve">. V predajnom kanáli HoReCa sme kvôli týmto okolnostiam zaznamenali negatívny vplyv na celkových predajoch aj profitabilite. </w:t>
      </w:r>
    </w:p>
    <w:p w14:paraId="00000030" w14:textId="5FCB19A8" w:rsidR="00DD357C" w:rsidRDefault="00EE4FC8">
      <w:r>
        <w:t xml:space="preserve">Odlišnú dynamiku vývoja vykazovali predaje v predajnom kanále lokálnych a </w:t>
      </w:r>
      <w:r w:rsidR="00951C2A">
        <w:t> </w:t>
      </w:r>
      <w:r>
        <w:t xml:space="preserve">medzinárodných maloobchodných reťazcov, kde dobrá hlavná letná sezóna, ktorá mala vysoko pozitívny vplyv na predaj piva, však len sčasti nahradila výpadok predaja v predajnom kanále HoReCa spôsobený pandemickými opatreniami v súvislosti s ochorením Covid 19. . </w:t>
      </w:r>
    </w:p>
    <w:p w14:paraId="00000031" w14:textId="77777777" w:rsidR="00DD357C" w:rsidRDefault="00EE4FC8">
      <w:pPr>
        <w:rPr>
          <w:highlight w:val="yellow"/>
        </w:rPr>
      </w:pPr>
      <w:r>
        <w:t>V rámci mimoriadne náročného roku 2020 však treba tiež spomenúť aj pozitívne vplyvy, medzi ktorými hrá prím pokračovanie vo zvyšovaní autentickej identity hlavnej značky z portfólia spoločnosti – značky STAROPRAMEN, ktorá sa kontinuálne posúva medzi predstaviteľov prémiových pivných značiek na slovenskom trhu piva, rozširovanie ponuky o značky BRANÍK, OSTRAVAR, MUSTANG, PERNŠTEJN, PORTER, TAXIS a LIMI, ako i predaj limitovaných várok pív v rámci programu Špeciály zo Spilky.</w:t>
      </w:r>
    </w:p>
    <w:p w14:paraId="00000032" w14:textId="77777777" w:rsidR="00DD357C" w:rsidRDefault="00EE4FC8">
      <w:r>
        <w:t xml:space="preserve">Úspešne sa rozvíjal aj predaj našich ostatných značiek – ide najmä o portfólio belgických špeciálov Stella Artois, Hoegaarden a Leffe. Osobitne by som vyzdvihol značku Corona Extra, ktorej sa minulý rok darilo nad očakávania. Prémiový trh zaznamenal aj v náročnom </w:t>
      </w:r>
      <w:r>
        <w:lastRenderedPageBreak/>
        <w:t xml:space="preserve">pandemickom roku rast a tým sa opäť dokázalo opodstatnenie prémiových značiek v rámci nášho portfólia produktov. </w:t>
      </w:r>
    </w:p>
    <w:p w14:paraId="00000033" w14:textId="77777777" w:rsidR="00DD357C" w:rsidRDefault="00EE4FC8">
      <w:r>
        <w:t>Záverom by som sa veľmi rád poďakoval všetkým zákazníkom, obchodným partnerom a zamestnancom STAROPRAMEN-SLOVAKIA s.r.o. Iba vďaka vám naša spoločnosť napriek negatívnemu vývoju trhu spôsobenom pandemickými opatreniami v súvislosti s ochorením Covid 19, ktoré sa nepriaznivo dotkli trhu HoReCa, pokračuje v neustálom skvalitňovaní našich snažení v oblasti prinášania skvelých produktov a s nimi spojených zážitkov našim spotrebiteľom.</w:t>
      </w:r>
    </w:p>
    <w:p w14:paraId="00000034" w14:textId="77777777" w:rsidR="00DD357C" w:rsidRDefault="00DD357C">
      <w:pPr>
        <w:rPr>
          <w:highlight w:val="yellow"/>
        </w:rPr>
      </w:pPr>
    </w:p>
    <w:p w14:paraId="25F725E4" w14:textId="77777777" w:rsidR="00951C2A" w:rsidRDefault="00951C2A">
      <w:pPr>
        <w:tabs>
          <w:tab w:val="left" w:pos="6237"/>
        </w:tabs>
      </w:pPr>
    </w:p>
    <w:p w14:paraId="00000037" w14:textId="0DA41CD9" w:rsidR="00DD357C" w:rsidRDefault="00EE4FC8">
      <w:pPr>
        <w:tabs>
          <w:tab w:val="left" w:pos="6237"/>
        </w:tabs>
      </w:pPr>
      <w:r>
        <w:t>Ing. Štefan Finta</w:t>
      </w:r>
    </w:p>
    <w:p w14:paraId="00000038" w14:textId="6BF36A00" w:rsidR="00DD357C" w:rsidRDefault="00EE4FC8">
      <w:r>
        <w:t>Konateľ</w:t>
      </w:r>
    </w:p>
    <w:p w14:paraId="00000039" w14:textId="7436728A" w:rsidR="00DD357C" w:rsidRDefault="00EE4FC8">
      <w:proofErr w:type="spellStart"/>
      <w:r>
        <w:t>STAROPRAMEN</w:t>
      </w:r>
      <w:proofErr w:type="spellEnd"/>
      <w:r>
        <w:t xml:space="preserve">-SLOVAKIA  </w:t>
      </w:r>
      <w:proofErr w:type="spellStart"/>
      <w:r>
        <w:t>s.r.o</w:t>
      </w:r>
      <w:proofErr w:type="spellEnd"/>
      <w:r>
        <w:t>.</w:t>
      </w:r>
    </w:p>
    <w:p w14:paraId="0000003A" w14:textId="77777777" w:rsidR="00DD357C" w:rsidRDefault="00DD357C">
      <w:pPr>
        <w:ind w:left="4248" w:firstLine="708"/>
        <w:jc w:val="center"/>
      </w:pPr>
    </w:p>
    <w:p w14:paraId="0000003B" w14:textId="77777777" w:rsidR="00DD357C" w:rsidRDefault="00DD357C">
      <w:pPr>
        <w:ind w:left="4248" w:firstLine="708"/>
        <w:jc w:val="center"/>
      </w:pPr>
    </w:p>
    <w:p w14:paraId="0000003C" w14:textId="77777777" w:rsidR="00DD357C" w:rsidRDefault="00EE4FC8">
      <w:pPr>
        <w:spacing w:line="276" w:lineRule="auto"/>
        <w:jc w:val="left"/>
      </w:pPr>
      <w:bookmarkStart w:id="5" w:name="_heading=h.3znysh7" w:colFirst="0" w:colLast="0"/>
      <w:bookmarkEnd w:id="5"/>
      <w:r>
        <w:br w:type="page"/>
      </w:r>
    </w:p>
    <w:p w14:paraId="0000003D" w14:textId="77777777" w:rsidR="00DD357C" w:rsidRDefault="00DD357C">
      <w:pPr>
        <w:pStyle w:val="Heading2"/>
      </w:pPr>
    </w:p>
    <w:p w14:paraId="0000003E" w14:textId="77777777" w:rsidR="00DD357C" w:rsidRDefault="00EE4FC8">
      <w:pPr>
        <w:pStyle w:val="Heading2"/>
      </w:pPr>
      <w:r>
        <w:t>PREHĽAD PODNIKATEĽSKÝCH AKTIVÍT</w:t>
      </w:r>
    </w:p>
    <w:p w14:paraId="4150CAA0" w14:textId="77777777" w:rsidR="00951C2A" w:rsidRDefault="00951C2A"/>
    <w:p w14:paraId="00000040" w14:textId="16E098C0" w:rsidR="00DD357C" w:rsidRDefault="00EE4FC8">
      <w:r>
        <w:t>Predmetom podnikania našej spoločnosti je dovoz a predaj pivných značiek z produkcie našej materskej spoločnosti Pivovary Staropramen s.r.o., rovnako tak ako predaj značiek, pre ktoré máme výhradné regionálne zastúpenie na spotrebiteľskom trhu Slovenskej republiky.</w:t>
      </w:r>
    </w:p>
    <w:p w14:paraId="00000041" w14:textId="77777777" w:rsidR="00DD357C" w:rsidRDefault="00EE4FC8">
      <w:r>
        <w:t>Nosným produktom našej spoločnosti je aj naďalej značka Staropramen, ktorá sa na celkovom obrate spoločnosti podieľa viac než 70%. Medzi naše ďalšie značky patrí Braník, Ostravar, Velvet, Cool, Mustang a belgické špeciály značiek Stella Artois, Hoegaarden, Leffe, svetoznáme pivo Corona Extra z Mexika ako aj pivo Miller Genuine Draft. V roku 2020 do portfólia pribudli značky Pardubického pivovaru – Pernštejn, Porter, Taxis a Limi.</w:t>
      </w:r>
    </w:p>
    <w:p w14:paraId="2290D884" w14:textId="67D511BD" w:rsidR="00951C2A" w:rsidRDefault="00EE4FC8" w:rsidP="00F51465">
      <w:pPr>
        <w:spacing w:after="0"/>
      </w:pPr>
      <w:r>
        <w:t>Spomínané druhy pív sú ťažiskovým sortimentom v našich zmluvných reštauráciách, ktoré zákazníci vyhľadávajú pre ich chuťovú vyváženosť v kombinácii piva s kvalitnou kuchyňou. Samozrejme nevynechávame aj ostatné prevádzky HoReCa, v ktorých sú taktiež dostupné naše prémiové pivné značky. Podobne je na tom spolupráca s významnými maloobchodnými reťazcami, kde ich zákazníci majú na výber široký repertoár našich výrobkov z pivného ako i nepivného sortimentu.</w:t>
      </w:r>
    </w:p>
    <w:p w14:paraId="50123678" w14:textId="77777777" w:rsidR="00951C2A" w:rsidRPr="00F51465" w:rsidRDefault="00951C2A" w:rsidP="00F51465">
      <w:bookmarkStart w:id="6" w:name="_heading=h.2et92p0" w:colFirst="0" w:colLast="0"/>
      <w:bookmarkEnd w:id="6"/>
    </w:p>
    <w:p w14:paraId="00000044" w14:textId="77777777" w:rsidR="00DD357C" w:rsidRDefault="00EE4FC8">
      <w:pPr>
        <w:pStyle w:val="Heading2"/>
      </w:pPr>
      <w:r>
        <w:t>HOSPODÁRENIE SPOLOČNOSTI</w:t>
      </w:r>
    </w:p>
    <w:p w14:paraId="270EB17A" w14:textId="77777777" w:rsidR="00951C2A" w:rsidRDefault="00951C2A"/>
    <w:p w14:paraId="00000046" w14:textId="109108E3" w:rsidR="00DD357C" w:rsidRDefault="00EE4FC8">
      <w:r>
        <w:t>Rok 2020 bol, z pohľadu realizovaných objemov predaja, až na odlišnú výkonnosť predajných kanálov, celkovo úspešný. Predaj v predajnom kanále maloobchodných reťazcov rástol nad očakávania, čo vzhľadom na pretrvávajúcu napätú situáciu na trhu HoReCa výrazne dopomohlo k zvýšeniu celkového výkonu spoločnosti STAROPRAMEN-SLOVAKIA s.r.o. na slovenskom trhu piva. Avšak pandemické opatrenia v súvislosti s ochorením COVID 19, najmä v predajnom kanále HoReCa, mali výrazne negatívny vplyv na profitabilitu spoločnosti STAROPRAMEN-SLOVAKIA s.r.o.</w:t>
      </w:r>
    </w:p>
    <w:p w14:paraId="00000048" w14:textId="77777777" w:rsidR="00DD357C" w:rsidRDefault="00EE4FC8">
      <w:r>
        <w:lastRenderedPageBreak/>
        <w:t>V roku 2020 zamestnávala spoločnosť STAROPRAMEN-SLOVAKIA s.r.o.  v priemere 45 zamestnancov,  čo je podobná úroveň ako v roku 2019. Tržby z predaja tovarov vzrástli v porovnaní s rokom 2019 o 0,4 % a dosiahli hodnotu viac než 20 567 tis. EUR. Spoločnosť sa počas roku 2020 sústredila na zvýšenie hodnoty značiek, najmä značky Staropramen, čo sa prejavilo v nadproporčnom raste tržného podielu v oblasti  maloobchodných reťazcov, ktorý viac ako kompenzoval mierny pokles trhového podielu na neľahkom, celkovo klesajúcom trhu HoReCa, ktorý v roku 2020 bol zosilnený pandemickými opatreniami prijatými v súvislosti s ochorením COVID 19. Trhový podiel v jednotlivých predajných kanáloch má nasledovnú tendenciu:</w:t>
      </w:r>
    </w:p>
    <w:tbl>
      <w:tblPr>
        <w:tblStyle w:val="a"/>
        <w:tblW w:w="8782" w:type="dxa"/>
        <w:tblInd w:w="-1" w:type="dxa"/>
        <w:tblLayout w:type="fixed"/>
        <w:tblLook w:val="0400" w:firstRow="0" w:lastRow="0" w:firstColumn="0" w:lastColumn="0" w:noHBand="0" w:noVBand="1"/>
      </w:tblPr>
      <w:tblGrid>
        <w:gridCol w:w="1895"/>
        <w:gridCol w:w="1377"/>
        <w:gridCol w:w="1377"/>
        <w:gridCol w:w="1378"/>
        <w:gridCol w:w="1377"/>
        <w:gridCol w:w="1378"/>
      </w:tblGrid>
      <w:tr w:rsidR="00DD357C" w14:paraId="72602963" w14:textId="77777777" w:rsidTr="00F51465">
        <w:trPr>
          <w:trHeight w:val="288"/>
        </w:trPr>
        <w:tc>
          <w:tcPr>
            <w:tcW w:w="189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0000049" w14:textId="77777777" w:rsidR="00DD357C" w:rsidRDefault="00EE4FC8" w:rsidP="00F51465">
            <w:pPr>
              <w:spacing w:before="120" w:after="0"/>
              <w:jc w:val="left"/>
              <w:rPr>
                <w:b/>
                <w:color w:val="000000"/>
                <w:sz w:val="22"/>
                <w:szCs w:val="22"/>
              </w:rPr>
            </w:pPr>
            <w:r>
              <w:rPr>
                <w:b/>
                <w:color w:val="000000"/>
              </w:rPr>
              <w:t>Trhový podiel</w:t>
            </w:r>
          </w:p>
        </w:tc>
        <w:tc>
          <w:tcPr>
            <w:tcW w:w="137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0000004A" w14:textId="77777777" w:rsidR="00DD357C" w:rsidRDefault="00EE4FC8" w:rsidP="00F51465">
            <w:pPr>
              <w:spacing w:before="120" w:after="0"/>
              <w:jc w:val="right"/>
              <w:rPr>
                <w:b/>
                <w:color w:val="000000"/>
              </w:rPr>
            </w:pPr>
            <w:r>
              <w:rPr>
                <w:b/>
                <w:color w:val="000000"/>
              </w:rPr>
              <w:t>2016</w:t>
            </w:r>
          </w:p>
        </w:tc>
        <w:tc>
          <w:tcPr>
            <w:tcW w:w="137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0000004B" w14:textId="77777777" w:rsidR="00DD357C" w:rsidRDefault="00EE4FC8" w:rsidP="00F51465">
            <w:pPr>
              <w:spacing w:before="120" w:after="0"/>
              <w:jc w:val="right"/>
              <w:rPr>
                <w:b/>
                <w:color w:val="000000"/>
              </w:rPr>
            </w:pPr>
            <w:r>
              <w:rPr>
                <w:b/>
                <w:color w:val="000000"/>
              </w:rPr>
              <w:t>2017</w:t>
            </w:r>
          </w:p>
        </w:tc>
        <w:tc>
          <w:tcPr>
            <w:tcW w:w="137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0000004C" w14:textId="77777777" w:rsidR="00DD357C" w:rsidRDefault="00EE4FC8" w:rsidP="00F51465">
            <w:pPr>
              <w:spacing w:before="120" w:after="0"/>
              <w:jc w:val="right"/>
              <w:rPr>
                <w:b/>
                <w:color w:val="000000"/>
              </w:rPr>
            </w:pPr>
            <w:r>
              <w:rPr>
                <w:b/>
                <w:color w:val="000000"/>
              </w:rPr>
              <w:t>2018</w:t>
            </w:r>
          </w:p>
        </w:tc>
        <w:tc>
          <w:tcPr>
            <w:tcW w:w="1377"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0000004D" w14:textId="77777777" w:rsidR="00DD357C" w:rsidRDefault="00EE4FC8" w:rsidP="00F51465">
            <w:pPr>
              <w:spacing w:before="120" w:after="0"/>
              <w:jc w:val="right"/>
              <w:rPr>
                <w:b/>
                <w:color w:val="000000"/>
              </w:rPr>
            </w:pPr>
            <w:r>
              <w:rPr>
                <w:b/>
                <w:color w:val="000000"/>
              </w:rPr>
              <w:t>2019</w:t>
            </w:r>
          </w:p>
        </w:tc>
        <w:tc>
          <w:tcPr>
            <w:tcW w:w="1378" w:type="dxa"/>
            <w:tcBorders>
              <w:top w:val="single" w:sz="8" w:space="0" w:color="000000"/>
              <w:left w:val="nil"/>
              <w:bottom w:val="single" w:sz="8" w:space="0" w:color="000000"/>
              <w:right w:val="single" w:sz="8" w:space="0" w:color="000000"/>
            </w:tcBorders>
            <w:vAlign w:val="center"/>
          </w:tcPr>
          <w:p w14:paraId="0000004E" w14:textId="77777777" w:rsidR="00DD357C" w:rsidRDefault="00EE4FC8" w:rsidP="00F51465">
            <w:pPr>
              <w:spacing w:before="120" w:after="0"/>
              <w:ind w:right="93"/>
              <w:jc w:val="right"/>
              <w:rPr>
                <w:b/>
                <w:color w:val="000000"/>
              </w:rPr>
            </w:pPr>
            <w:r>
              <w:rPr>
                <w:b/>
                <w:color w:val="000000"/>
              </w:rPr>
              <w:t xml:space="preserve">2020    </w:t>
            </w:r>
          </w:p>
        </w:tc>
      </w:tr>
      <w:tr w:rsidR="00DD357C" w14:paraId="6E20BEFC" w14:textId="77777777" w:rsidTr="00F51465">
        <w:trPr>
          <w:trHeight w:val="288"/>
        </w:trPr>
        <w:tc>
          <w:tcPr>
            <w:tcW w:w="18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0000004F" w14:textId="77777777" w:rsidR="00DD357C" w:rsidRDefault="00EE4FC8" w:rsidP="00F51465">
            <w:pPr>
              <w:spacing w:before="120" w:after="0"/>
              <w:jc w:val="left"/>
              <w:rPr>
                <w:color w:val="000000"/>
              </w:rPr>
            </w:pPr>
            <w:r>
              <w:rPr>
                <w:color w:val="000000"/>
              </w:rPr>
              <w:t>Retail</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0" w14:textId="77777777" w:rsidR="00DD357C" w:rsidRDefault="00EE4FC8" w:rsidP="00F51465">
            <w:pPr>
              <w:spacing w:before="120" w:after="0"/>
              <w:jc w:val="right"/>
              <w:rPr>
                <w:color w:val="000000"/>
              </w:rPr>
            </w:pPr>
            <w:r>
              <w:rPr>
                <w:color w:val="000000"/>
              </w:rPr>
              <w:t>4,1%</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1" w14:textId="77777777" w:rsidR="00DD357C" w:rsidRDefault="00EE4FC8" w:rsidP="00F51465">
            <w:pPr>
              <w:spacing w:before="120" w:after="0"/>
              <w:jc w:val="right"/>
              <w:rPr>
                <w:color w:val="000000"/>
              </w:rPr>
            </w:pPr>
            <w:r>
              <w:rPr>
                <w:color w:val="000000"/>
              </w:rPr>
              <w:t>3,3%</w:t>
            </w:r>
          </w:p>
        </w:tc>
        <w:tc>
          <w:tcPr>
            <w:tcW w:w="1378"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2" w14:textId="77777777" w:rsidR="00DD357C" w:rsidRDefault="00EE4FC8" w:rsidP="00F51465">
            <w:pPr>
              <w:spacing w:before="120" w:after="0"/>
              <w:jc w:val="right"/>
              <w:rPr>
                <w:color w:val="000000"/>
              </w:rPr>
            </w:pPr>
            <w:r>
              <w:rPr>
                <w:color w:val="000000"/>
              </w:rPr>
              <w:t>3,9%</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3" w14:textId="77777777" w:rsidR="00DD357C" w:rsidRDefault="00EE4FC8" w:rsidP="00F51465">
            <w:pPr>
              <w:spacing w:before="120" w:after="0"/>
              <w:jc w:val="right"/>
              <w:rPr>
                <w:color w:val="000000"/>
              </w:rPr>
            </w:pPr>
            <w:r>
              <w:rPr>
                <w:color w:val="000000"/>
              </w:rPr>
              <w:t>4,4%</w:t>
            </w:r>
          </w:p>
        </w:tc>
        <w:tc>
          <w:tcPr>
            <w:tcW w:w="1378" w:type="dxa"/>
            <w:tcBorders>
              <w:top w:val="nil"/>
              <w:left w:val="nil"/>
              <w:bottom w:val="single" w:sz="8" w:space="0" w:color="000000"/>
              <w:right w:val="single" w:sz="8" w:space="0" w:color="000000"/>
            </w:tcBorders>
            <w:vAlign w:val="center"/>
          </w:tcPr>
          <w:p w14:paraId="00000054" w14:textId="77777777" w:rsidR="00DD357C" w:rsidRDefault="00EE4FC8" w:rsidP="00F51465">
            <w:pPr>
              <w:spacing w:before="120" w:after="120" w:line="240" w:lineRule="auto"/>
              <w:ind w:right="93"/>
              <w:jc w:val="right"/>
              <w:rPr>
                <w:color w:val="000000"/>
              </w:rPr>
            </w:pPr>
            <w:r>
              <w:rPr>
                <w:color w:val="000000"/>
              </w:rPr>
              <w:t>5,0%</w:t>
            </w:r>
          </w:p>
        </w:tc>
      </w:tr>
      <w:tr w:rsidR="00DD357C" w14:paraId="794BCBD8" w14:textId="77777777" w:rsidTr="00F51465">
        <w:trPr>
          <w:trHeight w:val="288"/>
        </w:trPr>
        <w:tc>
          <w:tcPr>
            <w:tcW w:w="18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tcPr>
          <w:p w14:paraId="00000055" w14:textId="77777777" w:rsidR="00DD357C" w:rsidRDefault="00EE4FC8" w:rsidP="00F51465">
            <w:pPr>
              <w:spacing w:before="120" w:after="0"/>
              <w:jc w:val="left"/>
              <w:rPr>
                <w:color w:val="000000"/>
              </w:rPr>
            </w:pPr>
            <w:r>
              <w:rPr>
                <w:color w:val="000000"/>
              </w:rPr>
              <w:t>HoReCa</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6" w14:textId="77777777" w:rsidR="00DD357C" w:rsidRDefault="00EE4FC8" w:rsidP="00F51465">
            <w:pPr>
              <w:spacing w:before="120" w:after="0"/>
              <w:jc w:val="right"/>
              <w:rPr>
                <w:color w:val="000000"/>
              </w:rPr>
            </w:pPr>
            <w:r>
              <w:rPr>
                <w:color w:val="000000"/>
              </w:rPr>
              <w:t>9,2%</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7" w14:textId="77777777" w:rsidR="00DD357C" w:rsidRDefault="00EE4FC8" w:rsidP="00F51465">
            <w:pPr>
              <w:spacing w:before="120" w:after="0"/>
              <w:jc w:val="right"/>
              <w:rPr>
                <w:color w:val="000000"/>
              </w:rPr>
            </w:pPr>
            <w:r>
              <w:rPr>
                <w:color w:val="000000"/>
              </w:rPr>
              <w:t>9,1%</w:t>
            </w:r>
          </w:p>
        </w:tc>
        <w:tc>
          <w:tcPr>
            <w:tcW w:w="1378"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8" w14:textId="77777777" w:rsidR="00DD357C" w:rsidRDefault="00EE4FC8" w:rsidP="00F51465">
            <w:pPr>
              <w:spacing w:before="120" w:after="0"/>
              <w:jc w:val="right"/>
              <w:rPr>
                <w:color w:val="000000"/>
              </w:rPr>
            </w:pPr>
            <w:r>
              <w:rPr>
                <w:color w:val="000000"/>
              </w:rPr>
              <w:t>9,9%</w:t>
            </w:r>
          </w:p>
        </w:tc>
        <w:tc>
          <w:tcPr>
            <w:tcW w:w="1377" w:type="dxa"/>
            <w:tcBorders>
              <w:top w:val="nil"/>
              <w:left w:val="nil"/>
              <w:bottom w:val="single" w:sz="8" w:space="0" w:color="000000"/>
              <w:right w:val="single" w:sz="8" w:space="0" w:color="000000"/>
            </w:tcBorders>
            <w:tcMar>
              <w:top w:w="0" w:type="dxa"/>
              <w:left w:w="108" w:type="dxa"/>
              <w:bottom w:w="0" w:type="dxa"/>
              <w:right w:w="108" w:type="dxa"/>
            </w:tcMar>
            <w:vAlign w:val="center"/>
          </w:tcPr>
          <w:p w14:paraId="00000059" w14:textId="77777777" w:rsidR="00DD357C" w:rsidRDefault="00EE4FC8" w:rsidP="00F51465">
            <w:pPr>
              <w:spacing w:before="120" w:after="0"/>
              <w:jc w:val="right"/>
              <w:rPr>
                <w:color w:val="000000"/>
              </w:rPr>
            </w:pPr>
            <w:r>
              <w:rPr>
                <w:color w:val="000000"/>
              </w:rPr>
              <w:t>8,6%</w:t>
            </w:r>
          </w:p>
        </w:tc>
        <w:tc>
          <w:tcPr>
            <w:tcW w:w="1378" w:type="dxa"/>
            <w:tcBorders>
              <w:top w:val="nil"/>
              <w:left w:val="nil"/>
              <w:bottom w:val="single" w:sz="8" w:space="0" w:color="000000"/>
              <w:right w:val="single" w:sz="8" w:space="0" w:color="000000"/>
            </w:tcBorders>
            <w:vAlign w:val="center"/>
          </w:tcPr>
          <w:p w14:paraId="0000005A" w14:textId="77777777" w:rsidR="00DD357C" w:rsidRDefault="00EE4FC8" w:rsidP="00F51465">
            <w:pPr>
              <w:spacing w:before="120" w:after="0"/>
              <w:ind w:right="93"/>
              <w:jc w:val="right"/>
              <w:rPr>
                <w:color w:val="000000"/>
              </w:rPr>
            </w:pPr>
            <w:r>
              <w:rPr>
                <w:color w:val="000000"/>
              </w:rPr>
              <w:t>8,2%</w:t>
            </w:r>
          </w:p>
        </w:tc>
      </w:tr>
    </w:tbl>
    <w:p w14:paraId="0000005B" w14:textId="77777777" w:rsidR="00DD357C" w:rsidRDefault="00DD357C">
      <w:pPr>
        <w:spacing w:after="0"/>
      </w:pPr>
    </w:p>
    <w:p w14:paraId="0000005D" w14:textId="77777777" w:rsidR="00DD357C" w:rsidRDefault="00EE4FC8">
      <w:r>
        <w:t xml:space="preserve">Spoločnosť  </w:t>
      </w:r>
      <w:proofErr w:type="spellStart"/>
      <w:r>
        <w:t>STAROPRAMEN</w:t>
      </w:r>
      <w:proofErr w:type="spellEnd"/>
      <w:r>
        <w:t xml:space="preserve">-SLOVAKIA </w:t>
      </w:r>
      <w:proofErr w:type="spellStart"/>
      <w:r>
        <w:t>s.r.o</w:t>
      </w:r>
      <w:proofErr w:type="spellEnd"/>
      <w:r>
        <w:t>. aj v roku 2020, v rámci možností daných pandemickou situáciou v krajine,  pokračovala v  propagácii svojich značiek a prémiových produktov formou reklamy v médiách, zameranou najmä na vlajkovú značku Staropramen.</w:t>
      </w:r>
    </w:p>
    <w:p w14:paraId="0000005E" w14:textId="77777777" w:rsidR="00DD357C" w:rsidRDefault="00EE4FC8">
      <w:r>
        <w:t>Spoločnosť aplikuje komplexný systém ochrany životného prostredia  na všetkých aktivitách s cieľom trvalo udržateľného rozvoja.</w:t>
      </w:r>
    </w:p>
    <w:p w14:paraId="0000005F" w14:textId="77777777" w:rsidR="00DD357C" w:rsidRDefault="00EE4FC8">
      <w:r>
        <w:t>O rozdelení výsledku hospodárenia za účtovné obdobie roku 2020 ku dňu zostavenia závierky  valné zhromaždenie ešte nerozhodlo.</w:t>
      </w:r>
    </w:p>
    <w:p w14:paraId="3CEA65AB" w14:textId="074B1D8D" w:rsidR="00135B74" w:rsidRDefault="00EE4FC8">
      <w:pPr>
        <w:spacing w:line="276" w:lineRule="auto"/>
        <w:jc w:val="left"/>
      </w:pPr>
      <w:r>
        <w:t xml:space="preserve">Celkové čisté aktíva spoločnosti (tzn. znížené o oprávky a opravné položky) dosiahli k 31.12.2020  hodnotu 10 425 tis. EUR. Vlastné imanie spoločnosti predstavovalo k 31.12.2020 18,83 % celkovej hodnoty pasív spoločnosti, čo v hodnotovom vyjadrení znamená viac než 1 963 tis. EUR. </w:t>
      </w:r>
    </w:p>
    <w:p w14:paraId="00000061" w14:textId="77777777" w:rsidR="00DD357C" w:rsidRDefault="00EE4FC8">
      <w:r>
        <w:t xml:space="preserve">Po 31. decembri 2020  nenastali také udalosti, ktoré majú významný vplyv na verné zobrazenie skutočností uvádzaných v tejto výročnej správe. </w:t>
      </w:r>
    </w:p>
    <w:p w14:paraId="00000062" w14:textId="1D149FE4" w:rsidR="00DD357C" w:rsidRDefault="005E6075">
      <w:r>
        <w:t xml:space="preserve">Okrem vplyvu </w:t>
      </w:r>
      <w:proofErr w:type="spellStart"/>
      <w:r>
        <w:t>Covid</w:t>
      </w:r>
      <w:proofErr w:type="spellEnd"/>
      <w:r>
        <w:t xml:space="preserve"> 19 si m</w:t>
      </w:r>
      <w:r w:rsidR="00EE4FC8">
        <w:t>anažment Spoločnosti v súčasnosti nie je vedomý žiadnych rizík, ktoré by významne ovplyvnili budúce hospodárenie spoločnosti.</w:t>
      </w:r>
    </w:p>
    <w:p w14:paraId="00000063" w14:textId="77777777" w:rsidR="00DD357C" w:rsidRDefault="00EE4FC8">
      <w:r>
        <w:lastRenderedPageBreak/>
        <w:t>Spoločnosť STAROPRAMEN-SLOVAKIA s.r.o. nemá organizačnú zložku v zahraničí.</w:t>
      </w:r>
    </w:p>
    <w:p w14:paraId="00000064" w14:textId="77777777" w:rsidR="00DD357C" w:rsidRDefault="00EE4FC8" w:rsidP="00F51465">
      <w:pPr>
        <w:spacing w:after="0"/>
        <w:rPr>
          <w:sz w:val="22"/>
          <w:szCs w:val="22"/>
        </w:rPr>
      </w:pPr>
      <w:r>
        <w:t>Spoločnosť nevynakladala v roku 2020 žiadne náklady na výskum a vývoj.</w:t>
      </w:r>
    </w:p>
    <w:p w14:paraId="00000065" w14:textId="77777777" w:rsidR="00DD357C" w:rsidRDefault="00DD357C"/>
    <w:p w14:paraId="00000066" w14:textId="77777777" w:rsidR="00DD357C" w:rsidRDefault="00EE4FC8">
      <w:pPr>
        <w:pStyle w:val="Heading2"/>
        <w:rPr>
          <w:color w:val="000000"/>
        </w:rPr>
      </w:pPr>
      <w:r>
        <w:rPr>
          <w:color w:val="000000"/>
        </w:rPr>
        <w:t>VÝVOJ VYBRANÝCH FINANČNÝCH UKAZOVATEĽOV</w:t>
      </w:r>
    </w:p>
    <w:p w14:paraId="00000067" w14:textId="77777777" w:rsidR="00DD357C" w:rsidRDefault="00EE4FC8">
      <w:pPr>
        <w:spacing w:after="0"/>
        <w:rPr>
          <w:b/>
          <w:sz w:val="28"/>
          <w:szCs w:val="28"/>
        </w:rPr>
      </w:pPr>
      <w:r>
        <w:rPr>
          <w:b/>
          <w:sz w:val="28"/>
          <w:szCs w:val="28"/>
        </w:rPr>
        <w:t>V GRAFICKOM ZOBRAZENÍ</w:t>
      </w:r>
    </w:p>
    <w:p w14:paraId="00000068" w14:textId="77777777" w:rsidR="00DD357C" w:rsidRDefault="00DD357C"/>
    <w:p w14:paraId="00000069" w14:textId="77777777" w:rsidR="00DD357C" w:rsidRDefault="00EE4FC8">
      <w:r>
        <w:t>Nasledujúce grafy zobrazujú vývoj vybraných ukazovateľov ako vlastné imanie, zisk a tržby v porovnaní rokov 2016 až 2020.</w:t>
      </w:r>
    </w:p>
    <w:p w14:paraId="0000006A" w14:textId="77777777" w:rsidR="00DD357C" w:rsidRDefault="00DD357C"/>
    <w:p w14:paraId="0000006B" w14:textId="77777777" w:rsidR="00DD357C" w:rsidRDefault="00EE4FC8">
      <w:bookmarkStart w:id="7" w:name="_heading=h.tyjcwt" w:colFirst="0" w:colLast="0"/>
      <w:bookmarkEnd w:id="7"/>
      <w:r>
        <w:t>Graf č.1 Vlastné imanie v rokoch 2016 -2020 (v tis. EUR)</w:t>
      </w:r>
    </w:p>
    <w:p w14:paraId="0000006C" w14:textId="77777777" w:rsidR="00DD357C" w:rsidRDefault="00EE4FC8">
      <w:r>
        <w:rPr>
          <w:noProof/>
        </w:rPr>
        <w:drawing>
          <wp:inline distT="0" distB="0" distL="0" distR="0" wp14:anchorId="6A34302A" wp14:editId="6F28BBAF">
            <wp:extent cx="5486400" cy="30480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000006D" w14:textId="77777777" w:rsidR="00DD357C" w:rsidRDefault="00DD357C">
      <w:pPr>
        <w:jc w:val="right"/>
        <w:rPr>
          <w:highlight w:val="green"/>
        </w:rPr>
      </w:pPr>
    </w:p>
    <w:p w14:paraId="0000006E" w14:textId="77777777" w:rsidR="00DD357C" w:rsidRDefault="00EE4FC8">
      <w:pPr>
        <w:spacing w:line="276" w:lineRule="auto"/>
        <w:jc w:val="left"/>
      </w:pPr>
      <w:r>
        <w:br w:type="page"/>
      </w:r>
      <w:r>
        <w:lastRenderedPageBreak/>
        <w:t>Graf č.2 Zisk za roky 2016-2020 (v tis. EUR)</w:t>
      </w:r>
    </w:p>
    <w:p w14:paraId="0000006F" w14:textId="77777777" w:rsidR="00DD357C" w:rsidRDefault="00EE4FC8" w:rsidP="00F51465">
      <w:pPr>
        <w:spacing w:after="240"/>
      </w:pPr>
      <w:r>
        <w:rPr>
          <w:noProof/>
        </w:rPr>
        <w:drawing>
          <wp:inline distT="0" distB="0" distL="0" distR="0" wp14:anchorId="08B50F28" wp14:editId="25131845">
            <wp:extent cx="5554980" cy="294894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0000071" w14:textId="768AFCBF" w:rsidR="00DD357C" w:rsidRDefault="00EE4FC8">
      <w:bookmarkStart w:id="8" w:name="_heading=h.3dy6vkm" w:colFirst="0" w:colLast="0"/>
      <w:bookmarkEnd w:id="8"/>
      <w:r>
        <w:t>Graf č.3 Tržby za roky 2016 -</w:t>
      </w:r>
      <w:r w:rsidR="00951C2A">
        <w:t xml:space="preserve"> </w:t>
      </w:r>
      <w:r>
        <w:t>2020 (v tis. EUR)</w:t>
      </w:r>
    </w:p>
    <w:p w14:paraId="00000072" w14:textId="77777777" w:rsidR="00DD357C" w:rsidRDefault="00EE4FC8">
      <w:r>
        <w:rPr>
          <w:noProof/>
        </w:rPr>
        <w:drawing>
          <wp:inline distT="0" distB="0" distL="0" distR="0" wp14:anchorId="6896E562" wp14:editId="7FEAC407">
            <wp:extent cx="5593080" cy="282702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0000073" w14:textId="77777777" w:rsidR="00DD357C" w:rsidRDefault="00DD357C">
      <w:pPr>
        <w:pStyle w:val="Heading2"/>
      </w:pPr>
      <w:bookmarkStart w:id="9" w:name="_heading=h.1t3h5sf" w:colFirst="0" w:colLast="0"/>
      <w:bookmarkEnd w:id="9"/>
    </w:p>
    <w:p w14:paraId="00000074" w14:textId="5864E6C8" w:rsidR="00DD357C" w:rsidRDefault="00DD357C"/>
    <w:p w14:paraId="31F66D3C" w14:textId="77777777" w:rsidR="00951C2A" w:rsidRDefault="00951C2A"/>
    <w:p w14:paraId="00000075" w14:textId="77777777" w:rsidR="00DD357C" w:rsidRDefault="00EE4FC8">
      <w:pPr>
        <w:pStyle w:val="Heading2"/>
      </w:pPr>
      <w:r>
        <w:lastRenderedPageBreak/>
        <w:t>STRATÉGIA SPOLOČNOSTI</w:t>
      </w:r>
    </w:p>
    <w:p w14:paraId="00000076" w14:textId="77777777" w:rsidR="00DD357C" w:rsidRDefault="00DD357C">
      <w:pPr>
        <w:spacing w:after="120"/>
      </w:pPr>
    </w:p>
    <w:p w14:paraId="00000077" w14:textId="3B46BD7A" w:rsidR="00DD357C" w:rsidRDefault="00EE4FC8">
      <w:r>
        <w:t>Dlhodobým cieľom našej spoločnosti je stabilný rast tržieb, ziskovosti a posilňovanie pozície na trhu. Tento cieľ je dosahovaný prevažne vďaka  podpore značky STAROPRAMEN predovšetkým z pohľadu marketingových investícií, rozširovaním portfólia ponúkaných značiek v obidvoch predajných kanáloch a uvádzaním inovácií, či už v oblasti tradičných pivných výrobkov, alebo vytváraním nových nápojových kategórií. Našim dôležitým dlhodobým obchodným cieľom je tiež podpora našich zákazníkov a</w:t>
      </w:r>
      <w:r w:rsidR="00951C2A">
        <w:t> </w:t>
      </w:r>
      <w:r>
        <w:t>dosahovanie vysokého štandardu spokojnosti s našimi výrobkami a službami jak z pohľadu našich zákazníkov tak i spotrebiteľov.</w:t>
      </w:r>
    </w:p>
    <w:p w14:paraId="00000078" w14:textId="23DFCE62" w:rsidR="00DD357C" w:rsidRDefault="00EE4FC8">
      <w:r>
        <w:t>V roku 2020 bolo realizovaných niekoľko inovácií produktov našej spoločnosti, ktoré zaznamenali pozitívny ohlas u zákazníkov a reagovali na trendy v konzumácii medzi slovenskými spotrebiteľmi. Jednalo sa najmä o produktové inovácie, napríklad zavedenie na trh inovovanej receptúry pív Ostravar  a plechovky Pernštejn 11%Vilém. Pokračovali sme v ceste reformulácie pozicioningu vlajkovej lode spoločnosti – značky STAROPRAMEN. Snažíme sa posúvať vnímanie identity značky u slovenských konzumentov, ako</w:t>
      </w:r>
      <w:r w:rsidR="00951C2A">
        <w:t> </w:t>
      </w:r>
      <w:r>
        <w:t xml:space="preserve">predstaviteľa originál českého prémiového piva. </w:t>
      </w:r>
    </w:p>
    <w:p w14:paraId="00000079" w14:textId="1FF31E5E" w:rsidR="00DD357C" w:rsidRDefault="00EE4FC8">
      <w:r>
        <w:t>V budúcom období  sa spoločnosť  bude sústreďovať na stabilizovanie svojej činnosti po odznení pandemických opatrení prijatých v  súvislosti s ochorením COVID 19                                  a na upevňovanie novej identity značky STAROPRAMEN, ako i naďalej bude pokračovať         v uvádzaní ďalších noviniek zo svojho portfólia  na slovenský trh. To spolu so zvýšenou marketingovou podporou najdôležitejších značiek portfólia vytvára solídne predpoklady k</w:t>
      </w:r>
      <w:r w:rsidR="00951C2A">
        <w:t> </w:t>
      </w:r>
      <w:r>
        <w:t>rastu výkonnosti Spoločnosti a k dosiahnutiu plánovaných cieľov. S tým nevyhnutne súvisí aj náročná práca našich zamestnancov, ktorí úspešne a cieľavedome pracujú na tom, aby naďalej zlepšovali obchodné výsledky a vytvárali pozitívny obraz o našej spoločnosti a</w:t>
      </w:r>
      <w:r w:rsidR="00951C2A">
        <w:t> </w:t>
      </w:r>
      <w:r>
        <w:t>jej produktoch medzi širokou spotrebiteľskou verejnosťou.</w:t>
      </w:r>
    </w:p>
    <w:sectPr w:rsidR="00DD357C">
      <w:headerReference w:type="default" r:id="rId11"/>
      <w:footerReference w:type="default" r:id="rId12"/>
      <w:pgSz w:w="11906" w:h="16838"/>
      <w:pgMar w:top="1985" w:right="1134" w:bottom="1418" w:left="198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D21352" w14:textId="77777777" w:rsidR="004B3E87" w:rsidRDefault="004B3E87">
      <w:pPr>
        <w:spacing w:after="0" w:line="240" w:lineRule="auto"/>
      </w:pPr>
      <w:r>
        <w:separator/>
      </w:r>
    </w:p>
  </w:endnote>
  <w:endnote w:type="continuationSeparator" w:id="0">
    <w:p w14:paraId="234E4139" w14:textId="77777777" w:rsidR="004B3E87" w:rsidRDefault="004B3E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onsolas">
    <w:panose1 w:val="020B0609020204030204"/>
    <w:charset w:val="EE"/>
    <w:family w:val="modern"/>
    <w:pitch w:val="fixed"/>
    <w:sig w:usb0="E10002FF" w:usb1="4000FCFF" w:usb2="00000009" w:usb3="00000000" w:csb0="0000019F" w:csb1="00000000"/>
  </w:font>
  <w:font w:name="Georgia">
    <w:panose1 w:val="020405020504050203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7B" w14:textId="02586E11" w:rsidR="00DD357C" w:rsidRDefault="00EE4FC8">
    <w:pPr>
      <w:pBdr>
        <w:top w:val="nil"/>
        <w:left w:val="nil"/>
        <w:bottom w:val="nil"/>
        <w:right w:val="nil"/>
        <w:between w:val="nil"/>
      </w:pBdr>
      <w:tabs>
        <w:tab w:val="center" w:pos="4536"/>
        <w:tab w:val="right" w:pos="9072"/>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0F74F7">
      <w:rPr>
        <w:noProof/>
        <w:color w:val="000000"/>
      </w:rPr>
      <w:t>1</w:t>
    </w:r>
    <w:r>
      <w:rPr>
        <w:color w:val="000000"/>
      </w:rPr>
      <w:fldChar w:fldCharType="end"/>
    </w:r>
  </w:p>
  <w:p w14:paraId="0000007C" w14:textId="77777777" w:rsidR="00DD357C" w:rsidRDefault="00EE4FC8">
    <w:pPr>
      <w:pBdr>
        <w:top w:val="nil"/>
        <w:left w:val="nil"/>
        <w:bottom w:val="nil"/>
        <w:right w:val="nil"/>
        <w:between w:val="nil"/>
      </w:pBdr>
      <w:tabs>
        <w:tab w:val="center" w:pos="4536"/>
        <w:tab w:val="right" w:pos="9072"/>
      </w:tabs>
      <w:spacing w:after="0" w:line="240" w:lineRule="auto"/>
      <w:rPr>
        <w:color w:val="000000"/>
        <w:sz w:val="18"/>
        <w:szCs w:val="18"/>
      </w:rPr>
    </w:pPr>
    <w:r>
      <w:rPr>
        <w:color w:val="000000"/>
        <w:sz w:val="18"/>
        <w:szCs w:val="18"/>
      </w:rPr>
      <w:t xml:space="preserve">STAROPRAMEN-SLOVAKIA s.r.o. Tomášikova 30, 821 01 Bratislava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20591D" w14:textId="77777777" w:rsidR="004B3E87" w:rsidRDefault="004B3E87">
      <w:pPr>
        <w:spacing w:after="0" w:line="240" w:lineRule="auto"/>
      </w:pPr>
      <w:r>
        <w:separator/>
      </w:r>
    </w:p>
  </w:footnote>
  <w:footnote w:type="continuationSeparator" w:id="0">
    <w:p w14:paraId="7A0598F4" w14:textId="77777777" w:rsidR="004B3E87" w:rsidRDefault="004B3E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7A" w14:textId="77777777" w:rsidR="00DD357C" w:rsidRDefault="00EE4FC8">
    <w:pPr>
      <w:pBdr>
        <w:top w:val="nil"/>
        <w:left w:val="nil"/>
        <w:bottom w:val="nil"/>
        <w:right w:val="nil"/>
        <w:between w:val="nil"/>
      </w:pBdr>
      <w:tabs>
        <w:tab w:val="center" w:pos="4536"/>
        <w:tab w:val="right" w:pos="9072"/>
      </w:tabs>
      <w:spacing w:after="0" w:line="240" w:lineRule="auto"/>
      <w:rPr>
        <w:color w:val="000000"/>
      </w:rPr>
    </w:pPr>
    <w:r>
      <w:rPr>
        <w:noProof/>
        <w:color w:val="000000"/>
      </w:rPr>
      <w:drawing>
        <wp:inline distT="0" distB="0" distL="0" distR="0" wp14:anchorId="6C6F422B" wp14:editId="034A4EC1">
          <wp:extent cx="1133256" cy="1080000"/>
          <wp:effectExtent l="0" t="0" r="0" b="0"/>
          <wp:docPr id="9" name="image1.jpg" descr="C:\Users\txmatusk\OneDrive - Molson Coors Brewing Company\MKT support\01_Loga\01 Staropramen\STP_Balance_BBs[2].jpg"/>
          <wp:cNvGraphicFramePr/>
          <a:graphic xmlns:a="http://schemas.openxmlformats.org/drawingml/2006/main">
            <a:graphicData uri="http://schemas.openxmlformats.org/drawingml/2006/picture">
              <pic:pic xmlns:pic="http://schemas.openxmlformats.org/drawingml/2006/picture">
                <pic:nvPicPr>
                  <pic:cNvPr id="0" name="image1.jpg" descr="C:\Users\txmatusk\OneDrive - Molson Coors Brewing Company\MKT support\01_Loga\01 Staropramen\STP_Balance_BBs[2].jpg"/>
                  <pic:cNvPicPr preferRelativeResize="0"/>
                </pic:nvPicPr>
                <pic:blipFill>
                  <a:blip r:embed="rId1"/>
                  <a:srcRect/>
                  <a:stretch>
                    <a:fillRect/>
                  </a:stretch>
                </pic:blipFill>
                <pic:spPr>
                  <a:xfrm>
                    <a:off x="0" y="0"/>
                    <a:ext cx="1133256" cy="1080000"/>
                  </a:xfrm>
                  <a:prstGeom prst="rect">
                    <a:avLst/>
                  </a:prstGeom>
                  <a:ln/>
                </pic:spPr>
              </pic:pic>
            </a:graphicData>
          </a:graphic>
        </wp:inline>
      </w:drawing>
    </w:r>
    <w:r>
      <w:rPr>
        <w:color w:val="000000"/>
      </w:rPr>
      <w:tab/>
    </w:r>
    <w:r>
      <w:rPr>
        <w:color w:val="00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B24C43"/>
    <w:multiLevelType w:val="hybridMultilevel"/>
    <w:tmpl w:val="909C43FE"/>
    <w:lvl w:ilvl="0" w:tplc="612C390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357C"/>
    <w:rsid w:val="000F74F7"/>
    <w:rsid w:val="00135B74"/>
    <w:rsid w:val="002A3B01"/>
    <w:rsid w:val="002D1065"/>
    <w:rsid w:val="003B2120"/>
    <w:rsid w:val="004505DB"/>
    <w:rsid w:val="00476F91"/>
    <w:rsid w:val="004B3E87"/>
    <w:rsid w:val="005E6075"/>
    <w:rsid w:val="00655EE7"/>
    <w:rsid w:val="00951C2A"/>
    <w:rsid w:val="00CC76F6"/>
    <w:rsid w:val="00D87EF2"/>
    <w:rsid w:val="00DD357C"/>
    <w:rsid w:val="00DF135C"/>
    <w:rsid w:val="00DF22DF"/>
    <w:rsid w:val="00EE4FC8"/>
    <w:rsid w:val="00F13D55"/>
    <w:rsid w:val="00F32FBC"/>
    <w:rsid w:val="00F51465"/>
    <w:rsid w:val="00F75D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BECF8"/>
  <w15:docId w15:val="{9072E691-45C4-474A-9689-1C5653297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sk-SK" w:eastAsia="en-US" w:bidi="ar-SA"/>
      </w:rPr>
    </w:rPrDefault>
    <w:pPrDefault>
      <w:pPr>
        <w:spacing w:after="20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39DF"/>
  </w:style>
  <w:style w:type="paragraph" w:styleId="Heading1">
    <w:name w:val="heading 1"/>
    <w:basedOn w:val="Normal"/>
    <w:next w:val="Normal"/>
    <w:link w:val="Heading1Char"/>
    <w:uiPriority w:val="9"/>
    <w:qFormat/>
    <w:rsid w:val="00AE5053"/>
    <w:pPr>
      <w:keepNext/>
      <w:keepLines/>
      <w:spacing w:before="480" w:after="0"/>
      <w:outlineLvl w:val="0"/>
    </w:pPr>
    <w:rPr>
      <w:rFonts w:eastAsiaTheme="majorEastAsia" w:cstheme="majorBidi"/>
      <w:b/>
      <w:bCs/>
      <w:color w:val="808080" w:themeColor="background1" w:themeShade="80"/>
      <w:sz w:val="32"/>
      <w:szCs w:val="28"/>
    </w:rPr>
  </w:style>
  <w:style w:type="paragraph" w:styleId="Heading2">
    <w:name w:val="heading 2"/>
    <w:basedOn w:val="Normal"/>
    <w:next w:val="Normal"/>
    <w:link w:val="Heading2Char"/>
    <w:uiPriority w:val="9"/>
    <w:unhideWhenUsed/>
    <w:qFormat/>
    <w:rsid w:val="00AE5053"/>
    <w:pPr>
      <w:keepNext/>
      <w:keepLines/>
      <w:spacing w:before="200" w:after="0"/>
      <w:outlineLvl w:val="1"/>
    </w:pPr>
    <w:rPr>
      <w:rFonts w:eastAsiaTheme="majorEastAsia" w:cstheme="majorBidi"/>
      <w:b/>
      <w:bCs/>
      <w:color w:val="808080" w:themeColor="background1" w:themeShade="80"/>
      <w:sz w:val="28"/>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AE5053"/>
    <w:rPr>
      <w:rFonts w:ascii="Times New Roman" w:eastAsiaTheme="majorEastAsia" w:hAnsi="Times New Roman" w:cstheme="majorBidi"/>
      <w:b/>
      <w:bCs/>
      <w:color w:val="808080" w:themeColor="background1" w:themeShade="80"/>
      <w:sz w:val="32"/>
      <w:szCs w:val="28"/>
    </w:rPr>
  </w:style>
  <w:style w:type="paragraph" w:styleId="NoSpacing">
    <w:name w:val="No Spacing"/>
    <w:uiPriority w:val="1"/>
    <w:qFormat/>
    <w:rsid w:val="009339DF"/>
    <w:pPr>
      <w:spacing w:after="0"/>
    </w:pPr>
  </w:style>
  <w:style w:type="paragraph" w:styleId="Header">
    <w:name w:val="header"/>
    <w:basedOn w:val="Normal"/>
    <w:link w:val="HeaderChar"/>
    <w:rsid w:val="009339DF"/>
    <w:pPr>
      <w:tabs>
        <w:tab w:val="center" w:pos="4536"/>
        <w:tab w:val="right" w:pos="9072"/>
      </w:tabs>
      <w:suppressAutoHyphens/>
      <w:autoSpaceDN w:val="0"/>
      <w:spacing w:after="0" w:line="240" w:lineRule="auto"/>
      <w:textAlignment w:val="baseline"/>
    </w:pPr>
    <w:rPr>
      <w:rFonts w:eastAsia="Calibri"/>
    </w:rPr>
  </w:style>
  <w:style w:type="character" w:customStyle="1" w:styleId="HeaderChar">
    <w:name w:val="Header Char"/>
    <w:basedOn w:val="DefaultParagraphFont"/>
    <w:link w:val="Header"/>
    <w:rsid w:val="009339DF"/>
    <w:rPr>
      <w:rFonts w:ascii="Times New Roman" w:eastAsia="Calibri" w:hAnsi="Times New Roman" w:cs="Times New Roman"/>
      <w:sz w:val="24"/>
    </w:rPr>
  </w:style>
  <w:style w:type="paragraph" w:styleId="Footer">
    <w:name w:val="footer"/>
    <w:basedOn w:val="Normal"/>
    <w:link w:val="FooterChar"/>
    <w:rsid w:val="009339DF"/>
    <w:pPr>
      <w:tabs>
        <w:tab w:val="center" w:pos="4536"/>
        <w:tab w:val="right" w:pos="9072"/>
      </w:tabs>
      <w:suppressAutoHyphens/>
      <w:autoSpaceDN w:val="0"/>
      <w:spacing w:after="0" w:line="240" w:lineRule="auto"/>
      <w:textAlignment w:val="baseline"/>
    </w:pPr>
    <w:rPr>
      <w:rFonts w:eastAsia="Calibri"/>
    </w:rPr>
  </w:style>
  <w:style w:type="character" w:customStyle="1" w:styleId="FooterChar">
    <w:name w:val="Footer Char"/>
    <w:basedOn w:val="DefaultParagraphFont"/>
    <w:link w:val="Footer"/>
    <w:rsid w:val="009339DF"/>
    <w:rPr>
      <w:rFonts w:ascii="Times New Roman" w:eastAsia="Calibri" w:hAnsi="Times New Roman" w:cs="Times New Roman"/>
      <w:sz w:val="24"/>
    </w:rPr>
  </w:style>
  <w:style w:type="paragraph" w:styleId="ListParagraph">
    <w:name w:val="List Paragraph"/>
    <w:basedOn w:val="Normal"/>
    <w:rsid w:val="009339DF"/>
    <w:pPr>
      <w:suppressAutoHyphens/>
      <w:autoSpaceDN w:val="0"/>
      <w:ind w:left="720"/>
      <w:textAlignment w:val="baseline"/>
    </w:pPr>
    <w:rPr>
      <w:rFonts w:eastAsia="Calibri"/>
    </w:rPr>
  </w:style>
  <w:style w:type="paragraph" w:styleId="BalloonText">
    <w:name w:val="Balloon Text"/>
    <w:basedOn w:val="Normal"/>
    <w:link w:val="BalloonTextChar"/>
    <w:uiPriority w:val="99"/>
    <w:semiHidden/>
    <w:unhideWhenUsed/>
    <w:rsid w:val="009339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39DF"/>
    <w:rPr>
      <w:rFonts w:ascii="Tahoma" w:hAnsi="Tahoma" w:cs="Tahoma"/>
      <w:sz w:val="16"/>
      <w:szCs w:val="16"/>
    </w:rPr>
  </w:style>
  <w:style w:type="character" w:customStyle="1" w:styleId="Heading2Char">
    <w:name w:val="Heading 2 Char"/>
    <w:basedOn w:val="DefaultParagraphFont"/>
    <w:link w:val="Heading2"/>
    <w:uiPriority w:val="9"/>
    <w:rsid w:val="00AE5053"/>
    <w:rPr>
      <w:rFonts w:ascii="Times New Roman" w:eastAsiaTheme="majorEastAsia" w:hAnsi="Times New Roman" w:cstheme="majorBidi"/>
      <w:b/>
      <w:bCs/>
      <w:color w:val="808080" w:themeColor="background1" w:themeShade="80"/>
      <w:sz w:val="28"/>
      <w:szCs w:val="26"/>
    </w:rPr>
  </w:style>
  <w:style w:type="paragraph" w:styleId="TOCHeading">
    <w:name w:val="TOC Heading"/>
    <w:basedOn w:val="Heading1"/>
    <w:next w:val="Normal"/>
    <w:uiPriority w:val="39"/>
    <w:semiHidden/>
    <w:unhideWhenUsed/>
    <w:qFormat/>
    <w:rsid w:val="00E11CCD"/>
    <w:pPr>
      <w:spacing w:line="276" w:lineRule="auto"/>
      <w:jc w:val="left"/>
      <w:outlineLvl w:val="9"/>
    </w:pPr>
    <w:rPr>
      <w:rFonts w:asciiTheme="majorHAnsi" w:hAnsiTheme="majorHAnsi"/>
      <w:color w:val="365F91" w:themeColor="accent1" w:themeShade="BF"/>
      <w:sz w:val="28"/>
      <w:lang w:eastAsia="sk-SK"/>
    </w:rPr>
  </w:style>
  <w:style w:type="paragraph" w:styleId="TOC1">
    <w:name w:val="toc 1"/>
    <w:basedOn w:val="Normal"/>
    <w:next w:val="Normal"/>
    <w:autoRedefine/>
    <w:uiPriority w:val="39"/>
    <w:unhideWhenUsed/>
    <w:rsid w:val="00E11CCD"/>
    <w:pPr>
      <w:spacing w:after="100"/>
    </w:pPr>
  </w:style>
  <w:style w:type="paragraph" w:styleId="TOC2">
    <w:name w:val="toc 2"/>
    <w:basedOn w:val="Normal"/>
    <w:next w:val="Normal"/>
    <w:autoRedefine/>
    <w:uiPriority w:val="39"/>
    <w:unhideWhenUsed/>
    <w:rsid w:val="00E11CCD"/>
    <w:pPr>
      <w:spacing w:after="100"/>
      <w:ind w:left="240"/>
    </w:pPr>
  </w:style>
  <w:style w:type="character" w:styleId="Hyperlink">
    <w:name w:val="Hyperlink"/>
    <w:basedOn w:val="DefaultParagraphFont"/>
    <w:uiPriority w:val="99"/>
    <w:unhideWhenUsed/>
    <w:rsid w:val="00E11CCD"/>
    <w:rPr>
      <w:color w:val="0000FF" w:themeColor="hyperlink"/>
      <w:u w:val="single"/>
    </w:rPr>
  </w:style>
  <w:style w:type="paragraph" w:styleId="PlainText">
    <w:name w:val="Plain Text"/>
    <w:basedOn w:val="Normal"/>
    <w:link w:val="PlainTextChar"/>
    <w:uiPriority w:val="99"/>
    <w:semiHidden/>
    <w:unhideWhenUsed/>
    <w:rsid w:val="007E1F0A"/>
    <w:pPr>
      <w:spacing w:after="0" w:line="240" w:lineRule="auto"/>
      <w:jc w:val="left"/>
    </w:pPr>
    <w:rPr>
      <w:rFonts w:ascii="Calibri" w:hAnsi="Calibri" w:cs="Consolas"/>
      <w:sz w:val="22"/>
      <w:szCs w:val="21"/>
      <w:lang w:val="en-US"/>
    </w:rPr>
  </w:style>
  <w:style w:type="character" w:customStyle="1" w:styleId="PlainTextChar">
    <w:name w:val="Plain Text Char"/>
    <w:basedOn w:val="DefaultParagraphFont"/>
    <w:link w:val="PlainText"/>
    <w:uiPriority w:val="99"/>
    <w:semiHidden/>
    <w:rsid w:val="007E1F0A"/>
    <w:rPr>
      <w:rFonts w:ascii="Calibri" w:hAnsi="Calibri" w:cs="Consolas"/>
      <w:szCs w:val="21"/>
      <w:lang w:val="en-US"/>
    </w:rPr>
  </w:style>
  <w:style w:type="character" w:styleId="CommentReference">
    <w:name w:val="annotation reference"/>
    <w:basedOn w:val="DefaultParagraphFont"/>
    <w:uiPriority w:val="99"/>
    <w:semiHidden/>
    <w:unhideWhenUsed/>
    <w:rsid w:val="003750CA"/>
    <w:rPr>
      <w:sz w:val="16"/>
      <w:szCs w:val="16"/>
    </w:rPr>
  </w:style>
  <w:style w:type="paragraph" w:styleId="CommentText">
    <w:name w:val="annotation text"/>
    <w:basedOn w:val="Normal"/>
    <w:link w:val="CommentTextChar"/>
    <w:uiPriority w:val="99"/>
    <w:semiHidden/>
    <w:unhideWhenUsed/>
    <w:rsid w:val="003750CA"/>
    <w:pPr>
      <w:spacing w:line="240" w:lineRule="auto"/>
    </w:pPr>
    <w:rPr>
      <w:sz w:val="20"/>
      <w:szCs w:val="20"/>
    </w:rPr>
  </w:style>
  <w:style w:type="character" w:customStyle="1" w:styleId="CommentTextChar">
    <w:name w:val="Comment Text Char"/>
    <w:basedOn w:val="DefaultParagraphFont"/>
    <w:link w:val="CommentText"/>
    <w:uiPriority w:val="99"/>
    <w:semiHidden/>
    <w:rsid w:val="003750C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750CA"/>
    <w:rPr>
      <w:b/>
      <w:bCs/>
    </w:rPr>
  </w:style>
  <w:style w:type="character" w:customStyle="1" w:styleId="CommentSubjectChar">
    <w:name w:val="Comment Subject Char"/>
    <w:basedOn w:val="CommentTextChar"/>
    <w:link w:val="CommentSubject"/>
    <w:uiPriority w:val="99"/>
    <w:semiHidden/>
    <w:rsid w:val="003750CA"/>
    <w:rPr>
      <w:rFonts w:ascii="Times New Roman" w:hAnsi="Times New Roman"/>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3771158">
      <w:bodyDiv w:val="1"/>
      <w:marLeft w:val="0"/>
      <w:marRight w:val="0"/>
      <w:marTop w:val="0"/>
      <w:marBottom w:val="0"/>
      <w:divBdr>
        <w:top w:val="none" w:sz="0" w:space="0" w:color="auto"/>
        <w:left w:val="none" w:sz="0" w:space="0" w:color="auto"/>
        <w:bottom w:val="none" w:sz="0" w:space="0" w:color="auto"/>
        <w:right w:val="none" w:sz="0" w:space="0" w:color="auto"/>
      </w:divBdr>
    </w:div>
    <w:div w:id="19302627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lrMapOvr bg1="lt1" tx1="dk1" bg2="lt2" tx2="dk2" accent1="accent1" accent2="accent2" accent3="accent3" accent4="accent4" accent5="accent5" accent6="accent6" hlink="hlink" folHlink="folHlink"/>
  <c:chart>
    <c:title>
      <c:tx>
        <c:rich>
          <a:bodyPr/>
          <a:lstStyle/>
          <a:p>
            <a:pPr>
              <a:defRPr/>
            </a:pPr>
            <a:r>
              <a:rPr lang="sk-SK"/>
              <a:t>Vlastné imanie v rokoch 2016 - 2020</a:t>
            </a:r>
          </a:p>
          <a:p>
            <a:pPr>
              <a:defRPr/>
            </a:pPr>
            <a:r>
              <a:rPr lang="sk-SK"/>
              <a:t>(v tis. EUR)</a:t>
            </a:r>
          </a:p>
        </c:rich>
      </c:tx>
      <c:overlay val="0"/>
    </c:title>
    <c:autoTitleDeleted val="0"/>
    <c:view3D>
      <c:rotX val="15"/>
      <c:rotY val="20"/>
      <c:rAngAx val="1"/>
    </c:view3D>
    <c:floor>
      <c:thickness val="0"/>
    </c:floor>
    <c:sideWall>
      <c:thickness val="0"/>
      <c:spPr>
        <a:solidFill>
          <a:srgbClr val="92D050">
            <a:alpha val="10000"/>
          </a:srgbClr>
        </a:solidFill>
      </c:spPr>
    </c:sideWall>
    <c:backWall>
      <c:thickness val="0"/>
      <c:spPr>
        <a:solidFill>
          <a:srgbClr val="92D050">
            <a:alpha val="10000"/>
          </a:srgbClr>
        </a:solidFill>
      </c:spPr>
    </c:backWall>
    <c:plotArea>
      <c:layout>
        <c:manualLayout>
          <c:layoutTarget val="inner"/>
          <c:xMode val="edge"/>
          <c:yMode val="edge"/>
          <c:x val="9.5956957476123872E-2"/>
          <c:y val="0.220044982407885"/>
          <c:w val="0.88009094671549293"/>
          <c:h val="0.68519708766899456"/>
        </c:manualLayout>
      </c:layout>
      <c:bar3DChart>
        <c:barDir val="col"/>
        <c:grouping val="clustered"/>
        <c:varyColors val="1"/>
        <c:ser>
          <c:idx val="0"/>
          <c:order val="0"/>
          <c:invertIfNegative val="0"/>
          <c:dLbls>
            <c:dLbl>
              <c:idx val="0"/>
              <c:layout>
                <c:manualLayout>
                  <c:x val="2.777772538911678E-2"/>
                  <c:y val="-2.1453959748174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A6-4983-B478-8533A020801D}"/>
                </c:ext>
              </c:extLst>
            </c:dLbl>
            <c:dLbl>
              <c:idx val="1"/>
              <c:layout>
                <c:manualLayout>
                  <c:x val="2.465075099145541E-2"/>
                  <c:y val="-2.10599238375940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A6-4983-B478-8533A020801D}"/>
                </c:ext>
              </c:extLst>
            </c:dLbl>
            <c:dLbl>
              <c:idx val="2"/>
              <c:layout>
                <c:manualLayout>
                  <c:x val="2.4650541436811415E-2"/>
                  <c:y val="-2.56897713281243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A6-4983-B478-8533A020801D}"/>
                </c:ext>
              </c:extLst>
            </c:dLbl>
            <c:dLbl>
              <c:idx val="3"/>
              <c:layout>
                <c:manualLayout>
                  <c:x val="2.1872894630686136E-2"/>
                  <c:y val="-1.89715037280026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FA6-4983-B478-8533A020801D}"/>
                </c:ext>
              </c:extLst>
            </c:dLbl>
            <c:dLbl>
              <c:idx val="4"/>
              <c:layout>
                <c:manualLayout>
                  <c:x val="2.465075099145541E-2"/>
                  <c:y val="-3.70369929133103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FA6-4983-B478-8533A020801D}"/>
                </c:ext>
              </c:extLst>
            </c:dLbl>
            <c:dLbl>
              <c:idx val="5"/>
              <c:layout>
                <c:manualLayout>
                  <c:x val="2.2222222222222223E-2"/>
                  <c:y val="-2.77777777777778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FA6-4983-B478-8533A020801D}"/>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Hárok1!$B$7:$F$7</c:f>
              <c:numCache>
                <c:formatCode>General</c:formatCode>
                <c:ptCount val="5"/>
                <c:pt idx="0">
                  <c:v>2020</c:v>
                </c:pt>
                <c:pt idx="1">
                  <c:v>2019</c:v>
                </c:pt>
                <c:pt idx="2">
                  <c:v>2018</c:v>
                </c:pt>
                <c:pt idx="3">
                  <c:v>2017</c:v>
                </c:pt>
                <c:pt idx="4">
                  <c:v>2016</c:v>
                </c:pt>
              </c:numCache>
            </c:numRef>
          </c:cat>
          <c:val>
            <c:numRef>
              <c:f>Hárok1!$B$8:$F$8</c:f>
              <c:numCache>
                <c:formatCode>#,##0</c:formatCode>
                <c:ptCount val="5"/>
                <c:pt idx="0">
                  <c:v>1963</c:v>
                </c:pt>
                <c:pt idx="1">
                  <c:v>2818</c:v>
                </c:pt>
                <c:pt idx="2">
                  <c:v>3000</c:v>
                </c:pt>
                <c:pt idx="3" formatCode="General">
                  <c:v>3715</c:v>
                </c:pt>
                <c:pt idx="4" formatCode="General">
                  <c:v>4063</c:v>
                </c:pt>
              </c:numCache>
            </c:numRef>
          </c:val>
          <c:extLst>
            <c:ext xmlns:c16="http://schemas.microsoft.com/office/drawing/2014/chart" uri="{C3380CC4-5D6E-409C-BE32-E72D297353CC}">
              <c16:uniqueId val="{00000006-6FA6-4983-B478-8533A020801D}"/>
            </c:ext>
          </c:extLst>
        </c:ser>
        <c:dLbls>
          <c:showLegendKey val="0"/>
          <c:showVal val="1"/>
          <c:showCatName val="0"/>
          <c:showSerName val="0"/>
          <c:showPercent val="0"/>
          <c:showBubbleSize val="0"/>
        </c:dLbls>
        <c:gapWidth val="18"/>
        <c:gapDepth val="21"/>
        <c:shape val="cylinder"/>
        <c:axId val="14144136"/>
        <c:axId val="14144528"/>
        <c:axId val="0"/>
      </c:bar3DChart>
      <c:catAx>
        <c:axId val="14144136"/>
        <c:scaling>
          <c:orientation val="minMax"/>
        </c:scaling>
        <c:delete val="0"/>
        <c:axPos val="b"/>
        <c:numFmt formatCode="General" sourceLinked="1"/>
        <c:majorTickMark val="out"/>
        <c:minorTickMark val="none"/>
        <c:tickLblPos val="nextTo"/>
        <c:crossAx val="14144528"/>
        <c:crosses val="autoZero"/>
        <c:auto val="1"/>
        <c:lblAlgn val="ctr"/>
        <c:lblOffset val="100"/>
        <c:noMultiLvlLbl val="0"/>
      </c:catAx>
      <c:valAx>
        <c:axId val="14144528"/>
        <c:scaling>
          <c:orientation val="minMax"/>
        </c:scaling>
        <c:delete val="0"/>
        <c:axPos val="l"/>
        <c:majorGridlines/>
        <c:numFmt formatCode="#,##0" sourceLinked="1"/>
        <c:majorTickMark val="none"/>
        <c:minorTickMark val="none"/>
        <c:tickLblPos val="nextTo"/>
        <c:crossAx val="14144136"/>
        <c:crosses val="autoZero"/>
        <c:crossBetween val="between"/>
      </c:valAx>
      <c:spPr>
        <a:noFill/>
      </c:spPr>
    </c:plotArea>
    <c:plotVisOnly val="1"/>
    <c:dispBlanksAs val="gap"/>
    <c:showDLblsOverMax val="0"/>
  </c:chart>
  <c:spPr>
    <a:ln w="19050">
      <a:solidFill>
        <a:schemeClr val="accent1"/>
      </a:solid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40"/>
    </mc:Choice>
    <mc:Fallback>
      <c:style val="40"/>
    </mc:Fallback>
  </mc:AlternateContent>
  <c:clrMapOvr bg1="lt1" tx1="dk1" bg2="lt2" tx2="dk2" accent1="accent1" accent2="accent2" accent3="accent3" accent4="accent4" accent5="accent5" accent6="accent6" hlink="hlink" folHlink="folHlink"/>
  <c:chart>
    <c:title>
      <c:tx>
        <c:rich>
          <a:bodyPr/>
          <a:lstStyle/>
          <a:p>
            <a:pPr>
              <a:defRPr/>
            </a:pPr>
            <a:r>
              <a:rPr lang="en-US"/>
              <a:t>Zisk</a:t>
            </a:r>
            <a:r>
              <a:rPr lang="sk-SK"/>
              <a:t> za roky 2016 - 2020 (v tis. EUR)</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Hárok1!$B$4:$F$4</c:f>
              <c:numCache>
                <c:formatCode>General</c:formatCode>
                <c:ptCount val="5"/>
                <c:pt idx="0">
                  <c:v>2020</c:v>
                </c:pt>
                <c:pt idx="1">
                  <c:v>2019</c:v>
                </c:pt>
                <c:pt idx="2">
                  <c:v>2018</c:v>
                </c:pt>
                <c:pt idx="3">
                  <c:v>2017</c:v>
                </c:pt>
                <c:pt idx="4">
                  <c:v>2016</c:v>
                </c:pt>
              </c:numCache>
            </c:numRef>
          </c:cat>
          <c:val>
            <c:numRef>
              <c:f>Hárok1!$B$5:$F$5</c:f>
              <c:numCache>
                <c:formatCode>#,##0</c:formatCode>
                <c:ptCount val="5"/>
                <c:pt idx="0">
                  <c:v>-854852</c:v>
                </c:pt>
                <c:pt idx="1">
                  <c:v>-181884</c:v>
                </c:pt>
                <c:pt idx="2">
                  <c:v>-715653</c:v>
                </c:pt>
                <c:pt idx="3">
                  <c:v>-347537</c:v>
                </c:pt>
                <c:pt idx="4">
                  <c:v>364557</c:v>
                </c:pt>
              </c:numCache>
            </c:numRef>
          </c:val>
          <c:extLst>
            <c:ext xmlns:c16="http://schemas.microsoft.com/office/drawing/2014/chart" uri="{C3380CC4-5D6E-409C-BE32-E72D297353CC}">
              <c16:uniqueId val="{00000000-F9ED-44C5-BEE5-515403A25F58}"/>
            </c:ext>
          </c:extLst>
        </c:ser>
        <c:dLbls>
          <c:showLegendKey val="0"/>
          <c:showVal val="1"/>
          <c:showCatName val="0"/>
          <c:showSerName val="0"/>
          <c:showPercent val="0"/>
          <c:showBubbleSize val="0"/>
        </c:dLbls>
        <c:gapWidth val="18"/>
        <c:gapDepth val="72"/>
        <c:shape val="cylinder"/>
        <c:axId val="14141000"/>
        <c:axId val="14142176"/>
        <c:axId val="0"/>
      </c:bar3DChart>
      <c:catAx>
        <c:axId val="14141000"/>
        <c:scaling>
          <c:orientation val="minMax"/>
        </c:scaling>
        <c:delete val="0"/>
        <c:axPos val="b"/>
        <c:numFmt formatCode="General" sourceLinked="1"/>
        <c:majorTickMark val="none"/>
        <c:minorTickMark val="none"/>
        <c:tickLblPos val="nextTo"/>
        <c:crossAx val="14142176"/>
        <c:crosses val="autoZero"/>
        <c:auto val="1"/>
        <c:lblAlgn val="ctr"/>
        <c:lblOffset val="100"/>
        <c:noMultiLvlLbl val="0"/>
      </c:catAx>
      <c:valAx>
        <c:axId val="14142176"/>
        <c:scaling>
          <c:orientation val="minMax"/>
        </c:scaling>
        <c:delete val="0"/>
        <c:axPos val="l"/>
        <c:majorGridlines/>
        <c:numFmt formatCode="#,##0" sourceLinked="1"/>
        <c:majorTickMark val="none"/>
        <c:minorTickMark val="none"/>
        <c:tickLblPos val="nextTo"/>
        <c:crossAx val="14141000"/>
        <c:crosses val="autoZero"/>
        <c:crossBetween val="between"/>
        <c:dispUnits>
          <c:builtInUnit val="thousands"/>
        </c:dispUnits>
      </c:valAx>
      <c:spPr>
        <a:ln w="15875" cmpd="sng">
          <a:miter lim="800000"/>
        </a:ln>
      </c:spPr>
    </c:plotArea>
    <c:plotVisOnly val="1"/>
    <c:dispBlanksAs val="gap"/>
    <c:showDLblsOverMax val="0"/>
  </c:chart>
  <c:spPr>
    <a:ln w="19050">
      <a:solidFill>
        <a:srgbClr val="0070C0"/>
      </a:solid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5"/>
    </mc:Choice>
    <mc:Fallback>
      <c:style val="35"/>
    </mc:Fallback>
  </mc:AlternateContent>
  <c:clrMapOvr bg1="lt1" tx1="dk1" bg2="lt2" tx2="dk2" accent1="accent1" accent2="accent2" accent3="accent3" accent4="accent4" accent5="accent5" accent6="accent6" hlink="hlink" folHlink="folHlink"/>
  <c:chart>
    <c:title>
      <c:tx>
        <c:rich>
          <a:bodyPr/>
          <a:lstStyle/>
          <a:p>
            <a:pPr>
              <a:defRPr/>
            </a:pPr>
            <a:r>
              <a:rPr lang="sk-SK"/>
              <a:t>Tržby za roky 2016 - </a:t>
            </a:r>
            <a:r>
              <a:rPr lang="en-US"/>
              <a:t>20</a:t>
            </a:r>
            <a:r>
              <a:rPr lang="sk-SK"/>
              <a:t>20 (v tis. EUR)</a:t>
            </a: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1"/>
        <c:ser>
          <c:idx val="0"/>
          <c:order val="0"/>
          <c:invertIfNegative val="0"/>
          <c:dLbls>
            <c:dLbl>
              <c:idx val="0"/>
              <c:layout>
                <c:manualLayout>
                  <c:x val="2.4489882313097983E-2"/>
                  <c:y val="-3.32123701928563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CA5-4164-9DF1-BC8098E3446A}"/>
                </c:ext>
              </c:extLst>
            </c:dLbl>
            <c:dLbl>
              <c:idx val="1"/>
              <c:layout>
                <c:manualLayout>
                  <c:x val="1.6833615734741968E-2"/>
                  <c:y val="-4.4685990338164248E-2"/>
                </c:manualLayout>
              </c:layout>
              <c:spPr>
                <a:noFill/>
                <a:ln>
                  <a:noFill/>
                </a:ln>
                <a:effectLst/>
              </c:spPr>
              <c:txPr>
                <a:bodyPr wrap="square" lIns="38100" tIns="19050" rIns="38100" bIns="19050" anchor="ctr">
                  <a:noAutofit/>
                </a:bodyPr>
                <a:lstStyle/>
                <a:p>
                  <a:pPr>
                    <a:defRPr/>
                  </a:pPr>
                  <a:endParaRPr lang="cs-CZ"/>
                </a:p>
              </c:txPr>
              <c:showLegendKey val="0"/>
              <c:showVal val="1"/>
              <c:showCatName val="0"/>
              <c:showSerName val="0"/>
              <c:showPercent val="0"/>
              <c:showBubbleSize val="0"/>
              <c:extLst>
                <c:ext xmlns:c15="http://schemas.microsoft.com/office/drawing/2012/chart" uri="{CE6537A1-D6FC-4f65-9D91-7224C49458BB}">
                  <c15:layout>
                    <c:manualLayout>
                      <c:w val="0.10973101265822785"/>
                      <c:h val="7.8285214348206469E-2"/>
                    </c:manualLayout>
                  </c15:layout>
                </c:ext>
                <c:ext xmlns:c16="http://schemas.microsoft.com/office/drawing/2014/chart" uri="{C3380CC4-5D6E-409C-BE32-E72D297353CC}">
                  <c16:uniqueId val="{00000001-8CA5-4164-9DF1-BC8098E3446A}"/>
                </c:ext>
              </c:extLst>
            </c:dLbl>
            <c:dLbl>
              <c:idx val="2"/>
              <c:layout>
                <c:manualLayout>
                  <c:x val="2.7178054356108712E-2"/>
                  <c:y val="-4.22705314009661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CA5-4164-9DF1-BC8098E3446A}"/>
                </c:ext>
              </c:extLst>
            </c:dLbl>
            <c:dLbl>
              <c:idx val="3"/>
              <c:layout>
                <c:manualLayout>
                  <c:x val="2.711222589111845E-2"/>
                  <c:y val="-4.28742059416485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CA5-4164-9DF1-BC8098E3446A}"/>
                </c:ext>
              </c:extLst>
            </c:dLbl>
            <c:dLbl>
              <c:idx val="4"/>
              <c:layout>
                <c:manualLayout>
                  <c:x val="1.6326530612244899E-2"/>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CA5-4164-9DF1-BC8098E3446A}"/>
                </c:ext>
              </c:extLst>
            </c:dLbl>
            <c:dLbl>
              <c:idx val="5"/>
              <c:layout>
                <c:manualLayout>
                  <c:x val="1.9047619047619049E-2"/>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CA5-4164-9DF1-BC8098E3446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Hárok1!$B$1:$G$1</c:f>
              <c:numCache>
                <c:formatCode>General</c:formatCode>
                <c:ptCount val="6"/>
                <c:pt idx="0">
                  <c:v>2020</c:v>
                </c:pt>
                <c:pt idx="1">
                  <c:v>2019</c:v>
                </c:pt>
                <c:pt idx="2">
                  <c:v>2018</c:v>
                </c:pt>
                <c:pt idx="3">
                  <c:v>2017</c:v>
                </c:pt>
                <c:pt idx="4">
                  <c:v>2016</c:v>
                </c:pt>
                <c:pt idx="5">
                  <c:v>2015</c:v>
                </c:pt>
              </c:numCache>
            </c:numRef>
          </c:cat>
          <c:val>
            <c:numRef>
              <c:f>Hárok1!$B$2:$F$2</c:f>
              <c:numCache>
                <c:formatCode>#,##0</c:formatCode>
                <c:ptCount val="5"/>
                <c:pt idx="0">
                  <c:v>20805316</c:v>
                </c:pt>
                <c:pt idx="1">
                  <c:v>20598810</c:v>
                </c:pt>
                <c:pt idx="2">
                  <c:v>18284972</c:v>
                </c:pt>
                <c:pt idx="3">
                  <c:v>16961258</c:v>
                </c:pt>
                <c:pt idx="4">
                  <c:v>18490000</c:v>
                </c:pt>
              </c:numCache>
            </c:numRef>
          </c:val>
          <c:extLst>
            <c:ext xmlns:c16="http://schemas.microsoft.com/office/drawing/2014/chart" uri="{C3380CC4-5D6E-409C-BE32-E72D297353CC}">
              <c16:uniqueId val="{00000006-8CA5-4164-9DF1-BC8098E3446A}"/>
            </c:ext>
          </c:extLst>
        </c:ser>
        <c:dLbls>
          <c:showLegendKey val="0"/>
          <c:showVal val="1"/>
          <c:showCatName val="0"/>
          <c:showSerName val="0"/>
          <c:showPercent val="0"/>
          <c:showBubbleSize val="0"/>
        </c:dLbls>
        <c:gapWidth val="18"/>
        <c:gapDepth val="72"/>
        <c:shape val="cylinder"/>
        <c:axId val="14142960"/>
        <c:axId val="14143352"/>
        <c:axId val="0"/>
      </c:bar3DChart>
      <c:catAx>
        <c:axId val="14142960"/>
        <c:scaling>
          <c:orientation val="minMax"/>
        </c:scaling>
        <c:delete val="0"/>
        <c:axPos val="b"/>
        <c:numFmt formatCode="General" sourceLinked="1"/>
        <c:majorTickMark val="none"/>
        <c:minorTickMark val="none"/>
        <c:tickLblPos val="nextTo"/>
        <c:crossAx val="14143352"/>
        <c:crosses val="autoZero"/>
        <c:auto val="1"/>
        <c:lblAlgn val="ctr"/>
        <c:lblOffset val="100"/>
        <c:noMultiLvlLbl val="0"/>
      </c:catAx>
      <c:valAx>
        <c:axId val="14143352"/>
        <c:scaling>
          <c:orientation val="minMax"/>
        </c:scaling>
        <c:delete val="0"/>
        <c:axPos val="l"/>
        <c:majorGridlines/>
        <c:numFmt formatCode="#,##0" sourceLinked="1"/>
        <c:majorTickMark val="none"/>
        <c:minorTickMark val="none"/>
        <c:tickLblPos val="nextTo"/>
        <c:crossAx val="14142960"/>
        <c:crosses val="autoZero"/>
        <c:crossBetween val="between"/>
        <c:dispUnits>
          <c:builtInUnit val="thousands"/>
        </c:dispUnits>
      </c:valAx>
    </c:plotArea>
    <c:plotVisOnly val="1"/>
    <c:dispBlanksAs val="gap"/>
    <c:showDLblsOverMax val="0"/>
  </c:chart>
  <c:spPr>
    <a:ln w="19050">
      <a:solidFill>
        <a:schemeClr val="accent1"/>
      </a:solidFill>
    </a:ln>
  </c:spPr>
  <c:externalData r:id="rId2">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4S6OqnQy7Xf2wKx97kTdyN8vNQ==">AMUW2mVR+f70r8rakP9/aInwb/5TVHg3W/KTrJpdfDDhs/fgJWAQZxgGvHAz2HrcuH2KoJPj32EHsjdfSTN1WghCWu7t/iQFwAbb+OrjC6r3tAlxvkQaVOUQOgG2uVyMR547kviyG4az5A03edobNaLyHOZfI/TAuQA5eIEkI9Ss6/iJKEIIiijaK9qwVcmP5gRdjfc//2qFbZp4vRowS/QiKnZSYnePMyxpsoxK6d7YVV3uTGjyywU74HH5s+KzfW2vYeCNP7Id4IFE4GHOse5qGwoxpKXr2Bg3ugwd8X+LdcUEMgC/cGqB0OdUHtmsQa7+BYwY3CIlFWhV8H++Kyros+ujCRkEtH/jIlQGMkaNXAbJL8TwbICrY8pP8/PbXzMUdid/aTpPNOPtKSWPin2H7GF9en8RKiNE6spyYh8q0JFkNMmc08YZvsByAiKBc5bdotDpAFBs2mjpUtMs6GfZx9P6zCaMClsvity2Kni1pIZq9UWSFDz3QPSdmHmUiACPHxwV3gQW2IHOYY1YqiYNYX/D5WRWttepUz8E4L27u7s+uoBlJswIRUZ61gm4ncmuTqx+gTNtAi+Hnk6sKC7bn+hvJ/XnHday4nTJzW4gFJVeUjLJcN9wMBE9X6jdg7oKOfxflIGZYF2Ugwre7YXRYVvm2nJAPsF0hMeSVxPqUQP/rj5eMHfLU+289+3BgJ6vXoooTHFjlgn4LyWA7xj54Zrou9XS+KGF5LQIaaU3hkezxXapSZPFjsd/OeVB1So/EMaPfr5/vvPY6exW6tJ8bG3S+vozm6UZJ0yycVGxfAyGmIvWqmeEpah0nN5iRF2GIAAbuEXTKDI6eH0p8PMPXOQHEeFQLoYF0S7DbRW/HnkTJ3a/KyaVpj346FnT0lffQ66eZfbUp8XmMByFXE1NtGfuGRusMul1VCcu+9ehtx0uz7qjWJdGzzeAxVwW9HZ+pTC7yghfaTuhSsgrIydzR+R509okF0FEANTTFyLzOWBQ++AiKVzueMSt+59D9BpOt7kuHVrlaZFQfDaCFgIa7lBSriaT/zrAAVXSUS30J/tvAAl3d9dtNzfEsUI6grQqrKgZePjd5HjGjTLd4sW/C2lXy7ZmZGxZtDdDGXh7SIIZip3J7d2WtQbinCPgi+XmkTK4ETh7FbTUT+FxgPsiHTH0wBdlKyCHtWmCUbGBrplxgDt5cdg8ApokhTdSnUBQz5g5il5EQ3cpxvqwIB4MV8UdOFuugZqJc5WO0Cq/EAz8UwWPAnV9ZZyXlfZj/A2NQHPSQj9k5liHIx23GemT5S6teoEorOl4RhxIGCi1+zMGrmnoMkGuH+chf4M9EO7bdCrbwK1b7mf2AaVDS8wNwDbbRyC9M1i4xQ47fvam0EvnU0K11tQcnNXxETRNdIrlHpKXMEqXNTwnYjXJQssGzT37QxKcx7TJCZBXZmYmbqpVTLjXF/p5qn/tSKUtYFzAI/suejFFWnthTtMyqzjZStCLTB03AymVP1DVIMJCAO5HAjbSJ+VTBz/dWcHbG6P9DGtXEy5BwNYcRtEI6SOuGfjQ2Y8T/iTrB1KiTJkg1e87/Q15BnDrzf3gjuad7hxR8azTVN7KHheo/lIRK0aAa4i7twyHaeB+nXEb8yseqdCRQ4gEz/Pzv/huJ7J78hc0rY3d5yeP2rlETfsW3p7HmYOTXF5qs7beMBNel12k9gN25uc+PvL1Qqivmhl4N9l2LwbtOBjP22kSChvxizYIjpwQnkMrrKpWYMq2gdvJ+iw0LJQdfEjZj3i0+m3C17C1bI7FMI0pHYb2z2fpl7TBD4L3TuGrObqwn/LC8NN9QV74WeGtJxB+sAoFMfRtwLLfqGuba0kNBUC/OEGSFWJwFQQmUnrGjSZ4SPK3wMb2R6hYrgB52tltv+Rlx9xiHy9QxBFMgW+/jINwxsis6KYEcL65AGieJXFmja9Gs2xueBkv1jBjYy1IPvHmO9Rt56F9IXek6XqK0DNA31y3UUpdQqTycbAWZJipetHQP6M1jr/SuEVTdCGLGOzEEVdwN3Mb+1qKCmxr55EHfrcBhcMRa7oACFFGUAvAgBwB3JYyzHoztOSrmGa4POUI3GlBHyr9rLimyn5xCkD1H8aWaBOW32KXTsHECgf8+vR0Xs1gmSp9n38xXgTfMTekOpQOGMOddScWHPSnH9uvAjtOQzKKloMNZgKn9KqbRlQOg3nvX97/qh8HvmK63hterPKX/2nAjrj6ozIY20RWOYyj6uvIxZj0Fpt+8BF4zd/8B/GcTZOuOxcHBl9PT1VENb/axCl0IOsKf8rIH5OmDOKjjnHzp/Mrafsby1CkVIIUzSOwxm2K46l9uD+UtUl4E4zEF5N3e89NHNatRn6QyQdG1rFxK4Btg1hl95DxMFmUHbCXvbfE52GdwEDqEOHJKq4SEzZPE+C2P/fxtxase9DP6PT8CerGfDzGxcpFR2V55YvnqcCa3a0p5sdit2A2NOtPof3u1s98wsBRS2fWAagcg2zx26/4XxYdJampRGD/wMIkIjbjAJrklM3HdtER4IGJg9OEbFj1OktqxScDrDeI7x/MgbzAnx3ud0QPHqA0Z6vSQynHv038sEKhDpkfRFe9TRODHhBAWskjD1y9ZlyM/wiFP2k1BUEQvSTnW2KubpnIdAMBoTvOE4fBaIu2p+O3Vk/lVUqqMaosJZfogC4WqHF9nQBPWVH3efLsI9Uo25eTKSHMAU8DjJW7rXYSiKCZyAJJvXl8sJNQZxfszJcp56dyCcgM0SEXUStJu3kdBpYLmGcjlVQcppsepxAEIIidK0C4UxCumvoAyIdKy3UEbnub1gQI+OaxrZ/EVmKWHvwM90Ws5+lRa1lDVnuhO5kJcSSkrjreM9eb9pXv6pB1QuVnFjRG42JjPlg3lZo9m1Wuzb7gZJ9PZzLT4gFXaWSmzz9/C7DSDyEdPieTSnugijzbl0QjhaeF5sUOEm/0fBpZ3mg3V3x/IwqJPmReRAJ9aBZEQsO+gS18tXwQ/6Y0PiJp/4X7fLkGN4CWa8qZr3iHbOdfCC15WEELOWJUkdiw4KxRI2sHI+Gj8W+5jtWhkXZoJcqC09BtxXrXSsIMKXbez5NOD9zR8aNV74g2PTCGX/AiAcN/3VF1UjR/Ek8OpgX5Dcpjv9RUAxNqtx8y3ullUlF/stVX89BpN3PMQHA6O5veY6Iyffr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1853</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Branislav Ballay</dc:creator>
  <cp:lastModifiedBy>Rafael Tadevosjan (CZ)</cp:lastModifiedBy>
  <cp:revision>2</cp:revision>
  <dcterms:created xsi:type="dcterms:W3CDTF">2021-06-30T15:11:00Z</dcterms:created>
  <dcterms:modified xsi:type="dcterms:W3CDTF">2021-06-30T15:11:00Z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0x0101008A6BEC702B469B44A3CF66722DC2380C</vt:lpwstr>
  </property>
</Properties>
</file>