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4EDD61" w14:textId="77777777" w:rsidR="00A57F8E" w:rsidRDefault="00A57F8E"/>
    <w:p w14:paraId="608F7F58" w14:textId="77777777" w:rsidR="00A57F8E" w:rsidRDefault="00243358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I. Všeobecné informácie</w:t>
      </w:r>
    </w:p>
    <w:p w14:paraId="7C153A24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Základné informácie o spoločnosti</w:t>
      </w:r>
    </w:p>
    <w:p w14:paraId="55647BDA" w14:textId="77777777" w:rsidR="00A57F8E" w:rsidRPr="007D47A6" w:rsidRDefault="0024335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Obchodné meno a 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7D47A6">
        <w:rPr>
          <w:rFonts w:ascii="Arial" w:hAnsi="Arial" w:cs="Arial"/>
          <w:b/>
          <w:sz w:val="20"/>
          <w:szCs w:val="20"/>
        </w:rPr>
        <w:t xml:space="preserve">RENTALIX  s.r.o. </w:t>
      </w:r>
      <w:proofErr w:type="spellStart"/>
      <w:r w:rsidRPr="007D47A6">
        <w:rPr>
          <w:rFonts w:ascii="Arial" w:hAnsi="Arial" w:cs="Arial"/>
          <w:b/>
          <w:sz w:val="20"/>
          <w:szCs w:val="20"/>
        </w:rPr>
        <w:t>Čučmianska</w:t>
      </w:r>
      <w:proofErr w:type="spellEnd"/>
      <w:r w:rsidRPr="007D47A6">
        <w:rPr>
          <w:rFonts w:ascii="Arial" w:hAnsi="Arial" w:cs="Arial"/>
          <w:b/>
          <w:sz w:val="20"/>
          <w:szCs w:val="20"/>
        </w:rPr>
        <w:t xml:space="preserve"> dlhá 26, 048 01 Rožňava</w:t>
      </w:r>
    </w:p>
    <w:p w14:paraId="0AF02EF1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RENTALIX spoločnosť s ručením obmedzeným bola do Obchodného registra Okresného registra Okresného súdu v Košiciach </w:t>
      </w:r>
      <w:proofErr w:type="spellStart"/>
      <w:r>
        <w:rPr>
          <w:rFonts w:ascii="Arial" w:hAnsi="Arial" w:cs="Arial"/>
          <w:sz w:val="20"/>
          <w:szCs w:val="20"/>
        </w:rPr>
        <w:t>I.zapísaná</w:t>
      </w:r>
      <w:proofErr w:type="spellEnd"/>
      <w:r>
        <w:rPr>
          <w:rFonts w:ascii="Arial" w:hAnsi="Arial" w:cs="Arial"/>
          <w:sz w:val="20"/>
          <w:szCs w:val="20"/>
        </w:rPr>
        <w:t xml:space="preserve"> 3. 2. 2005.</w:t>
      </w:r>
    </w:p>
    <w:p w14:paraId="3B4597BC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Hlavným predmetom činnosti účtovnej jednotky je činnosť v oblasti nehnuteľností s vlastným, alebo prenajatým majetkom, správa, prenájom a predaj nehnuteľností, administrat</w:t>
      </w:r>
      <w:r w:rsidR="007D47A6">
        <w:rPr>
          <w:rFonts w:ascii="Arial" w:hAnsi="Arial" w:cs="Arial"/>
          <w:sz w:val="20"/>
          <w:szCs w:val="20"/>
        </w:rPr>
        <w:t>ív</w:t>
      </w:r>
      <w:r>
        <w:rPr>
          <w:rFonts w:ascii="Arial" w:hAnsi="Arial" w:cs="Arial"/>
          <w:sz w:val="20"/>
          <w:szCs w:val="20"/>
        </w:rPr>
        <w:t>ne práce, poradenská a konzultačná činnosť, správa registratúry, realitná činnosť.</w:t>
      </w:r>
    </w:p>
    <w:p w14:paraId="77DAEC5F" w14:textId="53A99304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Účtovná závierka za predchádzajúce účtovné obdobie bola schválená valným zhromaždením spoločnosti dňa 2</w:t>
      </w:r>
      <w:r w:rsidR="000C32EC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. </w:t>
      </w:r>
      <w:r w:rsidR="004E31AA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>. 20</w:t>
      </w:r>
      <w:r w:rsidR="000C32EC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>. Účtovná závierka spoločnosti k 31. 12. 201</w:t>
      </w:r>
      <w:r w:rsidR="004E31AA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bola uložená do registra účtovných závierok.</w:t>
      </w:r>
    </w:p>
    <w:p w14:paraId="24AAF9FD" w14:textId="76CB1F76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 Účtovná závierka bola zostavená ako riadna účtovná závierka za obdobie od 1. januára 20</w:t>
      </w:r>
      <w:r w:rsidR="000C32EC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 do 31. decembra 20</w:t>
      </w:r>
      <w:r w:rsidR="000C32EC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podľa slovenského zákona o účtovníctve a postupov účtovania pre podnikateľov.</w:t>
      </w:r>
    </w:p>
    <w:p w14:paraId="4E4533F4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4. Účtovná jednotka nezostavuje konsolidovanú účtovnú závierku, nie je súčasťou konsolidačného poľa.</w:t>
      </w:r>
    </w:p>
    <w:p w14:paraId="4FE6F7B3" w14:textId="0299222C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Účtovná jednotka v priebehu účtovného obdobia </w:t>
      </w:r>
      <w:r w:rsidR="000C32EC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 xml:space="preserve">zamestnávala </w:t>
      </w:r>
      <w:r w:rsidR="000C32EC">
        <w:rPr>
          <w:rFonts w:ascii="Arial" w:hAnsi="Arial" w:cs="Arial"/>
          <w:sz w:val="20"/>
          <w:szCs w:val="20"/>
        </w:rPr>
        <w:t>žiadnych zamestnancov.</w:t>
      </w:r>
    </w:p>
    <w:p w14:paraId="6AB9629E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65094A5F" w14:textId="77777777" w:rsidR="00A57F8E" w:rsidRDefault="00243358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II. Informácie o orgánoch spoločnosti</w:t>
      </w:r>
    </w:p>
    <w:p w14:paraId="30770BD5" w14:textId="77777777" w:rsidR="00A57F8E" w:rsidRDefault="00A57F8E">
      <w:pPr>
        <w:jc w:val="center"/>
        <w:rPr>
          <w:rFonts w:ascii="Arial" w:hAnsi="Arial" w:cs="Arial"/>
          <w:b/>
          <w:sz w:val="20"/>
          <w:szCs w:val="20"/>
        </w:rPr>
      </w:pPr>
    </w:p>
    <w:p w14:paraId="620DC4BE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Štatutárnym orgánom spoločnosti sú dvaja konatelia. Kolektívne kontrolné alebo riadiace orgány spoločnosť vytvorené nemá. V účtovnom období neboli členom orgánov spoločnosti poskytnuté žiadne záruky ani iné zabezpečenia. Konateľom neboli vyplatené žiadne odmeny za výkon funkcie.</w:t>
      </w:r>
      <w:r w:rsidR="004E31AA">
        <w:rPr>
          <w:rFonts w:ascii="Arial" w:hAnsi="Arial" w:cs="Arial"/>
          <w:sz w:val="20"/>
          <w:szCs w:val="20"/>
        </w:rPr>
        <w:t xml:space="preserve"> K 12. 12. 2019 došlo k zmene konateľa, novým konateľom sa stala Mgr. Adriana </w:t>
      </w:r>
      <w:proofErr w:type="spellStart"/>
      <w:r w:rsidR="004E31AA">
        <w:rPr>
          <w:rFonts w:ascii="Arial" w:hAnsi="Arial" w:cs="Arial"/>
          <w:sz w:val="20"/>
          <w:szCs w:val="20"/>
        </w:rPr>
        <w:t>Sappanosová</w:t>
      </w:r>
      <w:proofErr w:type="spellEnd"/>
      <w:r w:rsidR="004E31AA">
        <w:rPr>
          <w:rFonts w:ascii="Arial" w:hAnsi="Arial" w:cs="Arial"/>
          <w:sz w:val="20"/>
          <w:szCs w:val="20"/>
        </w:rPr>
        <w:t xml:space="preserve">.    </w:t>
      </w:r>
    </w:p>
    <w:p w14:paraId="4541891C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7E35DA13" w14:textId="77777777" w:rsidR="00A57F8E" w:rsidRDefault="00243358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III. Informácie o prijatých postupoch</w:t>
      </w:r>
    </w:p>
    <w:p w14:paraId="72FC021C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Spoločnosť uplatňuje účtovné princípy a postupy účtovania v súlade so zákonom o účtovníctve a postupmi účtovania pre podnikateľov, ktoré platia v Slovenskej republike. Účtovníctvo sa vedie v mene euro. Účtovná závierka bola zostavená za predpokladu nepretržitého trvania vo svojej činnosti.</w:t>
      </w:r>
    </w:p>
    <w:p w14:paraId="48E9EC13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Účtovníctvo je vedené na základe akruálneho princípu, účtovné prípady sa účtujú do obdobia, s ktorým časovo a vecne súvisia. Pri oceňovaní majetku a záväzkov sa uplatňuje zásada opatrnosti, rešpektujú sa všetky riziká, straty a zníženia hodnoty, ktoré sa týkajú majetku a záväzkov a sú ku dňu zostavenia účtovnej závierky známe.</w:t>
      </w:r>
    </w:p>
    <w:p w14:paraId="51127123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Výnosy </w:t>
      </w:r>
      <w:r w:rsidR="005571B6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a účtujú pri splnení dodacích podmienok, keď na odberateľa prechádzajú významné riziká a vlastnícke práva. Tržby za tovar a služby neobsahujú daň z pridanej hodnoty.</w:t>
      </w:r>
    </w:p>
    <w:p w14:paraId="4B8B3C8E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4. Dlhodobé a krátkodobé záväzky a pohľadávky sú v účtovnej závierke prezentované podľa doby splatnosti ku dňu zostavenia účtovnej závierky.</w:t>
      </w:r>
    </w:p>
    <w:p w14:paraId="379F028E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5. Rezervy a opravné položky sú vykázané na základe odhadov budúcej hodnoty majetku a záväzkov.</w:t>
      </w:r>
    </w:p>
    <w:p w14:paraId="6A31DBCC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6. Účtovná jednotka dodržiava zásadu bilančnej kontinuity.</w:t>
      </w:r>
    </w:p>
    <w:p w14:paraId="15CA15A0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7. Účtovanie daní sa riadi postupmi účtovania, DPH a ostatné spotrebné dane sú z daňového pohľadu zhodné s účtovnými hodnotami. Splatná daň je výsledkom daňovej analýzy hospodárskeho výsledku vypočítaného ako rozdiel nákladov a výnosov upraveného o pripočítateľné a odpočítateľné položky v zmysle platného zákona o daniach z príjmu.</w:t>
      </w:r>
    </w:p>
    <w:p w14:paraId="04AC5FEA" w14:textId="77777777" w:rsidR="00A57F8E" w:rsidRDefault="005571B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243358">
        <w:rPr>
          <w:rFonts w:ascii="Arial" w:hAnsi="Arial" w:cs="Arial"/>
          <w:sz w:val="20"/>
          <w:szCs w:val="20"/>
        </w:rPr>
        <w:t>. Spôsob ocenenia jednotlivých zložiek majetku a záväzkov</w:t>
      </w:r>
    </w:p>
    <w:p w14:paraId="63E83DBE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 obstaraní majetku sa uplatňuje princíp obstarávacích cien. Ocenenie jednotlivých zložiek majetku je nasledovne:</w:t>
      </w:r>
    </w:p>
    <w:p w14:paraId="5F958288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hmotný a nehmotný majetok obstaraný kúpou – obstarávacou cenou. Bezodplatne obstaraný, alebo novozistený majetok sa oceňuje reálnou hodnotou – v účtovnom období nebol použitý.</w:t>
      </w:r>
    </w:p>
    <w:p w14:paraId="05BD7373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nakupované zásoby – obstarávacou cenou.</w:t>
      </w:r>
    </w:p>
    <w:p w14:paraId="5002C6A9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pohľadávky pri ich vzniku sa oceňujú menovitou hodnotou. Pri odplatnom nadobudnutí – postúpení a pod. sa oceňujú obstarávacou cenou.</w:t>
      </w:r>
    </w:p>
    <w:p w14:paraId="158C30F7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krátkodobý finančný majetok – peniaze v pokladni a na bankových účtoch a ceniny sa oceňujú menovitou hodnotou.</w:t>
      </w:r>
    </w:p>
    <w:p w14:paraId="3E3F38F7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záväzky pri ich vzniku menovitou hodnotou.</w:t>
      </w:r>
    </w:p>
    <w:p w14:paraId="1A792F47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rezervy v očakávanej výške na základe kalkulácií alebo kvalifikovaného odhadu.</w:t>
      </w:r>
    </w:p>
    <w:p w14:paraId="36177E93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pôžičky pri ich vzniku menovitou hodnotou, úroky sa účtujú do obdobia, s ktorým časovo a vecne súvisia.</w:t>
      </w:r>
    </w:p>
    <w:p w14:paraId="3E5FA7B1" w14:textId="25D15E6E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h) splatná daň z príjmov – po transformácii účtovného výsledku  na základ dane vo výške </w:t>
      </w:r>
      <w:r w:rsidR="000C32EC">
        <w:rPr>
          <w:rFonts w:ascii="Arial" w:hAnsi="Arial" w:cs="Arial"/>
          <w:sz w:val="20"/>
          <w:szCs w:val="20"/>
        </w:rPr>
        <w:t>15</w:t>
      </w:r>
      <w:r>
        <w:rPr>
          <w:rFonts w:ascii="Arial" w:hAnsi="Arial" w:cs="Arial"/>
          <w:sz w:val="20"/>
          <w:szCs w:val="20"/>
        </w:rPr>
        <w:t xml:space="preserve"> %. Odložené dane sa neúčtujú.</w:t>
      </w:r>
    </w:p>
    <w:p w14:paraId="76B1066B" w14:textId="77777777" w:rsidR="00A57F8E" w:rsidRDefault="007D47A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="00243358">
        <w:rPr>
          <w:rFonts w:ascii="Arial" w:hAnsi="Arial" w:cs="Arial"/>
          <w:sz w:val="20"/>
          <w:szCs w:val="20"/>
        </w:rPr>
        <w:t>h) predpokladané riziká, straty a znehodnotenia, ktoré sa týkajú majetku a záväzkov sa účtujú prostredníctvom rezerv, opravných položiek a odpisov.</w:t>
      </w:r>
    </w:p>
    <w:p w14:paraId="00501DE7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má stanovené pravidlá na odpisovanie dlhodobého majetku. Dlhodobý hmotný majetok odpisuje nad hodnotu 1 700 €. Účtovný odpis sa stanovuje na každý majetok zvlášť v závislosti od predpokladanej doby životnosti. Drobný majetok, ktorého hodnota nedosahuje stanovené hodnoty, je účtovaný do spotreby a vedený v operatívnej evidencii. Odpisový plán je zostavený nasledovne: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A57F8E" w14:paraId="07335769" w14:textId="77777777">
        <w:trPr>
          <w:trHeight w:val="498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7D11B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DB668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Odpisová metóda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B5B1E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3759A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Odpisová metóda</w:t>
            </w:r>
          </w:p>
        </w:tc>
      </w:tr>
      <w:tr w:rsidR="00A57F8E" w14:paraId="66519646" w14:textId="77777777">
        <w:trPr>
          <w:trHeight w:val="283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D0F0A" w14:textId="77777777" w:rsidR="00A57F8E" w:rsidRDefault="0024335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26DFCE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4AE43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E24AB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</w:tr>
      <w:tr w:rsidR="00A57F8E" w14:paraId="52A80C5C" w14:textId="77777777">
        <w:trPr>
          <w:trHeight w:val="283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EF9AF" w14:textId="77777777" w:rsidR="00A57F8E" w:rsidRDefault="0024335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BD8AE2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– 6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5F7EA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16,7 – 25 %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4907F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rovnomerný</w:t>
            </w:r>
          </w:p>
        </w:tc>
      </w:tr>
      <w:tr w:rsidR="00A57F8E" w14:paraId="612A9E6A" w14:textId="77777777">
        <w:trPr>
          <w:trHeight w:val="283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F166B" w14:textId="77777777" w:rsidR="00A57F8E" w:rsidRDefault="0024335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Nehmotné aktíva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BB70D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A3FB2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A5E90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</w:tr>
    </w:tbl>
    <w:p w14:paraId="3B0C3C1F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5F6B5584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Odpisový plán zostavila účtovná v súlade so svojimi prevádzkovými potrebami.</w:t>
      </w:r>
    </w:p>
    <w:p w14:paraId="33BC8424" w14:textId="77777777" w:rsidR="00A57F8E" w:rsidRDefault="005571B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243358">
        <w:rPr>
          <w:rFonts w:ascii="Arial" w:hAnsi="Arial" w:cs="Arial"/>
          <w:sz w:val="20"/>
          <w:szCs w:val="20"/>
        </w:rPr>
        <w:t>. Opravy chýb minulých účtovných období</w:t>
      </w:r>
    </w:p>
    <w:p w14:paraId="62263517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bežnom účtovnom období neúčtovala o oprave významných , ani nevýznamných chýb minulých účtovných období.</w:t>
      </w:r>
    </w:p>
    <w:p w14:paraId="6ECF8F4A" w14:textId="77777777" w:rsidR="00A57F8E" w:rsidRDefault="005571B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</w:t>
      </w:r>
      <w:r w:rsidR="00243358">
        <w:rPr>
          <w:rFonts w:ascii="Arial" w:hAnsi="Arial" w:cs="Arial"/>
          <w:sz w:val="20"/>
          <w:szCs w:val="20"/>
        </w:rPr>
        <w:t>. Dotácie</w:t>
      </w:r>
    </w:p>
    <w:p w14:paraId="2BB90537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neúčtovala v účtovnom období o prevádzkových , ani investičných dotáciách.</w:t>
      </w:r>
    </w:p>
    <w:p w14:paraId="7409E838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3B1E92FF" w14:textId="77777777" w:rsidR="00A57F8E" w:rsidRDefault="00243358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IV. Informácie, ktoré vysvetľujú a dopĺňajú súvahu a výkaz ziskov a strát</w:t>
      </w:r>
    </w:p>
    <w:p w14:paraId="1EFA14C9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Dlhodobý majetok</w:t>
      </w:r>
    </w:p>
    <w:p w14:paraId="7AFC15D1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dlhodobý majetok spoločnosti nie je zriadené záložné právo. Spoločnosti neboli poskytnuté žiadne investičné dotácie.</w:t>
      </w:r>
    </w:p>
    <w:p w14:paraId="33DDF8F9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Záväzky</w:t>
      </w:r>
    </w:p>
    <w:p w14:paraId="65A540A5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účtovnej jednotky sú krátkodobé aj dlhodobé. Sú tvorené záväzkami z dodávateľsko-odberateľských vzťahov , dlhodobým záväzkom je istina zo splátkového úveru na obstaranie motorového vozidla.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7"/>
        <w:gridCol w:w="3118"/>
        <w:gridCol w:w="2867"/>
      </w:tblGrid>
      <w:tr w:rsidR="00A57F8E" w14:paraId="179980A1" w14:textId="77777777">
        <w:trPr>
          <w:trHeight w:val="547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DF221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E9CF4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8029F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7F8E" w14:paraId="735CB689" w14:textId="77777777">
        <w:trPr>
          <w:trHeight w:val="283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8656B" w14:textId="77777777" w:rsidR="00A57F8E" w:rsidRDefault="0024335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7BE45" w14:textId="3D9CFA24" w:rsidR="00A57F8E" w:rsidRDefault="000C32E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32 645</w:t>
            </w:r>
          </w:p>
        </w:tc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B3569" w14:textId="77777777" w:rsidR="00A57F8E" w:rsidRDefault="004E31AA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A57F8E" w14:paraId="5F59598C" w14:textId="77777777">
        <w:trPr>
          <w:trHeight w:val="283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3AB37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splatné nad 5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C4A27" w14:textId="77777777" w:rsidR="00A57F8E" w:rsidRDefault="00A57F8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58699" w14:textId="77777777" w:rsidR="00A57F8E" w:rsidRDefault="00A57F8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7F8E" w14:paraId="5862C19B" w14:textId="77777777">
        <w:trPr>
          <w:trHeight w:val="283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D3205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splatné od 1 – 5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49B58" w14:textId="2CCAE3CD" w:rsidR="00A57F8E" w:rsidRDefault="000C3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32 645</w:t>
            </w:r>
          </w:p>
        </w:tc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C85B49" w14:textId="77777777" w:rsidR="00A57F8E" w:rsidRDefault="004E31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57F8E" w14:paraId="52D116D6" w14:textId="77777777">
        <w:trPr>
          <w:trHeight w:val="283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A3917" w14:textId="77777777" w:rsidR="00A57F8E" w:rsidRDefault="0024335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5D02C5" w14:textId="5CE173DA" w:rsidR="00A57F8E" w:rsidRDefault="000C32E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70 383</w:t>
            </w:r>
          </w:p>
        </w:tc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00A1F" w14:textId="593E6D36" w:rsidR="00A57F8E" w:rsidRDefault="000C32E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39 050</w:t>
            </w:r>
          </w:p>
        </w:tc>
      </w:tr>
      <w:tr w:rsidR="00A57F8E" w14:paraId="758E8972" w14:textId="77777777">
        <w:trPr>
          <w:trHeight w:val="283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5E5D6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splatné do 1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F1144" w14:textId="27C4F557" w:rsidR="00A57F8E" w:rsidRDefault="000C3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70 383</w:t>
            </w:r>
          </w:p>
        </w:tc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64555" w14:textId="7EDCD9DA" w:rsidR="00A57F8E" w:rsidRDefault="000C3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39 050</w:t>
            </w:r>
          </w:p>
        </w:tc>
      </w:tr>
      <w:tr w:rsidR="00A57F8E" w14:paraId="7902167E" w14:textId="77777777">
        <w:trPr>
          <w:trHeight w:val="283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BC3C3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1F8AB" w14:textId="77777777" w:rsidR="00A57F8E" w:rsidRDefault="00A57F8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D7018" w14:textId="77777777" w:rsidR="00A57F8E" w:rsidRDefault="00A57F8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025CE71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256DA9D5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 Informácie o nákladoch a výnosoch , ktoré majú výnimočný rozsah alebo výskyt</w:t>
      </w:r>
    </w:p>
    <w:p w14:paraId="7B190F9D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bežnom účtovnom období neúčtovala o nákladoch alebo výnosoch, ktoré by mali výnimočný rozsah alebo výskyt.</w:t>
      </w:r>
    </w:p>
    <w:p w14:paraId="0B7905EE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3CE533BC" w14:textId="77777777" w:rsidR="00A57F8E" w:rsidRDefault="00243358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V. Iné aktíva a iné pasíva</w:t>
      </w:r>
    </w:p>
    <w:p w14:paraId="3FFE7695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Podmienené záväzky</w:t>
      </w:r>
    </w:p>
    <w:p w14:paraId="20181051" w14:textId="7C29EBA6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Správny výpočet splatnej dane z príjmov je možné podrobiť daňovej kontrole do piatich rokov. Skutočnosť, že určité obdobie bolo správcom dane kontrolované, nemá vplyv na vylúčenie tohto obdobia z ďalšej kontroly. V dôsledku toho sú daňové priznania za obdobia rokov 20</w:t>
      </w:r>
      <w:r w:rsidR="000C32EC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– 201</w:t>
      </w:r>
      <w:r w:rsidR="000C32EC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otvorené a môžu byť predmetom kontroly.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2"/>
        <w:gridCol w:w="2835"/>
        <w:gridCol w:w="2725"/>
      </w:tblGrid>
      <w:tr w:rsidR="00A57F8E" w14:paraId="3C37A792" w14:textId="77777777">
        <w:trPr>
          <w:trHeight w:val="432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6B343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Druh podmieneného záväzku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880841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16333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A57F8E" w14:paraId="20D3EBDF" w14:textId="77777777">
        <w:trPr>
          <w:trHeight w:val="28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4523F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 súdnych rozhodnutí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41C4C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E482F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55D1FE02" w14:textId="77777777">
        <w:trPr>
          <w:trHeight w:val="28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C97B5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poskytnutých záruk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2508D1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022C1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599E76BF" w14:textId="77777777">
        <w:trPr>
          <w:trHeight w:val="28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A7FE5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 všeobecne záväzných predpisov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966FB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08F84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3D981A76" w14:textId="77777777">
        <w:trPr>
          <w:trHeight w:val="28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E5547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 zmluvy o podriadenom záväzku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A611C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C1A41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44F94B92" w14:textId="77777777">
        <w:trPr>
          <w:trHeight w:val="28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BFB9C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ručenia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041E1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BFCAD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14:paraId="2AD4E7E6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44D11D73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neočakáva prírastok, ani zníženie aktív v dôsledku minulých udalostí.</w:t>
      </w:r>
    </w:p>
    <w:p w14:paraId="256395C7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Podmienený majetok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44"/>
        <w:gridCol w:w="2268"/>
        <w:gridCol w:w="2300"/>
      </w:tblGrid>
      <w:tr w:rsidR="00A57F8E" w14:paraId="2019FA05" w14:textId="77777777">
        <w:trPr>
          <w:trHeight w:val="532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5B454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3EDD4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7CCD7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A57F8E" w14:paraId="54092C8E" w14:textId="77777777">
        <w:trPr>
          <w:trHeight w:val="283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96836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Práva zo servisných zmlúv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FA3A7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614D0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08EDC7BA" w14:textId="77777777">
        <w:trPr>
          <w:trHeight w:val="283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F17E0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Práva z poistných zmlúv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3F9D8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4848D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77EA3E09" w14:textId="77777777">
        <w:trPr>
          <w:trHeight w:val="283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13EE62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Práva z koncesionárskych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zmúv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CE7D8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46EC75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585243CB" w14:textId="77777777">
        <w:trPr>
          <w:trHeight w:val="283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AD115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Práva z licenčných zmlúv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40F88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4CCD2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31942B3C" w14:textId="77777777">
        <w:trPr>
          <w:trHeight w:val="283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FA2BA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Práva z investovania prostriedkov získaných oslobodením od dane z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12AD8E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927AE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57F8E" w14:paraId="142CDAFB" w14:textId="77777777">
        <w:trPr>
          <w:trHeight w:val="283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B5B5D" w14:textId="77777777" w:rsidR="00A57F8E" w:rsidRDefault="0024335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Práva zo súdnych sporov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CCBF7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979A8" w14:textId="77777777" w:rsidR="00A57F8E" w:rsidRDefault="0024335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14:paraId="17D98476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0EBB5BF7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nemá informácie o existencii podmieneného majetku ku dňu účtovnej závierky.</w:t>
      </w:r>
    </w:p>
    <w:p w14:paraId="44C3D5F1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 Podsúvahové účty</w:t>
      </w:r>
    </w:p>
    <w:p w14:paraId="27F355C5" w14:textId="77777777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na podsúvahových účtoch účtovala len za účelom pomocnej evidencie k DPH.</w:t>
      </w:r>
    </w:p>
    <w:p w14:paraId="3D2E2A87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2F224D38" w14:textId="77777777" w:rsidR="00A57F8E" w:rsidRDefault="00243358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VI. Udalosti, ktoré nastali po dni, ku ktorému sa zostavuje účtovná závierka</w:t>
      </w:r>
    </w:p>
    <w:p w14:paraId="51F91E75" w14:textId="23F0FB62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0C32EC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a do dňa zostavenia účtovnej závierky nenastali žiadne udalosti, ktoré by významným spôsobom ovplyvnili aktíva, pasíva alebo výsledky hospodárenia spoločnosti a mali by za následok úpravy vo finančných výkazoch.</w:t>
      </w:r>
      <w:r w:rsidR="004E31AA">
        <w:rPr>
          <w:rFonts w:ascii="Arial" w:hAnsi="Arial" w:cs="Arial"/>
          <w:sz w:val="20"/>
          <w:szCs w:val="20"/>
        </w:rPr>
        <w:t xml:space="preserve"> K 5. 2. 2020 došlo k zmene spoločníkov obchodnej spoločnosti.</w:t>
      </w:r>
    </w:p>
    <w:p w14:paraId="5D12426C" w14:textId="77777777" w:rsidR="00A57F8E" w:rsidRDefault="00A57F8E">
      <w:pPr>
        <w:rPr>
          <w:rFonts w:ascii="Arial" w:hAnsi="Arial" w:cs="Arial"/>
          <w:sz w:val="20"/>
          <w:szCs w:val="20"/>
        </w:rPr>
      </w:pPr>
    </w:p>
    <w:p w14:paraId="208B13DC" w14:textId="477E1AC9" w:rsidR="00A57F8E" w:rsidRDefault="0024335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Rožňave dňa: </w:t>
      </w:r>
      <w:r w:rsidR="000C32EC">
        <w:rPr>
          <w:rFonts w:ascii="Arial" w:hAnsi="Arial" w:cs="Arial"/>
          <w:sz w:val="20"/>
          <w:szCs w:val="20"/>
        </w:rPr>
        <w:t>30. 3. 2021</w:t>
      </w:r>
      <w:r>
        <w:rPr>
          <w:rFonts w:ascii="Arial" w:hAnsi="Arial" w:cs="Arial"/>
          <w:sz w:val="20"/>
          <w:szCs w:val="20"/>
        </w:rPr>
        <w:t xml:space="preserve"> </w:t>
      </w:r>
    </w:p>
    <w:sectPr w:rsidR="00A57F8E">
      <w:headerReference w:type="default" r:id="rId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CE4866" w14:textId="77777777" w:rsidR="00044521" w:rsidRDefault="00044521">
      <w:pPr>
        <w:spacing w:after="0" w:line="240" w:lineRule="auto"/>
      </w:pPr>
      <w:r>
        <w:separator/>
      </w:r>
    </w:p>
  </w:endnote>
  <w:endnote w:type="continuationSeparator" w:id="0">
    <w:p w14:paraId="7339EDEE" w14:textId="77777777" w:rsidR="00044521" w:rsidRDefault="000445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B2F800" w14:textId="77777777" w:rsidR="00044521" w:rsidRDefault="0004452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2149AF8" w14:textId="77777777" w:rsidR="00044521" w:rsidRDefault="000445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157" w:type="dxa"/>
      <w:tblInd w:w="55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850"/>
      <w:gridCol w:w="2668"/>
      <w:gridCol w:w="531"/>
      <w:gridCol w:w="43"/>
      <w:gridCol w:w="306"/>
      <w:gridCol w:w="237"/>
      <w:gridCol w:w="69"/>
      <w:gridCol w:w="240"/>
      <w:gridCol w:w="66"/>
      <w:gridCol w:w="243"/>
      <w:gridCol w:w="64"/>
      <w:gridCol w:w="246"/>
      <w:gridCol w:w="61"/>
      <w:gridCol w:w="248"/>
      <w:gridCol w:w="58"/>
      <w:gridCol w:w="251"/>
      <w:gridCol w:w="55"/>
      <w:gridCol w:w="254"/>
      <w:gridCol w:w="53"/>
      <w:gridCol w:w="254"/>
      <w:gridCol w:w="53"/>
      <w:gridCol w:w="254"/>
      <w:gridCol w:w="53"/>
    </w:tblGrid>
    <w:tr w:rsidR="00C02BA8" w14:paraId="1812E5AA" w14:textId="77777777">
      <w:trPr>
        <w:trHeight w:val="446"/>
      </w:trPr>
      <w:tc>
        <w:tcPr>
          <w:tcW w:w="28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14:paraId="27360772" w14:textId="77777777" w:rsidR="00C02BA8" w:rsidRDefault="00243358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PODV 3 - 01</w:t>
          </w:r>
        </w:p>
      </w:tc>
      <w:tc>
        <w:tcPr>
          <w:tcW w:w="2668" w:type="dxa"/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14:paraId="5EC87801" w14:textId="77777777" w:rsidR="00C02BA8" w:rsidRDefault="00044521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574" w:type="dxa"/>
          <w:gridSpan w:val="2"/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14:paraId="4BB0A52A" w14:textId="77777777" w:rsidR="00C02BA8" w:rsidRDefault="00243358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30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2BD1E30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306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C3C00CA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306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4F707B1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307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3EF07FC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307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41243F6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306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BC6001F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306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5FF713D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307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23A8120B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307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1C90485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307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7BF1199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</w:tr>
    <w:tr w:rsidR="00C02BA8" w14:paraId="50F08D0F" w14:textId="77777777">
      <w:trPr>
        <w:trHeight w:val="377"/>
      </w:trPr>
      <w:tc>
        <w:tcPr>
          <w:tcW w:w="6049" w:type="dxa"/>
          <w:gridSpan w:val="3"/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14:paraId="28017563" w14:textId="77777777" w:rsidR="00C02BA8" w:rsidRDefault="00243358">
          <w:pPr>
            <w:spacing w:after="0" w:line="240" w:lineRule="auto"/>
          </w:pP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</w:p>
      </w:tc>
      <w:tc>
        <w:tcPr>
          <w:tcW w:w="586" w:type="dxa"/>
          <w:gridSpan w:val="3"/>
          <w:tcBorders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B012D81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IČO</w:t>
          </w:r>
        </w:p>
      </w:tc>
      <w:tc>
        <w:tcPr>
          <w:tcW w:w="309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73BA632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309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2663C16E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310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C0056B3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5</w:t>
          </w:r>
        </w:p>
      </w:tc>
      <w:tc>
        <w:tcPr>
          <w:tcW w:w="309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40B04A5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</w:p>
      </w:tc>
      <w:tc>
        <w:tcPr>
          <w:tcW w:w="309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5BDEBD6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309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20D2591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307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2D6707B0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307" w:type="dxa"/>
          <w:gridSpan w:val="2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49EC6DF" w14:textId="77777777" w:rsidR="00C02BA8" w:rsidRDefault="00243358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</w:p>
      </w:tc>
      <w:tc>
        <w:tcPr>
          <w:tcW w:w="53" w:type="dxa"/>
        </w:tcPr>
        <w:p w14:paraId="3A405458" w14:textId="77777777" w:rsidR="00C02BA8" w:rsidRDefault="0004452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</w:p>
      </w:tc>
    </w:tr>
  </w:tbl>
  <w:p w14:paraId="3760512A" w14:textId="77777777" w:rsidR="00C02BA8" w:rsidRDefault="00044521">
    <w:pPr>
      <w:pStyle w:val="Hlavika"/>
    </w:pPr>
  </w:p>
  <w:p w14:paraId="05169480" w14:textId="77777777" w:rsidR="00C02BA8" w:rsidRDefault="0004452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7F8E"/>
    <w:rsid w:val="00044521"/>
    <w:rsid w:val="00052156"/>
    <w:rsid w:val="000C32EC"/>
    <w:rsid w:val="001057D8"/>
    <w:rsid w:val="00243358"/>
    <w:rsid w:val="00367DBF"/>
    <w:rsid w:val="003A561D"/>
    <w:rsid w:val="004E31AA"/>
    <w:rsid w:val="005571B6"/>
    <w:rsid w:val="007D47A6"/>
    <w:rsid w:val="008474F6"/>
    <w:rsid w:val="008E797C"/>
    <w:rsid w:val="00985367"/>
    <w:rsid w:val="00A57F8E"/>
    <w:rsid w:val="00C26ED7"/>
    <w:rsid w:val="00CA290A"/>
    <w:rsid w:val="00CC3277"/>
    <w:rsid w:val="00CC3B47"/>
    <w:rsid w:val="00E836C4"/>
    <w:rsid w:val="00EF7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48FEA"/>
  <w15:docId w15:val="{DB0567F3-5CB8-4DD1-82B7-BBCE03F8C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uppressAutoHyphens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Predvolenpsmoodseku"/>
    <w:rPr>
      <w:rFonts w:ascii="Arial Narrow" w:eastAsia="Times New Roman" w:hAnsi="Arial Narrow" w:cs="Arial Narrow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Predvolenpsmoodseku"/>
    <w:rPr>
      <w:rFonts w:ascii="Arial Narrow" w:eastAsia="Times New Roman" w:hAnsi="Arial Narrow" w:cs="Arial Narrow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A29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290A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1132</Words>
  <Characters>6458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</cp:lastModifiedBy>
  <cp:revision>3</cp:revision>
  <cp:lastPrinted>2018-03-29T09:14:00Z</cp:lastPrinted>
  <dcterms:created xsi:type="dcterms:W3CDTF">2021-03-30T10:52:00Z</dcterms:created>
  <dcterms:modified xsi:type="dcterms:W3CDTF">2021-03-30T10:59:00Z</dcterms:modified>
</cp:coreProperties>
</file>