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0FB3F" w14:textId="433DBDD4" w:rsidR="00D633F7" w:rsidRDefault="00D633F7" w:rsidP="00D633F7">
      <w:pPr>
        <w:pStyle w:val="Vchodzie"/>
        <w:pBdr>
          <w:top w:val="single" w:sz="4" w:space="0" w:color="00000A"/>
          <w:left w:val="single" w:sz="4" w:space="0" w:color="00000A"/>
          <w:bottom w:val="single" w:sz="4" w:space="25" w:color="00000A"/>
          <w:right w:val="single" w:sz="4" w:space="0" w:color="00000A"/>
        </w:pBdr>
        <w:tabs>
          <w:tab w:val="center" w:pos="4323"/>
          <w:tab w:val="left" w:pos="6237"/>
          <w:tab w:val="right" w:pos="8363"/>
        </w:tabs>
        <w:spacing w:after="120"/>
        <w:ind w:left="-142" w:right="142"/>
        <w:jc w:val="center"/>
      </w:pPr>
      <w:r>
        <w:rPr>
          <w:b/>
        </w:rPr>
        <w:t>POZNÁMKY K ÚČTOVNEJ ZÁVIERKE  ZOSTAVENEJ K 31. decembru 20</w:t>
      </w:r>
      <w:r w:rsidR="0039384D">
        <w:rPr>
          <w:b/>
        </w:rPr>
        <w:t>20</w:t>
      </w:r>
    </w:p>
    <w:p w14:paraId="41A34F8B" w14:textId="77777777" w:rsidR="00D633F7" w:rsidRDefault="00D633F7" w:rsidP="00D633F7">
      <w:pPr>
        <w:pStyle w:val="Vchodzie"/>
        <w:tabs>
          <w:tab w:val="left" w:pos="3375"/>
        </w:tabs>
        <w:jc w:val="both"/>
      </w:pPr>
      <w:r>
        <w:rPr>
          <w:rFonts w:ascii="Calibri" w:hAnsi="Calibri"/>
          <w:sz w:val="20"/>
        </w:rPr>
        <w:tab/>
      </w:r>
    </w:p>
    <w:p w14:paraId="312F4F0E" w14:textId="77777777"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t>VŠEOBECNÉ INFORMÁCIE</w:t>
      </w:r>
    </w:p>
    <w:p w14:paraId="7EF89177" w14:textId="77777777" w:rsidR="00D633F7" w:rsidRPr="00B76474" w:rsidRDefault="00D633F7" w:rsidP="00D633F7">
      <w:pPr>
        <w:pStyle w:val="Vchodzie"/>
        <w:rPr>
          <w:color w:val="auto"/>
        </w:rPr>
      </w:pPr>
    </w:p>
    <w:p w14:paraId="20F18A14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(1)  Informácie o účtovnej jednotke</w:t>
      </w:r>
    </w:p>
    <w:p w14:paraId="6D4AE0E1" w14:textId="77777777" w:rsidR="00D633F7" w:rsidRPr="00B76474" w:rsidRDefault="00D633F7" w:rsidP="00D633F7">
      <w:pPr>
        <w:pStyle w:val="Vchodzie"/>
        <w:rPr>
          <w:color w:val="auto"/>
        </w:rPr>
      </w:pPr>
    </w:p>
    <w:p w14:paraId="6CA1F9BE" w14:textId="77777777" w:rsidR="00D633F7" w:rsidRPr="00B76474" w:rsidRDefault="00D633F7" w:rsidP="00D633F7">
      <w:pPr>
        <w:pStyle w:val="Odsekzoznamu"/>
        <w:ind w:left="0"/>
        <w:rPr>
          <w:color w:val="auto"/>
        </w:rPr>
      </w:pPr>
      <w:r w:rsidRPr="00B76474">
        <w:rPr>
          <w:rFonts w:cs="Calibri"/>
          <w:bCs/>
          <w:color w:val="auto"/>
          <w:sz w:val="20"/>
          <w:szCs w:val="20"/>
        </w:rPr>
        <w:t>a) Základné informácie o účtovnej jednotke:</w:t>
      </w:r>
    </w:p>
    <w:tbl>
      <w:tblPr>
        <w:tblW w:w="0" w:type="auto"/>
        <w:tblInd w:w="-2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0"/>
        <w:gridCol w:w="6499"/>
      </w:tblGrid>
      <w:tr w:rsidR="00D633F7" w:rsidRPr="00B76474" w14:paraId="6E8F9976" w14:textId="77777777" w:rsidTr="0015223F">
        <w:trPr>
          <w:trHeight w:val="336"/>
        </w:trPr>
        <w:tc>
          <w:tcPr>
            <w:tcW w:w="2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F6DE58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Obchodné meno:</w:t>
            </w:r>
          </w:p>
        </w:tc>
        <w:tc>
          <w:tcPr>
            <w:tcW w:w="64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BC943C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LEMIR Design, </w:t>
            </w:r>
            <w:proofErr w:type="spellStart"/>
            <w:r>
              <w:rPr>
                <w:rFonts w:ascii="Calibri" w:hAnsi="Calibri"/>
                <w:color w:val="auto"/>
                <w:sz w:val="20"/>
                <w:szCs w:val="20"/>
              </w:rPr>
              <w:t>s.r.o</w:t>
            </w:r>
            <w:proofErr w:type="spellEnd"/>
            <w:r>
              <w:rPr>
                <w:rFonts w:ascii="Calibri" w:hAnsi="Calibri"/>
                <w:color w:val="auto"/>
                <w:sz w:val="20"/>
                <w:szCs w:val="20"/>
              </w:rPr>
              <w:t>.</w:t>
            </w: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.</w:t>
            </w:r>
          </w:p>
        </w:tc>
      </w:tr>
      <w:tr w:rsidR="00D633F7" w:rsidRPr="00B76474" w14:paraId="3C4967C6" w14:textId="77777777" w:rsidTr="0015223F">
        <w:trPr>
          <w:trHeight w:val="336"/>
        </w:trPr>
        <w:tc>
          <w:tcPr>
            <w:tcW w:w="277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FF31A4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64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201819" w14:textId="77777777" w:rsidR="00D633F7" w:rsidRPr="003512FF" w:rsidRDefault="00D633F7" w:rsidP="0015223F">
            <w:pPr>
              <w:pStyle w:val="Vchodzie"/>
              <w:rPr>
                <w:color w:val="auto"/>
                <w:sz w:val="16"/>
                <w:szCs w:val="16"/>
              </w:rPr>
            </w:pPr>
            <w:r w:rsidRPr="003512FF">
              <w:rPr>
                <w:color w:val="auto"/>
                <w:sz w:val="16"/>
                <w:szCs w:val="16"/>
              </w:rPr>
              <w:t>Dvorská cesta 23</w:t>
            </w:r>
            <w:r>
              <w:rPr>
                <w:color w:val="auto"/>
                <w:sz w:val="16"/>
                <w:szCs w:val="16"/>
              </w:rPr>
              <w:t>, 940 02 Nové Zámky</w:t>
            </w:r>
          </w:p>
        </w:tc>
      </w:tr>
      <w:tr w:rsidR="00D633F7" w:rsidRPr="00B76474" w14:paraId="7B43BE0D" w14:textId="77777777" w:rsidTr="0015223F">
        <w:trPr>
          <w:trHeight w:val="336"/>
        </w:trPr>
        <w:tc>
          <w:tcPr>
            <w:tcW w:w="277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1EF7F6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Dátum založenia:</w:t>
            </w:r>
          </w:p>
        </w:tc>
        <w:tc>
          <w:tcPr>
            <w:tcW w:w="64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1B7AD3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05</w:t>
            </w: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.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11</w:t>
            </w: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.20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16</w:t>
            </w:r>
          </w:p>
        </w:tc>
      </w:tr>
      <w:tr w:rsidR="00D633F7" w:rsidRPr="00B76474" w14:paraId="5F109E7A" w14:textId="77777777" w:rsidTr="0015223F">
        <w:trPr>
          <w:trHeight w:val="336"/>
        </w:trPr>
        <w:tc>
          <w:tcPr>
            <w:tcW w:w="277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DEEAE9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Dátum vzniku:</w:t>
            </w:r>
          </w:p>
        </w:tc>
        <w:tc>
          <w:tcPr>
            <w:tcW w:w="6499" w:type="dxa"/>
            <w:tcBorders>
              <w:top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E6E5F4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05</w:t>
            </w: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.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11</w:t>
            </w: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.20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16</w:t>
            </w:r>
          </w:p>
        </w:tc>
      </w:tr>
      <w:tr w:rsidR="00D633F7" w:rsidRPr="00B76474" w14:paraId="1945E51E" w14:textId="77777777" w:rsidTr="0015223F">
        <w:trPr>
          <w:trHeight w:val="336"/>
        </w:trPr>
        <w:tc>
          <w:tcPr>
            <w:tcW w:w="277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9C8A2F" w14:textId="77777777" w:rsidR="00D633F7" w:rsidRPr="00B76474" w:rsidRDefault="00D633F7" w:rsidP="0015223F">
            <w:pPr>
              <w:pStyle w:val="Vchodzie"/>
              <w:rPr>
                <w:rFonts w:ascii="Calibri" w:hAnsi="Calibri"/>
                <w:color w:val="auto"/>
                <w:sz w:val="20"/>
                <w:szCs w:val="20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Subjekt verejného záujmu:</w:t>
            </w:r>
          </w:p>
        </w:tc>
        <w:tc>
          <w:tcPr>
            <w:tcW w:w="6499" w:type="dxa"/>
            <w:tcBorders>
              <w:top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6DFB13" w14:textId="77777777" w:rsidR="00D633F7" w:rsidRPr="00B76474" w:rsidRDefault="00D633F7" w:rsidP="0015223F">
            <w:pPr>
              <w:pStyle w:val="Vchodzie"/>
              <w:rPr>
                <w:rFonts w:ascii="Calibri" w:hAnsi="Calibri"/>
                <w:color w:val="auto"/>
                <w:sz w:val="20"/>
                <w:szCs w:val="20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 xml:space="preserve">Spoločnosť nie je subjektom verejného záujmu (§ 2/14 </w:t>
            </w:r>
            <w:proofErr w:type="spellStart"/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ZoU</w:t>
            </w:r>
            <w:proofErr w:type="spellEnd"/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).</w:t>
            </w:r>
          </w:p>
        </w:tc>
      </w:tr>
    </w:tbl>
    <w:p w14:paraId="297361E1" w14:textId="77777777" w:rsidR="00D633F7" w:rsidRPr="00B76474" w:rsidRDefault="00D633F7" w:rsidP="00D633F7">
      <w:pPr>
        <w:pStyle w:val="Odsekzoznamu"/>
        <w:rPr>
          <w:color w:val="auto"/>
        </w:rPr>
      </w:pPr>
    </w:p>
    <w:p w14:paraId="4A7EAE22" w14:textId="77777777" w:rsidR="00D633F7" w:rsidRDefault="00D633F7" w:rsidP="00D633F7">
      <w:pPr>
        <w:pStyle w:val="Odsekzoznamu"/>
        <w:spacing w:after="0" w:line="100" w:lineRule="atLeast"/>
        <w:ind w:left="0"/>
        <w:jc w:val="both"/>
        <w:rPr>
          <w:rFonts w:cs="ArialNarrow"/>
          <w:color w:val="auto"/>
          <w:sz w:val="20"/>
          <w:szCs w:val="20"/>
        </w:rPr>
      </w:pPr>
      <w:r w:rsidRPr="00B76474">
        <w:rPr>
          <w:color w:val="auto"/>
          <w:sz w:val="20"/>
          <w:szCs w:val="20"/>
        </w:rPr>
        <w:t xml:space="preserve">b) </w:t>
      </w:r>
      <w:r w:rsidRPr="00B76474">
        <w:rPr>
          <w:rFonts w:cs="ArialNarrow"/>
          <w:color w:val="auto"/>
          <w:sz w:val="20"/>
          <w:szCs w:val="20"/>
        </w:rPr>
        <w:t>Opis hospodárskej činnosti účtovnej jednotky:</w:t>
      </w:r>
    </w:p>
    <w:p w14:paraId="78EB2D6F" w14:textId="77777777" w:rsidR="00D633F7" w:rsidRDefault="00D633F7" w:rsidP="00D633F7">
      <w:pPr>
        <w:pStyle w:val="Odsekzoznamu"/>
        <w:spacing w:after="0" w:line="100" w:lineRule="atLeast"/>
        <w:ind w:left="0"/>
        <w:jc w:val="both"/>
        <w:rPr>
          <w:rFonts w:cs="ArialNarrow"/>
          <w:color w:val="auto"/>
          <w:sz w:val="20"/>
          <w:szCs w:val="20"/>
        </w:rPr>
      </w:pPr>
      <w:r>
        <w:rPr>
          <w:rFonts w:cs="ArialNarrow"/>
          <w:color w:val="auto"/>
          <w:sz w:val="20"/>
          <w:szCs w:val="20"/>
        </w:rPr>
        <w:t>Kúpa tovaru za účelom jeho predaja konečnému spotrebiteľovi /maloobchod/ alebo iným prevádzkovateľom živnosti / veľkoobchod/</w:t>
      </w:r>
    </w:p>
    <w:p w14:paraId="713AE86B" w14:textId="77777777" w:rsidR="00D633F7" w:rsidRDefault="00D633F7" w:rsidP="00D633F7">
      <w:pPr>
        <w:pStyle w:val="Odsekzoznamu"/>
        <w:spacing w:after="0" w:line="100" w:lineRule="atLeast"/>
        <w:ind w:left="0"/>
        <w:jc w:val="both"/>
        <w:rPr>
          <w:rFonts w:cs="ArialNarrow"/>
          <w:color w:val="auto"/>
          <w:sz w:val="20"/>
          <w:szCs w:val="20"/>
        </w:rPr>
      </w:pPr>
      <w:r>
        <w:rPr>
          <w:rFonts w:cs="ArialNarrow"/>
          <w:color w:val="auto"/>
          <w:sz w:val="20"/>
          <w:szCs w:val="20"/>
        </w:rPr>
        <w:t>Textilná výroba</w:t>
      </w:r>
    </w:p>
    <w:p w14:paraId="7BF33CB1" w14:textId="77777777" w:rsidR="00D633F7" w:rsidRPr="00B76474" w:rsidRDefault="00D633F7" w:rsidP="00D633F7">
      <w:pPr>
        <w:pStyle w:val="Odsekzoznamu"/>
        <w:spacing w:after="0" w:line="100" w:lineRule="atLeast"/>
        <w:ind w:left="0"/>
        <w:jc w:val="both"/>
        <w:rPr>
          <w:color w:val="auto"/>
        </w:rPr>
      </w:pPr>
      <w:r>
        <w:rPr>
          <w:rFonts w:cs="ArialNarrow"/>
          <w:color w:val="auto"/>
          <w:sz w:val="20"/>
          <w:szCs w:val="20"/>
        </w:rPr>
        <w:t>Úprava bytových doplnkov všetkého druhu z textilných materiálov</w:t>
      </w:r>
    </w:p>
    <w:p w14:paraId="3D6C3AD4" w14:textId="77777777" w:rsidR="00D633F7" w:rsidRPr="00B76474" w:rsidRDefault="00D633F7" w:rsidP="00D633F7">
      <w:pPr>
        <w:pStyle w:val="Vchodzie"/>
        <w:widowControl w:val="0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 (2) </w:t>
      </w:r>
      <w:r w:rsidRPr="00B76474">
        <w:rPr>
          <w:rFonts w:ascii="Calibri" w:hAnsi="Calibri" w:cs="Calibri"/>
          <w:b/>
          <w:color w:val="auto"/>
          <w:sz w:val="22"/>
          <w:szCs w:val="22"/>
        </w:rPr>
        <w:t>Schválenie účtovnej závierky za predchádzajúce obdobie</w:t>
      </w:r>
    </w:p>
    <w:p w14:paraId="7C199979" w14:textId="77777777" w:rsidR="00D633F7" w:rsidRPr="00B76474" w:rsidRDefault="00D633F7" w:rsidP="00D633F7">
      <w:pPr>
        <w:pStyle w:val="Vchodzie"/>
        <w:widowControl w:val="0"/>
        <w:jc w:val="both"/>
        <w:rPr>
          <w:color w:val="auto"/>
        </w:rPr>
      </w:pPr>
    </w:p>
    <w:p w14:paraId="7D21BB94" w14:textId="1ACBD6F3" w:rsidR="00D633F7" w:rsidRPr="00B76474" w:rsidRDefault="00D633F7" w:rsidP="00D633F7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B76474">
        <w:rPr>
          <w:rFonts w:eastAsia="Times New Roman" w:cstheme="minorHAnsi"/>
          <w:sz w:val="20"/>
          <w:szCs w:val="20"/>
        </w:rPr>
        <w:t>Účtovná závierka za bezprostredne predchádzajúce účtovné obdobie bola schválená dňa 2</w:t>
      </w:r>
      <w:r w:rsidR="0039384D">
        <w:rPr>
          <w:rFonts w:eastAsia="Times New Roman" w:cstheme="minorHAnsi"/>
          <w:sz w:val="20"/>
          <w:szCs w:val="20"/>
        </w:rPr>
        <w:t>0</w:t>
      </w:r>
      <w:r w:rsidRPr="00B76474">
        <w:rPr>
          <w:rFonts w:eastAsia="Times New Roman" w:cstheme="minorHAnsi"/>
          <w:sz w:val="20"/>
          <w:szCs w:val="20"/>
        </w:rPr>
        <w:t xml:space="preserve">. </w:t>
      </w:r>
      <w:r w:rsidR="0039384D">
        <w:rPr>
          <w:rFonts w:eastAsia="Times New Roman" w:cstheme="minorHAnsi"/>
          <w:sz w:val="20"/>
          <w:szCs w:val="20"/>
        </w:rPr>
        <w:t>októbra</w:t>
      </w:r>
      <w:r w:rsidRPr="00B76474">
        <w:rPr>
          <w:rFonts w:eastAsia="Times New Roman" w:cstheme="minorHAnsi"/>
          <w:sz w:val="20"/>
          <w:szCs w:val="20"/>
        </w:rPr>
        <w:t xml:space="preserve">  20</w:t>
      </w:r>
      <w:r w:rsidR="0039384D">
        <w:rPr>
          <w:rFonts w:eastAsia="Times New Roman" w:cstheme="minorHAnsi"/>
          <w:sz w:val="20"/>
          <w:szCs w:val="20"/>
        </w:rPr>
        <w:t>20</w:t>
      </w:r>
      <w:r w:rsidRPr="00B76474">
        <w:rPr>
          <w:rFonts w:eastAsia="Times New Roman" w:cstheme="minorHAnsi"/>
          <w:sz w:val="20"/>
          <w:szCs w:val="20"/>
        </w:rPr>
        <w:t>.</w:t>
      </w:r>
    </w:p>
    <w:p w14:paraId="12260A17" w14:textId="77777777" w:rsidR="00D633F7" w:rsidRPr="00B76474" w:rsidRDefault="00D633F7" w:rsidP="00D633F7">
      <w:pPr>
        <w:pStyle w:val="Vchodzie"/>
        <w:widowControl w:val="0"/>
        <w:jc w:val="both"/>
        <w:rPr>
          <w:color w:val="auto"/>
        </w:rPr>
      </w:pPr>
    </w:p>
    <w:p w14:paraId="585DC86E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(3) Právny dôvod na zostavenie účtovnej závierky</w:t>
      </w:r>
    </w:p>
    <w:p w14:paraId="20DF0705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271D033D" w14:textId="6B901399" w:rsidR="00D633F7" w:rsidRPr="00B76474" w:rsidRDefault="00D633F7" w:rsidP="00D633F7">
      <w:pPr>
        <w:pStyle w:val="Vchodzie"/>
        <w:widowControl w:val="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Účtovná závierka k 31.12.20</w:t>
      </w:r>
      <w:r w:rsidR="0039384D">
        <w:rPr>
          <w:rFonts w:ascii="Calibri" w:hAnsi="Calibri" w:cs="Calibri"/>
          <w:color w:val="auto"/>
          <w:sz w:val="20"/>
          <w:szCs w:val="20"/>
        </w:rPr>
        <w:t>20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 je zostavená ako riadna účtovná závierka podľa § 17 ods. 6 zákona NR SR č. 431/2002 Z. z. o účtovníctve, za účtovné obdobie od 1.januára 20</w:t>
      </w:r>
      <w:r w:rsidR="0039384D">
        <w:rPr>
          <w:rFonts w:ascii="Calibri" w:hAnsi="Calibri" w:cs="Calibri"/>
          <w:color w:val="auto"/>
          <w:sz w:val="20"/>
          <w:szCs w:val="20"/>
        </w:rPr>
        <w:t>20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 do 31. decembra 20</w:t>
      </w:r>
      <w:r w:rsidR="0039384D">
        <w:rPr>
          <w:rFonts w:ascii="Calibri" w:hAnsi="Calibri" w:cs="Calibri"/>
          <w:color w:val="auto"/>
          <w:sz w:val="20"/>
          <w:szCs w:val="20"/>
        </w:rPr>
        <w:t>20</w:t>
      </w:r>
      <w:r w:rsidRPr="00B76474">
        <w:rPr>
          <w:rFonts w:ascii="Calibri" w:hAnsi="Calibri" w:cs="Calibri"/>
          <w:color w:val="auto"/>
          <w:sz w:val="20"/>
          <w:szCs w:val="20"/>
        </w:rPr>
        <w:t>,  k poslednému dňu kalendárneho roka 20</w:t>
      </w:r>
      <w:r w:rsidR="0039384D">
        <w:rPr>
          <w:rFonts w:ascii="Calibri" w:hAnsi="Calibri" w:cs="Calibri"/>
          <w:color w:val="auto"/>
          <w:sz w:val="20"/>
          <w:szCs w:val="20"/>
        </w:rPr>
        <w:t>20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. </w:t>
      </w:r>
    </w:p>
    <w:p w14:paraId="1F120C62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1271E18C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(4) Údaje o skupine účtovných jednotiek, a to: </w:t>
      </w:r>
    </w:p>
    <w:p w14:paraId="35E67873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65A79D48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eastAsia="Times New Roman" w:hAnsi="Calibri" w:cs="Times New Roman"/>
          <w:color w:val="auto"/>
          <w:sz w:val="20"/>
          <w:szCs w:val="20"/>
        </w:rPr>
        <w:t>Účtovná jednotka nie je súčasťou konsolidovaného celku a účtovná jednotka nie je materskou účtovnou jednotkou.</w:t>
      </w:r>
    </w:p>
    <w:p w14:paraId="6A49B443" w14:textId="77777777" w:rsidR="00D633F7" w:rsidRPr="00B76474" w:rsidRDefault="00D633F7" w:rsidP="00D633F7">
      <w:pPr>
        <w:pStyle w:val="Vchodzie"/>
        <w:rPr>
          <w:color w:val="auto"/>
        </w:rPr>
      </w:pPr>
    </w:p>
    <w:p w14:paraId="289557C4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(5) Informácia o počte zamestnancov</w:t>
      </w: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1"/>
        <w:gridCol w:w="2872"/>
        <w:gridCol w:w="2680"/>
      </w:tblGrid>
      <w:tr w:rsidR="00D633F7" w:rsidRPr="00B76474" w14:paraId="21ADBB01" w14:textId="77777777" w:rsidTr="00DC3ED0">
        <w:trPr>
          <w:trHeight w:val="928"/>
          <w:jc w:val="center"/>
        </w:trPr>
        <w:tc>
          <w:tcPr>
            <w:tcW w:w="3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4C37D" w14:textId="77777777"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C3840" w14:textId="77777777"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  <w:t>Bežné účtovné obdobie</w:t>
            </w:r>
          </w:p>
        </w:tc>
        <w:tc>
          <w:tcPr>
            <w:tcW w:w="2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6BEAD" w14:textId="77777777"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  <w:t>Bezprostredne predchádzajúce účtovné obdobie</w:t>
            </w:r>
          </w:p>
        </w:tc>
      </w:tr>
      <w:tr w:rsidR="00D633F7" w:rsidRPr="00B76474" w14:paraId="5E4CAF4D" w14:textId="77777777" w:rsidTr="0015223F">
        <w:trPr>
          <w:jc w:val="center"/>
        </w:trPr>
        <w:tc>
          <w:tcPr>
            <w:tcW w:w="3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BEC22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E94DE" w14:textId="48A65622" w:rsidR="00D633F7" w:rsidRPr="00D30A0F" w:rsidRDefault="0039384D" w:rsidP="0015223F">
            <w:pPr>
              <w:pStyle w:val="Vchodzie"/>
              <w:spacing w:line="36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7</w:t>
            </w:r>
          </w:p>
        </w:tc>
        <w:tc>
          <w:tcPr>
            <w:tcW w:w="2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1CB30" w14:textId="77777777" w:rsidR="00D633F7" w:rsidRPr="00B76474" w:rsidRDefault="00DC3ED0" w:rsidP="0015223F">
            <w:pPr>
              <w:pStyle w:val="Vchodzie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6</w:t>
            </w:r>
          </w:p>
        </w:tc>
      </w:tr>
    </w:tbl>
    <w:p w14:paraId="3EEE0606" w14:textId="77777777" w:rsidR="00D633F7" w:rsidRPr="00B76474" w:rsidRDefault="00D633F7" w:rsidP="00D633F7">
      <w:pPr>
        <w:pStyle w:val="Vchodzie"/>
        <w:rPr>
          <w:color w:val="auto"/>
        </w:rPr>
      </w:pPr>
    </w:p>
    <w:p w14:paraId="4C69E0FB" w14:textId="77777777" w:rsidR="00D633F7" w:rsidRPr="00B76474" w:rsidRDefault="00D633F7" w:rsidP="00D633F7">
      <w:pPr>
        <w:pStyle w:val="Vchodzie"/>
        <w:jc w:val="center"/>
        <w:rPr>
          <w:color w:val="auto"/>
        </w:rPr>
      </w:pPr>
    </w:p>
    <w:p w14:paraId="14E8DDFE" w14:textId="77777777"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t>Informácie o orgánoch spoločnosti</w:t>
      </w:r>
    </w:p>
    <w:p w14:paraId="449926D3" w14:textId="77777777" w:rsidR="00D633F7" w:rsidRPr="00B76474" w:rsidRDefault="00D633F7" w:rsidP="00D633F7">
      <w:pPr>
        <w:pStyle w:val="Vchodzie"/>
        <w:jc w:val="center"/>
        <w:rPr>
          <w:color w:val="auto"/>
        </w:rPr>
      </w:pPr>
    </w:p>
    <w:p w14:paraId="4273466B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Informácie o orgánoch účtovnej jednotky</w:t>
      </w:r>
    </w:p>
    <w:p w14:paraId="5B614193" w14:textId="77777777" w:rsidR="00D633F7" w:rsidRPr="00B76474" w:rsidRDefault="00D633F7" w:rsidP="00D633F7">
      <w:pPr>
        <w:pStyle w:val="Vchodzie"/>
        <w:rPr>
          <w:color w:val="auto"/>
        </w:rPr>
      </w:pPr>
    </w:p>
    <w:p w14:paraId="3D1D81EA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bCs/>
          <w:color w:val="auto"/>
          <w:sz w:val="20"/>
          <w:szCs w:val="20"/>
        </w:rPr>
        <w:t>Členovia štatutárneho orgánu spoločnosti nepoberali žiadne príjmy za výkon svojej funkcie člena tohto</w:t>
      </w:r>
    </w:p>
    <w:p w14:paraId="300DBBDC" w14:textId="77777777" w:rsidR="00D633F7" w:rsidRPr="00B76474" w:rsidRDefault="00D633F7" w:rsidP="00D633F7">
      <w:pPr>
        <w:pStyle w:val="Vchodzie"/>
        <w:jc w:val="both"/>
        <w:rPr>
          <w:rFonts w:ascii="Calibri" w:hAnsi="Calibri"/>
          <w:bCs/>
          <w:color w:val="auto"/>
          <w:sz w:val="20"/>
          <w:szCs w:val="20"/>
        </w:rPr>
      </w:pPr>
      <w:r w:rsidRPr="00B76474">
        <w:rPr>
          <w:rFonts w:ascii="Calibri" w:hAnsi="Calibri"/>
          <w:bCs/>
          <w:color w:val="auto"/>
          <w:sz w:val="20"/>
          <w:szCs w:val="20"/>
        </w:rPr>
        <w:t>orgánu ani im neboli poskytnuté žiadne pôžičky alebo záruky.</w:t>
      </w:r>
    </w:p>
    <w:p w14:paraId="19ECB633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29167CC0" w14:textId="77777777" w:rsidR="00D633F7" w:rsidRDefault="00D633F7" w:rsidP="00D633F7">
      <w:pPr>
        <w:pStyle w:val="Vchodzie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14:paraId="5EBC8A65" w14:textId="77777777" w:rsidR="00D633F7" w:rsidRDefault="00D633F7" w:rsidP="00D633F7">
      <w:pPr>
        <w:pStyle w:val="Vchodzie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14:paraId="02162AD3" w14:textId="77777777"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t xml:space="preserve">  Informácie o prijatých postupoch</w:t>
      </w:r>
    </w:p>
    <w:p w14:paraId="277583DF" w14:textId="77777777" w:rsidR="00D633F7" w:rsidRPr="00B76474" w:rsidRDefault="00D633F7" w:rsidP="00D633F7">
      <w:pPr>
        <w:pStyle w:val="Vchodzie"/>
        <w:jc w:val="center"/>
        <w:rPr>
          <w:color w:val="auto"/>
        </w:rPr>
      </w:pPr>
    </w:p>
    <w:p w14:paraId="6250C3B9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color w:val="auto"/>
          <w:sz w:val="20"/>
          <w:szCs w:val="20"/>
        </w:rPr>
        <w:t>(1) Účtovná závierka spoločnosti bola zostavená za predpokladu nepretržitého trvania jej činnosti v súlade so zákonom o účtovníctve platným v Slovenskej republike a nadväzujúcimi postupmi účtovania.</w:t>
      </w:r>
    </w:p>
    <w:p w14:paraId="4F718C83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5228648A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 w:cs="Calibri"/>
          <w:bCs/>
          <w:color w:val="auto"/>
          <w:sz w:val="20"/>
          <w:szCs w:val="20"/>
          <w:lang w:eastAsia="cs-CZ"/>
        </w:rPr>
        <w:t>Účtovníctvo spoločnosť vedie na základe dodržania časovej a vecnej súvislosti nákladov a výnosov. Za základ sa berú všetky náklady a výnosy, ktoré sa vzťahujú na účtovné obdobie bez ohľadu na dátum ich platenia.</w:t>
      </w:r>
    </w:p>
    <w:p w14:paraId="72A5F1FF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6341CB1B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 w:cs="Calibri"/>
          <w:bCs/>
          <w:color w:val="auto"/>
          <w:sz w:val="20"/>
          <w:szCs w:val="20"/>
          <w:lang w:eastAsia="cs-CZ"/>
        </w:rPr>
        <w:t>Peňažné údaje v účtovnej závierke sú uvedené v celých EUR.</w:t>
      </w:r>
    </w:p>
    <w:p w14:paraId="6E19B43B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6B242B13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color w:val="auto"/>
          <w:sz w:val="22"/>
          <w:szCs w:val="22"/>
        </w:rPr>
        <w:t xml:space="preserve"> (2) Zmena metód účtovania a zásad účtovania</w:t>
      </w:r>
    </w:p>
    <w:p w14:paraId="65956A9E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30280CD6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eastAsia="Times New Roman" w:hAnsi="Calibri" w:cs="Calibri"/>
          <w:bCs/>
          <w:color w:val="auto"/>
          <w:sz w:val="20"/>
          <w:szCs w:val="20"/>
          <w:lang w:eastAsia="cs-CZ"/>
        </w:rPr>
        <w:t>Účtovné metódy a všeobecné účtovné zásady spoločnosť aplikovala konzistentne s predchádzajúcim účtovným obdobím.</w:t>
      </w:r>
    </w:p>
    <w:p w14:paraId="0B8134A1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76CCB184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color w:val="auto"/>
          <w:sz w:val="22"/>
          <w:szCs w:val="22"/>
        </w:rPr>
        <w:t xml:space="preserve">(3) Informácia o ocenení majetku a záväzkov </w:t>
      </w:r>
    </w:p>
    <w:p w14:paraId="25C31B87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4903C636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1. Dlhodobý nehmotný a dlhodobý hmotný majetok</w:t>
      </w:r>
    </w:p>
    <w:p w14:paraId="30D7D9FD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Dlhodobý majetok nakupovaný sa oceňuje obstarávacou cenou, ktorá zahrňuje cenu, za ktorú sa majetok obstaral a náklady súvisiace s obstaraním (clo, prepravu, montáž, poistné a pod.). </w:t>
      </w:r>
    </w:p>
    <w:p w14:paraId="63D2869D" w14:textId="77777777" w:rsidR="00D633F7" w:rsidRPr="00B76474" w:rsidRDefault="00D633F7" w:rsidP="00D633F7">
      <w:pPr>
        <w:pStyle w:val="Vchodzie"/>
        <w:spacing w:after="120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Dlhodobý nehmotný a dlhodobý hmotný majetok sa odpisuje podľa odpisového plánu, ktorý bol zostavený na základe predpokladanej doby jeho používania zodpovedajúcej spotrebe budúcich ekonomických úžitkov z majetku. Odpisovať sa začína v mesiaci uvedenia  majetku do používania. Podrobný účtovný odpisový plán po položkách sa vedie účtovnom software Pohoda (taktiež daňové odpisy podľa zákona o dani z príjmov).</w:t>
      </w:r>
    </w:p>
    <w:p w14:paraId="1E832EB9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Nehmotný majetok, ktorého obstarávacia cena (resp. vlastné náklady) neprevýši 2 400 EUR, sa nezaraďuje na účty dlhodobého majetku a odpisuje sa jednorazovo pri uvedení do používania. Drobný dlhodobý hmotný majetok, ktorého obstarávacia cena (resp. vlastné náklady) je 1 700 EUR a nižšia, sa odpisuje jednorazovo pri uvedení do používania - účtuje sa na účet 501. Spoločnosť uvedený majetok eviduje v podsúvahovej evidencii.</w:t>
      </w:r>
    </w:p>
    <w:p w14:paraId="29A42216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Predpokladaná doba používania, metóda odpisovania a odpisová sadzba sú uvedené v nasledujúcej tabuľke:</w:t>
      </w:r>
    </w:p>
    <w:tbl>
      <w:tblPr>
        <w:tblW w:w="9604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5"/>
        <w:gridCol w:w="1012"/>
        <w:gridCol w:w="2105"/>
        <w:gridCol w:w="2272"/>
      </w:tblGrid>
      <w:tr w:rsidR="00D633F7" w:rsidRPr="00B76474" w14:paraId="50C1C865" w14:textId="77777777" w:rsidTr="0015223F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C6649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Dlhodobý hmotný a nehmotný</w:t>
            </w:r>
          </w:p>
          <w:p w14:paraId="0EACAC27" w14:textId="77777777" w:rsidR="00D633F7" w:rsidRPr="00B76474" w:rsidRDefault="00D633F7" w:rsidP="0015223F">
            <w:pPr>
              <w:pStyle w:val="Vchodzie"/>
              <w:ind w:left="324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odpisovaný majetok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51F66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číslo</w:t>
            </w:r>
          </w:p>
          <w:p w14:paraId="09A24D9F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účtu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87DC4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doba odpisovania</w:t>
            </w:r>
          </w:p>
          <w:p w14:paraId="394D9A1A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(počet rokov)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D9F60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odpisová skupina </w:t>
            </w:r>
          </w:p>
          <w:p w14:paraId="18780E1A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-sadzba v %</w:t>
            </w:r>
          </w:p>
        </w:tc>
      </w:tr>
      <w:tr w:rsidR="00D633F7" w:rsidRPr="00B76474" w14:paraId="555911AE" w14:textId="77777777" w:rsidTr="0015223F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1B970" w14:textId="77777777" w:rsidR="00D633F7" w:rsidRPr="00B76474" w:rsidRDefault="00D633F7" w:rsidP="0015223F">
            <w:pPr>
              <w:pStyle w:val="Vchodzie"/>
              <w:jc w:val="both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Aktivovane náklady na vývoj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3C2FF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019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C8B26" w14:textId="77777777" w:rsidR="00D633F7" w:rsidRPr="00B76474" w:rsidRDefault="00D633F7" w:rsidP="0015223F">
            <w:pPr>
              <w:pStyle w:val="Vchodzie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0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31AD4" w14:textId="77777777" w:rsidR="00D633F7" w:rsidRPr="003512FF" w:rsidRDefault="00D633F7" w:rsidP="0015223F">
            <w:pPr>
              <w:pStyle w:val="Vchodzie"/>
              <w:jc w:val="center"/>
              <w:rPr>
                <w:color w:val="auto"/>
                <w:sz w:val="18"/>
                <w:szCs w:val="18"/>
              </w:rPr>
            </w:pPr>
            <w:r w:rsidRPr="003512FF">
              <w:rPr>
                <w:color w:val="auto"/>
                <w:sz w:val="18"/>
                <w:szCs w:val="18"/>
              </w:rPr>
              <w:t>0</w:t>
            </w:r>
          </w:p>
        </w:tc>
      </w:tr>
      <w:tr w:rsidR="00D633F7" w:rsidRPr="00B76474" w14:paraId="757043B8" w14:textId="77777777" w:rsidTr="0015223F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811CF" w14:textId="77777777" w:rsidR="00D633F7" w:rsidRPr="00B76474" w:rsidRDefault="00D633F7" w:rsidP="0015223F">
            <w:pPr>
              <w:pStyle w:val="Vchodzie"/>
              <w:jc w:val="both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Stavby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0049F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021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E1A1B" w14:textId="77777777" w:rsidR="00D633F7" w:rsidRPr="003512FF" w:rsidRDefault="00D633F7" w:rsidP="0015223F">
            <w:pPr>
              <w:pStyle w:val="Vchodzie"/>
              <w:jc w:val="center"/>
              <w:rPr>
                <w:color w:val="auto"/>
                <w:sz w:val="16"/>
                <w:szCs w:val="16"/>
              </w:rPr>
            </w:pPr>
            <w:r w:rsidRPr="003512FF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C6F8C" w14:textId="77777777" w:rsidR="00D633F7" w:rsidRPr="003512FF" w:rsidRDefault="00D633F7" w:rsidP="0015223F">
            <w:pPr>
              <w:pStyle w:val="Vchodzie"/>
              <w:jc w:val="center"/>
              <w:rPr>
                <w:color w:val="auto"/>
                <w:sz w:val="18"/>
                <w:szCs w:val="18"/>
              </w:rPr>
            </w:pPr>
            <w:r w:rsidRPr="003512FF">
              <w:rPr>
                <w:color w:val="auto"/>
                <w:sz w:val="18"/>
                <w:szCs w:val="18"/>
              </w:rPr>
              <w:t>0</w:t>
            </w:r>
          </w:p>
        </w:tc>
      </w:tr>
      <w:tr w:rsidR="00D633F7" w:rsidRPr="00B76474" w14:paraId="1F9B7A31" w14:textId="77777777" w:rsidTr="0015223F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2DF67" w14:textId="77777777" w:rsidR="00D633F7" w:rsidRPr="00B76474" w:rsidRDefault="00D633F7" w:rsidP="0015223F">
            <w:pPr>
              <w:pStyle w:val="Vchodzie"/>
              <w:jc w:val="both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Dopravné prostriedky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17279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022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14FC5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4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DFACD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25 %</w:t>
            </w:r>
          </w:p>
        </w:tc>
      </w:tr>
      <w:tr w:rsidR="00D633F7" w:rsidRPr="00B76474" w14:paraId="50E6E3BF" w14:textId="77777777" w:rsidTr="0015223F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B7CF9" w14:textId="77777777" w:rsidR="00D633F7" w:rsidRPr="00B76474" w:rsidRDefault="00D633F7" w:rsidP="0015223F">
            <w:pPr>
              <w:pStyle w:val="Vchodzie"/>
              <w:jc w:val="both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Ostatné stroje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627C3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022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02C60" w14:textId="77777777" w:rsidR="00D633F7" w:rsidRPr="003512FF" w:rsidRDefault="00D633F7" w:rsidP="0015223F">
            <w:pPr>
              <w:pStyle w:val="Vchodzie"/>
              <w:ind w:left="360"/>
              <w:jc w:val="center"/>
              <w:rPr>
                <w:color w:val="auto"/>
                <w:sz w:val="16"/>
                <w:szCs w:val="16"/>
              </w:rPr>
            </w:pPr>
            <w:r w:rsidRPr="003512FF">
              <w:rPr>
                <w:color w:val="auto"/>
                <w:sz w:val="16"/>
                <w:szCs w:val="16"/>
              </w:rPr>
              <w:t>6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30BC2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2/16,6</w:t>
            </w:r>
          </w:p>
        </w:tc>
      </w:tr>
    </w:tbl>
    <w:p w14:paraId="44BC0129" w14:textId="77777777" w:rsidR="00D633F7" w:rsidRPr="00B76474" w:rsidRDefault="00D633F7" w:rsidP="00D633F7">
      <w:pPr>
        <w:pStyle w:val="Telotextu"/>
        <w:rPr>
          <w:color w:val="auto"/>
        </w:rPr>
      </w:pPr>
    </w:p>
    <w:p w14:paraId="7B855583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14:paraId="452E77B4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2. Zásoby</w:t>
      </w:r>
    </w:p>
    <w:p w14:paraId="22B30AA3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Zásoby nakupované sa oceňujú obstarávacou cenou. Obstarávacia cena zásob sa rozdeľuje na cenu, za ktoré sa zásoby  obstarali, a náklady súvisiace s obstaraním (VON.) vo výške prepravného Pri vyskladnení sa VON rozpúšťajú nasledovne : VON/(PS zásob + príjem zásob) x výdaj zásob. Ostatné náklady súvisiace s obstaraním ako clo, poistné, provízie a pod. znížené o zľavy z ceny , sú súčasťou obstarávacej ceny nakupovaných zásob. Zľava z ceny poskytnutá k už predaným alebo spotrebovaným zásobám sa účtuje ako zníženie nákladov na predané alebo spotrebované zásoby. Spoločnosť účtuje o zásobách spôsobom A tak, ako to definujú postupy účtovania. Úbytok zásob sa účtuje v cene zistenej metódou FIFO. </w:t>
      </w:r>
    </w:p>
    <w:p w14:paraId="49ABC550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V prípade prechodného zníženia úžitkovej hodnoty zásob sa tvorí opravná položka. </w:t>
      </w:r>
    </w:p>
    <w:p w14:paraId="5DBD6D72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Zásoby vytvorené vlastnou činnosťou oceňuje účtovná jednotka na úrovni vlastných nákladov vo svojej skutočnej výške, alebo vo výške vlastných nákladov podľa operatívnych (plánových) kalkulácií. </w:t>
      </w:r>
    </w:p>
    <w:p w14:paraId="471C9105" w14:textId="77777777" w:rsidR="00D633F7" w:rsidRPr="00B76474" w:rsidRDefault="00D633F7" w:rsidP="00D633F7">
      <w:pPr>
        <w:pStyle w:val="Vchodzie"/>
        <w:spacing w:after="120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lastRenderedPageBreak/>
        <w:t>Vlastné náklady zahŕňajú:</w:t>
      </w:r>
    </w:p>
    <w:p w14:paraId="2DF44828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▪ priame náklady (priamy materiál, priame mzdy a ostatné priame náklady)  a </w:t>
      </w:r>
    </w:p>
    <w:p w14:paraId="0F80EA1F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▪ časť nepriamych nákladov, ktorá sa vzťahuje na výrobu (výrobná réžia). </w:t>
      </w:r>
    </w:p>
    <w:p w14:paraId="5FA25497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719420EF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3. Pohľadávky</w:t>
      </w:r>
    </w:p>
    <w:p w14:paraId="5AC0693C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Pohľadávky sa pri ich vzniku oceňujú ich menovitou hodnotou. Opravná položka sa vytvára k pochybným a nedobytným pohľadávkam, kde existuje riziko nevymožiteľnosti pohľadávok. Spoločnosť tvorí opravné položky k pohľadávkam u týchto pohľadávok:</w:t>
      </w:r>
    </w:p>
    <w:p w14:paraId="2291F8BE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-pohľadávok,  u ktorých sa dá predpokladať, že dlžník pohľadávku nevyrovná čiastočne alebo úplne,</w:t>
      </w:r>
    </w:p>
    <w:p w14:paraId="5500519C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-pri sporných pohľadávkach, t.j. k pohľadávkam voči dlžníkom, s ktorými vedie spor o uznanie </w:t>
      </w:r>
    </w:p>
    <w:p w14:paraId="0847BD8B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Spoločnosť tvorí opravné položky nasledovne:</w:t>
      </w:r>
    </w:p>
    <w:p w14:paraId="433F383D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bookmarkStart w:id="0" w:name="__DdeLink__613_1483637937"/>
      <w:bookmarkEnd w:id="0"/>
      <w:r w:rsidRPr="00B76474">
        <w:rPr>
          <w:rFonts w:ascii="Calibri" w:hAnsi="Calibri" w:cs="Calibri"/>
          <w:color w:val="auto"/>
          <w:sz w:val="20"/>
          <w:szCs w:val="20"/>
        </w:rPr>
        <w:t>1080 dní, sa zahrnie do výdavkov do výšky 100% menovitej hodnoty pohľadávky alebo jej nesplatenej časti bez príslušenstva v zdaňovacom období v ktorom uplynula táto doba</w:t>
      </w:r>
    </w:p>
    <w:p w14:paraId="6B5D6595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4. Finančné účty</w:t>
      </w:r>
    </w:p>
    <w:p w14:paraId="790EF4C5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Finančné účty tvorí peňažná hotovosť, zostatky na bankových účtoch a ceniny. </w:t>
      </w:r>
    </w:p>
    <w:p w14:paraId="4DD11C48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5. Náklady budúcich období a príjmy budúcich období</w:t>
      </w:r>
    </w:p>
    <w:p w14:paraId="6A36D397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Náklady budúcich období a príjmy budúcich období sú vykázané vo výške, ktorá je potrebná na dodržanie zásady vecnej a časovej súvislosti s účtovným obdobím.</w:t>
      </w:r>
    </w:p>
    <w:p w14:paraId="5460351A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6. Opravné položky</w:t>
      </w:r>
    </w:p>
    <w:p w14:paraId="09E1F9D8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3D3A8D50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 xml:space="preserve"> 7. Rezervy</w:t>
      </w:r>
    </w:p>
    <w:p w14:paraId="0A4C1899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4585397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14:paraId="6B8B8F8F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Rezerva na bonusy, rabaty, skontá a vrátenie kúpnej ceny pri reklamácii sa tvorí ako zníženie pôvodne dosiahnutých výnosov so súvzťažným zápisom v prospech účtu rezerv.</w:t>
      </w:r>
    </w:p>
    <w:p w14:paraId="640F5AA2" w14:textId="77777777" w:rsidR="00D633F7" w:rsidRPr="00B76474" w:rsidRDefault="00D633F7" w:rsidP="00D633F7">
      <w:pPr>
        <w:pStyle w:val="Vchodzie"/>
        <w:spacing w:after="120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Spoločnosť tvorila zákonné rezervy na zostatkové dovolenky a odvody z týchto súm  a z ostatných rezerv vytvorila rezervu na  overenie účtovnej závierky a výročnej správy. Spoločnosť predpokladá, že rezervy použije v roku 201</w:t>
      </w:r>
      <w:r>
        <w:rPr>
          <w:rFonts w:ascii="Calibri" w:hAnsi="Calibri" w:cs="Calibri"/>
          <w:color w:val="auto"/>
          <w:sz w:val="20"/>
          <w:szCs w:val="20"/>
        </w:rPr>
        <w:t>9</w:t>
      </w:r>
      <w:r w:rsidRPr="00B76474">
        <w:rPr>
          <w:rFonts w:ascii="Calibri" w:hAnsi="Calibri" w:cs="Calibri"/>
          <w:color w:val="auto"/>
          <w:sz w:val="20"/>
          <w:szCs w:val="20"/>
        </w:rPr>
        <w:t>.</w:t>
      </w:r>
    </w:p>
    <w:p w14:paraId="3C14D217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</w:p>
    <w:p w14:paraId="05CCA303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8.  Záväzky</w:t>
      </w:r>
    </w:p>
    <w:p w14:paraId="169657B9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Záväzky pri ich vzniku sa oceňujú menovitou hodnotou. Záväzky pri ich prevzatí sa oceňujú obstarávacou cenou. </w:t>
      </w:r>
    </w:p>
    <w:p w14:paraId="20B01F70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9. Zamestnanecké požitky</w:t>
      </w:r>
    </w:p>
    <w:p w14:paraId="1FB2CD41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Platy, mzdy, príspevky do štátnych dôchodkových a poistných fondov, platená ročná dovolenka a  bonusy a ostatné nepeňažné požitky (napr. zdravotná starostlivosť, poistenie zodpovednosti za škodu) sa účtujú v účtovnom období, s ktorým vecne a časovo súvisia.</w:t>
      </w:r>
    </w:p>
    <w:p w14:paraId="2978E79E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lastRenderedPageBreak/>
        <w:t xml:space="preserve">Zamestnanec má na základe Zákonníka práce pri odchode do starobného dôchodku nárok na odmenu vo výške jednej priemernej mesačnej mzdy.    </w:t>
      </w:r>
    </w:p>
    <w:p w14:paraId="1E5A6A4C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10. Splatná daň z príjmu</w:t>
      </w:r>
    </w:p>
    <w:p w14:paraId="0DACAD8B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výsledný daňový záväzok.</w:t>
      </w:r>
    </w:p>
    <w:p w14:paraId="348A6F5C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11. Odložená daň z príjmu</w:t>
      </w:r>
    </w:p>
    <w:p w14:paraId="3DDEE94C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Odložená daň z príjmu vyplýva z:</w:t>
      </w:r>
    </w:p>
    <w:p w14:paraId="2BA8F063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a) rozdielov medzi účtovnou hodnotou majetku a účtovnou hodnotou záväzkov vykázanou v súvahe </w:t>
      </w:r>
      <w:r w:rsidRPr="00B76474">
        <w:rPr>
          <w:rFonts w:ascii="Calibri" w:hAnsi="Calibri" w:cs="Calibri"/>
          <w:color w:val="auto"/>
          <w:sz w:val="20"/>
          <w:szCs w:val="20"/>
        </w:rPr>
        <w:tab/>
        <w:t>a ich daňovou základňou,</w:t>
      </w:r>
    </w:p>
    <w:p w14:paraId="0B1ACF66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b) možnosti umorovať daňovú stratu v budúcnosti, pod ktorou sa rozumie možnosť odpočítať daňovú </w:t>
      </w:r>
      <w:r w:rsidRPr="00B76474">
        <w:rPr>
          <w:rFonts w:ascii="Calibri" w:hAnsi="Calibri" w:cs="Calibri"/>
          <w:color w:val="auto"/>
          <w:sz w:val="20"/>
          <w:szCs w:val="20"/>
        </w:rPr>
        <w:tab/>
        <w:t>stratu od základu dane v budúcnosti,</w:t>
      </w:r>
    </w:p>
    <w:p w14:paraId="1E932FD5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c) možnosti previesť nevyužité daňové odpočty a iné daňové nároky do budúcich období.</w:t>
      </w:r>
    </w:p>
    <w:p w14:paraId="0F9EC590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Odložená daňová pohľadávka sa účtuje iba do takej výšky, do akej je pravdepodobné, že bude možné dočasné rozdiely vyrovnať voči budúcemu základu dane.</w:t>
      </w:r>
    </w:p>
    <w:p w14:paraId="590DEE37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Pri výpočte odloženej dane sa použije sadzba dane z príjmov, o ktorej sa predpokladá, že bude platiť v čase vyrovnania odloženej dane. </w:t>
      </w:r>
    </w:p>
    <w:p w14:paraId="0678AA12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12. Výdavky budúcich období a výnosy budúcich období</w:t>
      </w:r>
    </w:p>
    <w:p w14:paraId="5E213234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Výdavky budúcich období a výnosy budúcich období sú vykázané vo výške, ktorá je potrebná na dodržanie zásady vecnej a časovej súvislosti s účtovným obdobím.</w:t>
      </w:r>
    </w:p>
    <w:p w14:paraId="3A8FE18A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13. Leasing (Spoločnosť je nájomca)</w:t>
      </w:r>
    </w:p>
    <w:p w14:paraId="3CCC2D25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Finančný leasing. Finančný leasing je obstaranie dlhodobého hmotného majetku na základe nájomnej zmluvy s dojednaným právom kúpy prenajatej veci za dohodnuté platby počas dohodnutej doby nájmu tohto majetku. Súčasťou dohodnutých platieb je aj kúpna cena, za ktorú na konci dohodnutej doby prechádza vlastnícke právo k prenajatému majetku z prenajímateľa na nájomcu. Dohodnutá doba nájmu je najmenej 60% doby odpisovania podľa daňových predpisov, nie však menej ako 3 roky. Finančné náklady sa vykazujú ako úroky. </w:t>
      </w:r>
    </w:p>
    <w:p w14:paraId="7FECBF40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Finančný leasing (zmluvy uzatvorené po 1. januári 2004) sa aktivuje v účtovníctve nájomcu v deň prijatia majetku na príslušný účet majetku so súvzťažným zápisom v prospech záväzkov z nájmu v ocenení, ktoré sa rovná celkovej výške dohodnutých platieb znížených o nerealizované finančné náklady. Majetok obstaraný formou finančného prenájmu sa odpisuje v účtovníctve nájomcu.</w:t>
      </w:r>
    </w:p>
    <w:p w14:paraId="38720026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14. Cudzia mena</w:t>
      </w:r>
    </w:p>
    <w:p w14:paraId="087C7C10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Majetok a záväzky vyjadrené v cudzej mene (okrem preddavkov prijatých a poskytnutých) sa prepočítavajú na eurá referenčným výmenným kurzom určeným a vyhláseným Európskou centrálnou bankou alebo Národnou bankou Slovenska v deň predchádzajúci dňu uskutočnenia účtovného prípadu alebo v deň, ku ktorému sa zostavuje účtovná závierka. Vzniknuté kurzové rozdiely sa účtujú s vplyvom na výsledok hospodárenia. </w:t>
      </w:r>
    </w:p>
    <w:p w14:paraId="2AB02584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15. Vykazovanie výnosov</w:t>
      </w:r>
    </w:p>
    <w:p w14:paraId="429BF92B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Výnosy z predaja výrobkov sa vykazujú v momente prenosu rizika a vlastníctva výrobku, obvykle po dodávke. Ak sa spoločnosť zaviaže dopraviť výrobky na určité miesto, výnosy sa vykazujú v momente doručenia výrobku do cieľového miesta.</w:t>
      </w:r>
    </w:p>
    <w:p w14:paraId="74B2B3A5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Výnosy z predaja služieb sa vykazujú v účtovnom období, v ktorom boli služby poskytnuté s ohľadom na stav rozpracovanosti danej služby. Tento je zistený na základe skutočne poskytnutých služieb ako pomernej časti k celkovému rozsahu dohodnutých služieb</w:t>
      </w:r>
    </w:p>
    <w:p w14:paraId="06A2B6A8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Výnosy sa vykazujú po odpočítaní dane z pridanej hodnoty, zliav a zrážok (rabaty, bonusy, skontá, dobropisy a pod.). Výnosové úroky sa účtujú rovnomerne v účtovných obdobiach, ktorých sa vecne a časovo týkajú.</w:t>
      </w:r>
    </w:p>
    <w:p w14:paraId="2B460C4C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lastRenderedPageBreak/>
        <w:t xml:space="preserve">Výnosy spoločnosti tvoria z veľkej časti tržby za </w:t>
      </w:r>
      <w:r>
        <w:rPr>
          <w:rFonts w:ascii="Calibri" w:hAnsi="Calibri" w:cs="Calibri"/>
          <w:color w:val="auto"/>
          <w:sz w:val="20"/>
          <w:szCs w:val="20"/>
        </w:rPr>
        <w:t>predaj tovaru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 a tržby z poskytovaných služieb hlavne tržby z</w:t>
      </w:r>
      <w:r>
        <w:rPr>
          <w:rFonts w:ascii="Calibri" w:hAnsi="Calibri" w:cs="Calibri"/>
          <w:color w:val="auto"/>
          <w:sz w:val="20"/>
          <w:szCs w:val="20"/>
        </w:rPr>
        <w:t> textilnej výroby s montážou</w:t>
      </w:r>
      <w:r w:rsidRPr="00B76474">
        <w:rPr>
          <w:rFonts w:ascii="Calibri" w:hAnsi="Calibri" w:cs="Calibri"/>
          <w:color w:val="auto"/>
          <w:sz w:val="20"/>
          <w:szCs w:val="20"/>
        </w:rPr>
        <w:t>.</w:t>
      </w:r>
    </w:p>
    <w:p w14:paraId="39527B1A" w14:textId="77777777" w:rsidR="00D633F7" w:rsidRPr="00B76474" w:rsidRDefault="00D633F7" w:rsidP="00D633F7">
      <w:pPr>
        <w:pStyle w:val="Vchodzie"/>
        <w:spacing w:after="120"/>
        <w:jc w:val="both"/>
        <w:rPr>
          <w:rFonts w:ascii="Calibri" w:hAnsi="Calibri" w:cs="Calibri"/>
          <w:color w:val="auto"/>
          <w:sz w:val="22"/>
          <w:szCs w:val="22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</w:t>
      </w:r>
      <w:r>
        <w:rPr>
          <w:rFonts w:ascii="Calibri" w:hAnsi="Calibri" w:cs="Calibri"/>
          <w:b/>
          <w:color w:val="auto"/>
          <w:sz w:val="22"/>
          <w:szCs w:val="22"/>
        </w:rPr>
        <w:t>6</w:t>
      </w:r>
      <w:r w:rsidRPr="00B76474">
        <w:rPr>
          <w:rFonts w:ascii="Calibri" w:hAnsi="Calibri" w:cs="Calibri"/>
          <w:b/>
          <w:color w:val="auto"/>
          <w:sz w:val="22"/>
          <w:szCs w:val="22"/>
        </w:rPr>
        <w:t>. Oprava chýb minulých období.</w:t>
      </w:r>
    </w:p>
    <w:p w14:paraId="2C4976D4" w14:textId="77777777" w:rsidR="00D633F7" w:rsidRPr="00B76474" w:rsidRDefault="00D633F7" w:rsidP="00D633F7">
      <w:pPr>
        <w:pStyle w:val="Vchodzie"/>
        <w:spacing w:after="120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 roku 201</w:t>
      </w:r>
      <w:r>
        <w:rPr>
          <w:rFonts w:ascii="Calibri" w:hAnsi="Calibri" w:cs="Calibri"/>
          <w:color w:val="auto"/>
          <w:sz w:val="20"/>
          <w:szCs w:val="20"/>
        </w:rPr>
        <w:t>8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 spoločnosť neúčtovala o oprave významných chýb na účte nerozdelené zisky minulých období.</w:t>
      </w:r>
    </w:p>
    <w:p w14:paraId="19606973" w14:textId="77777777" w:rsidR="00D633F7" w:rsidRPr="00B76474" w:rsidRDefault="00D633F7" w:rsidP="00D633F7">
      <w:pPr>
        <w:pStyle w:val="Vchodzie"/>
        <w:spacing w:after="120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B76474">
        <w:rPr>
          <w:rFonts w:asciiTheme="minorHAnsi" w:hAnsiTheme="minorHAnsi" w:cstheme="minorHAnsi"/>
          <w:b/>
          <w:color w:val="auto"/>
          <w:sz w:val="22"/>
          <w:szCs w:val="22"/>
        </w:rPr>
        <w:t>1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7</w:t>
      </w:r>
      <w:r w:rsidRPr="00B76474">
        <w:rPr>
          <w:rFonts w:asciiTheme="minorHAnsi" w:hAnsiTheme="minorHAnsi" w:cstheme="minorHAnsi"/>
          <w:b/>
          <w:color w:val="auto"/>
          <w:sz w:val="22"/>
          <w:szCs w:val="22"/>
        </w:rPr>
        <w:t>.  Porovnateľné údaje</w:t>
      </w:r>
    </w:p>
    <w:p w14:paraId="22BA30BA" w14:textId="77777777" w:rsidR="00D633F7" w:rsidRPr="00B76474" w:rsidRDefault="00D633F7" w:rsidP="00D633F7">
      <w:pPr>
        <w:pStyle w:val="Vchodzie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76474">
        <w:rPr>
          <w:rFonts w:asciiTheme="minorHAnsi" w:hAnsiTheme="minorHAnsi" w:cstheme="minorHAnsi"/>
          <w:color w:val="auto"/>
          <w:sz w:val="22"/>
          <w:szCs w:val="22"/>
        </w:rPr>
        <w:t>Niektoré údaje za predošlé účtovné obdobie boli pozmenené pre ich lepšiu porovnateľnosť s údajmi uvedenými v bežnom účtovnom období. Zmena v prezentácii porovnateľných údajov nemala dopad na celkovú výšku aktív, vlastného imania a výsledku hospodárenia v predchádzajúcom období.</w:t>
      </w:r>
    </w:p>
    <w:p w14:paraId="5BEC2224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0CE69F5D" w14:textId="77777777"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t>Informácie, ktoré vysvetľujú a dopĺňajú súvahu a výkaz ziskov a strát</w:t>
      </w:r>
    </w:p>
    <w:p w14:paraId="067C75ED" w14:textId="77777777" w:rsidR="00D633F7" w:rsidRPr="00B76474" w:rsidRDefault="00D633F7" w:rsidP="00D633F7">
      <w:pPr>
        <w:pStyle w:val="Vchodzie"/>
        <w:jc w:val="center"/>
        <w:rPr>
          <w:color w:val="auto"/>
        </w:rPr>
      </w:pPr>
    </w:p>
    <w:p w14:paraId="6FC4AEFB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(1) Účtovná jednotka neúčtovala o </w:t>
      </w:r>
      <w:proofErr w:type="spellStart"/>
      <w:r w:rsidRPr="00B76474">
        <w:rPr>
          <w:rFonts w:ascii="Calibri" w:hAnsi="Calibri"/>
          <w:b/>
          <w:color w:val="auto"/>
          <w:sz w:val="22"/>
          <w:szCs w:val="22"/>
        </w:rPr>
        <w:t>goodwille</w:t>
      </w:r>
      <w:proofErr w:type="spellEnd"/>
      <w:r w:rsidRPr="00B76474">
        <w:rPr>
          <w:rFonts w:ascii="Calibri" w:hAnsi="Calibri"/>
          <w:b/>
          <w:color w:val="auto"/>
          <w:sz w:val="22"/>
          <w:szCs w:val="22"/>
        </w:rPr>
        <w:t xml:space="preserve"> v bežnom účtovnom období ani v minulých účtovných obdobiach.</w:t>
      </w:r>
    </w:p>
    <w:p w14:paraId="6779C1A0" w14:textId="77777777" w:rsidR="00D633F7" w:rsidRDefault="00D633F7" w:rsidP="00D633F7">
      <w:pPr>
        <w:pStyle w:val="Vchodzie"/>
        <w:rPr>
          <w:color w:val="auto"/>
        </w:rPr>
      </w:pPr>
    </w:p>
    <w:p w14:paraId="45060D70" w14:textId="77777777" w:rsidR="00D633F7" w:rsidRPr="00B76474" w:rsidRDefault="00D633F7" w:rsidP="00D633F7">
      <w:pPr>
        <w:pStyle w:val="Vchodzie"/>
        <w:rPr>
          <w:color w:val="auto"/>
        </w:rPr>
      </w:pPr>
    </w:p>
    <w:p w14:paraId="143E5443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(2) Informácie o významných položkách majetku a záväzkoch zabezpečených derivátmi</w:t>
      </w:r>
    </w:p>
    <w:p w14:paraId="36334843" w14:textId="77777777" w:rsidR="00D633F7" w:rsidRPr="00B76474" w:rsidRDefault="00D633F7" w:rsidP="00D633F7">
      <w:pPr>
        <w:pStyle w:val="Vchodzie"/>
        <w:ind w:left="-142" w:right="-468" w:firstLine="142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 účtovnom období 201</w:t>
      </w:r>
      <w:r>
        <w:rPr>
          <w:rFonts w:ascii="Calibri" w:hAnsi="Calibri" w:cs="Calibri"/>
          <w:color w:val="auto"/>
          <w:sz w:val="20"/>
          <w:szCs w:val="20"/>
        </w:rPr>
        <w:t>8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 účtovná jednotka nevykonala žiadne derivátové operácie. </w:t>
      </w:r>
    </w:p>
    <w:p w14:paraId="6867F579" w14:textId="77777777" w:rsidR="00D633F7" w:rsidRDefault="00D633F7" w:rsidP="00D633F7">
      <w:pPr>
        <w:pStyle w:val="Vchodzie"/>
        <w:rPr>
          <w:color w:val="auto"/>
        </w:rPr>
      </w:pPr>
    </w:p>
    <w:p w14:paraId="77411991" w14:textId="77777777" w:rsidR="00D633F7" w:rsidRDefault="00D633F7" w:rsidP="00D633F7">
      <w:pPr>
        <w:pStyle w:val="Vchodzie"/>
        <w:rPr>
          <w:color w:val="auto"/>
        </w:rPr>
      </w:pPr>
    </w:p>
    <w:p w14:paraId="177EBE1F" w14:textId="77777777" w:rsidR="00D633F7" w:rsidRDefault="00D633F7" w:rsidP="00D633F7">
      <w:pPr>
        <w:pStyle w:val="Vchodzie"/>
        <w:rPr>
          <w:color w:val="auto"/>
        </w:rPr>
      </w:pPr>
    </w:p>
    <w:p w14:paraId="74507B35" w14:textId="77777777" w:rsidR="00D633F7" w:rsidRDefault="00D633F7" w:rsidP="00D633F7">
      <w:pPr>
        <w:pStyle w:val="Vchodzie"/>
        <w:rPr>
          <w:color w:val="auto"/>
        </w:rPr>
      </w:pPr>
    </w:p>
    <w:p w14:paraId="4E939930" w14:textId="77777777" w:rsidR="00D633F7" w:rsidRDefault="00D633F7" w:rsidP="00D633F7">
      <w:pPr>
        <w:pStyle w:val="Vchodzie"/>
        <w:rPr>
          <w:color w:val="auto"/>
        </w:rPr>
      </w:pPr>
    </w:p>
    <w:p w14:paraId="0F68A6E0" w14:textId="77777777" w:rsidR="00D633F7" w:rsidRDefault="00D633F7" w:rsidP="00D633F7">
      <w:pPr>
        <w:pStyle w:val="Vchodzie"/>
        <w:rPr>
          <w:color w:val="auto"/>
        </w:rPr>
      </w:pPr>
    </w:p>
    <w:p w14:paraId="3CD68A16" w14:textId="77777777" w:rsidR="00D633F7" w:rsidRDefault="00D633F7" w:rsidP="00D633F7">
      <w:pPr>
        <w:pStyle w:val="Vchodzie"/>
        <w:rPr>
          <w:color w:val="auto"/>
        </w:rPr>
      </w:pPr>
    </w:p>
    <w:p w14:paraId="0D7C3600" w14:textId="77777777" w:rsidR="00D633F7" w:rsidRDefault="00D633F7" w:rsidP="00D633F7">
      <w:pPr>
        <w:pStyle w:val="Vchodzie"/>
        <w:rPr>
          <w:color w:val="auto"/>
        </w:rPr>
      </w:pPr>
    </w:p>
    <w:p w14:paraId="713066D4" w14:textId="77777777" w:rsidR="00D633F7" w:rsidRDefault="00D633F7" w:rsidP="00D633F7">
      <w:pPr>
        <w:pStyle w:val="Vchodzie"/>
        <w:rPr>
          <w:color w:val="auto"/>
        </w:rPr>
      </w:pPr>
    </w:p>
    <w:p w14:paraId="68E5C222" w14:textId="77777777" w:rsidR="00D633F7" w:rsidRDefault="00D633F7" w:rsidP="00D633F7">
      <w:pPr>
        <w:pStyle w:val="Vchodzie"/>
        <w:rPr>
          <w:color w:val="auto"/>
        </w:rPr>
      </w:pPr>
    </w:p>
    <w:p w14:paraId="51557A93" w14:textId="77777777" w:rsidR="00D633F7" w:rsidRPr="00B76474" w:rsidRDefault="00D633F7" w:rsidP="00D633F7">
      <w:pPr>
        <w:pStyle w:val="Vchodzie"/>
        <w:spacing w:after="14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 (3) Informácie o záväzkoch</w:t>
      </w:r>
    </w:p>
    <w:p w14:paraId="574C4CA4" w14:textId="77777777" w:rsidR="00D633F7" w:rsidRPr="00B76474" w:rsidRDefault="00D633F7" w:rsidP="00D633F7">
      <w:pPr>
        <w:pStyle w:val="Vchodzie"/>
        <w:spacing w:after="14"/>
        <w:rPr>
          <w:color w:val="auto"/>
        </w:rPr>
      </w:pPr>
    </w:p>
    <w:p w14:paraId="2525175B" w14:textId="77777777" w:rsidR="00D633F7" w:rsidRPr="00B76474" w:rsidRDefault="00D633F7" w:rsidP="00D633F7">
      <w:pPr>
        <w:pStyle w:val="Vchodzie"/>
        <w:spacing w:after="14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a) Informácie o štruktúre záväzkov podľa zostatkovej doby splatnosti </w:t>
      </w: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0"/>
        <w:gridCol w:w="3001"/>
        <w:gridCol w:w="2712"/>
      </w:tblGrid>
      <w:tr w:rsidR="00D633F7" w:rsidRPr="00B76474" w14:paraId="161786B0" w14:textId="77777777" w:rsidTr="0015223F">
        <w:trPr>
          <w:trHeight w:val="941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DC77E" w14:textId="77777777"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/>
                <w:b w:val="0"/>
                <w:color w:val="auto"/>
                <w:sz w:val="20"/>
                <w:szCs w:val="20"/>
              </w:rPr>
              <w:t>Názov položky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AE08D" w14:textId="77777777"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/>
                <w:b w:val="0"/>
                <w:color w:val="auto"/>
                <w:sz w:val="20"/>
                <w:szCs w:val="20"/>
              </w:rPr>
              <w:t>Bežné účtovné obdobie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54868" w14:textId="77777777"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/>
                <w:b w:val="0"/>
                <w:color w:val="auto"/>
                <w:sz w:val="20"/>
                <w:szCs w:val="20"/>
              </w:rPr>
              <w:t>Bezprostredne predchádzajúce účtovné obdobie</w:t>
            </w:r>
          </w:p>
        </w:tc>
      </w:tr>
      <w:tr w:rsidR="00D633F7" w:rsidRPr="00B76474" w14:paraId="78F9EF43" w14:textId="77777777" w:rsidTr="0015223F">
        <w:trPr>
          <w:trHeight w:val="407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6DDAA" w14:textId="77777777" w:rsidR="00D633F7" w:rsidRPr="00B76474" w:rsidRDefault="00D633F7" w:rsidP="0015223F">
            <w:pPr>
              <w:pStyle w:val="Vchodzie"/>
              <w:rPr>
                <w:rFonts w:ascii="Calibri" w:hAnsi="Calibri" w:cs="Calibri"/>
                <w:color w:val="auto"/>
              </w:rPr>
            </w:pPr>
            <w:r w:rsidRPr="00B7647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Dlhodobé záväzky spolu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2806C" w14:textId="27273D25" w:rsidR="00D633F7" w:rsidRPr="00B76474" w:rsidRDefault="00C07234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26495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59BE2" w14:textId="453CC08C" w:rsidR="00D633F7" w:rsidRPr="00B76474" w:rsidRDefault="0039384D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7373</w:t>
            </w:r>
          </w:p>
        </w:tc>
      </w:tr>
      <w:tr w:rsidR="00D633F7" w:rsidRPr="00B76474" w14:paraId="19E1EBA2" w14:textId="77777777" w:rsidTr="0015223F">
        <w:trPr>
          <w:trHeight w:val="580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CC617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37CC" w14:textId="77777777" w:rsidR="00D633F7" w:rsidRPr="00B76474" w:rsidRDefault="00D633F7" w:rsidP="0015223F">
            <w:pPr>
              <w:pStyle w:val="Vchodzie"/>
              <w:jc w:val="right"/>
              <w:rPr>
                <w:color w:val="auto"/>
              </w:rPr>
            </w:pP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165F9" w14:textId="77777777" w:rsidR="00D633F7" w:rsidRPr="00B76474" w:rsidRDefault="00D633F7" w:rsidP="0015223F">
            <w:pPr>
              <w:pStyle w:val="Vchodzie"/>
              <w:jc w:val="right"/>
              <w:rPr>
                <w:color w:val="auto"/>
              </w:rPr>
            </w:pPr>
          </w:p>
        </w:tc>
      </w:tr>
      <w:tr w:rsidR="00D633F7" w:rsidRPr="00B76474" w14:paraId="78B7A263" w14:textId="77777777" w:rsidTr="0015223F">
        <w:trPr>
          <w:trHeight w:val="580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9682B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DE394" w14:textId="13F311CB" w:rsidR="00D633F7" w:rsidRPr="00186F87" w:rsidRDefault="00C07234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26495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09A2D" w14:textId="2944E591" w:rsidR="00D633F7" w:rsidRPr="00B76474" w:rsidRDefault="0039384D" w:rsidP="00D862D2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7373</w:t>
            </w:r>
          </w:p>
        </w:tc>
      </w:tr>
      <w:tr w:rsidR="00D633F7" w:rsidRPr="00B76474" w14:paraId="2FFB95F6" w14:textId="77777777" w:rsidTr="0015223F">
        <w:trPr>
          <w:trHeight w:val="407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D9B57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Krátkodobé záväzky spolu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D1752" w14:textId="3B9CDCB3" w:rsidR="00D633F7" w:rsidRPr="00186F87" w:rsidRDefault="00C07234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87749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47FE6" w14:textId="15CB91AF" w:rsidR="00D633F7" w:rsidRPr="00186F87" w:rsidRDefault="0039384D" w:rsidP="00D862D2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99210</w:t>
            </w:r>
          </w:p>
        </w:tc>
      </w:tr>
      <w:tr w:rsidR="00D633F7" w:rsidRPr="00B76474" w14:paraId="490BDD77" w14:textId="77777777" w:rsidTr="0015223F">
        <w:trPr>
          <w:trHeight w:val="580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4DE6C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5D030" w14:textId="05372587" w:rsidR="00D633F7" w:rsidRPr="00B76474" w:rsidRDefault="00C07234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87749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0C46A" w14:textId="7E17B88D" w:rsidR="00D633F7" w:rsidRPr="00B76474" w:rsidRDefault="0039384D" w:rsidP="00D862D2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  <w:t>99210</w:t>
            </w:r>
          </w:p>
        </w:tc>
      </w:tr>
      <w:tr w:rsidR="00D633F7" w:rsidRPr="00B76474" w14:paraId="1A135560" w14:textId="77777777" w:rsidTr="0015223F">
        <w:trPr>
          <w:trHeight w:val="407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BF898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Záväzky po lehote splatnosti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CBB4F" w14:textId="77777777" w:rsidR="00D633F7" w:rsidRPr="003A29AE" w:rsidRDefault="00D633F7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A823E" w14:textId="77777777" w:rsidR="00D633F7" w:rsidRPr="00B76474" w:rsidRDefault="00D633F7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</w:tbl>
    <w:p w14:paraId="72BF0DFA" w14:textId="77777777" w:rsidR="00D633F7" w:rsidRPr="00B76474" w:rsidRDefault="00D633F7" w:rsidP="00D633F7">
      <w:pPr>
        <w:pStyle w:val="Vchodzie"/>
        <w:spacing w:after="14"/>
        <w:rPr>
          <w:color w:val="auto"/>
        </w:rPr>
      </w:pPr>
    </w:p>
    <w:p w14:paraId="26882250" w14:textId="77777777" w:rsidR="00D633F7" w:rsidRPr="00B76474" w:rsidRDefault="00D633F7" w:rsidP="00D633F7">
      <w:pPr>
        <w:pStyle w:val="Vchodzie"/>
        <w:spacing w:after="14"/>
        <w:rPr>
          <w:rFonts w:ascii="Calibri" w:hAnsi="Calibri"/>
          <w:b/>
          <w:color w:val="auto"/>
          <w:sz w:val="22"/>
          <w:szCs w:val="22"/>
        </w:rPr>
      </w:pPr>
    </w:p>
    <w:p w14:paraId="4F991F84" w14:textId="77777777" w:rsidR="00D633F7" w:rsidRPr="00B76474" w:rsidRDefault="00D633F7" w:rsidP="00D633F7">
      <w:pPr>
        <w:pStyle w:val="Vchodzie"/>
        <w:spacing w:after="14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b) Informácie o záväzkoch s obmedzeným právom  nakladania</w:t>
      </w:r>
    </w:p>
    <w:p w14:paraId="405AFD98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color w:val="auto"/>
          <w:sz w:val="20"/>
          <w:szCs w:val="20"/>
        </w:rPr>
        <w:t>Účtovná jednotka nemá záväzky kryté záložným právom, nemá zriadené obmedzenie v prospech veriteľov na ich pohľadávky.</w:t>
      </w:r>
    </w:p>
    <w:p w14:paraId="7DBF869C" w14:textId="77777777" w:rsidR="00D633F7" w:rsidRPr="00B76474" w:rsidRDefault="00D633F7" w:rsidP="00D633F7">
      <w:pPr>
        <w:pStyle w:val="Vchodzie"/>
        <w:rPr>
          <w:color w:val="auto"/>
        </w:rPr>
      </w:pPr>
    </w:p>
    <w:p w14:paraId="379BF912" w14:textId="77777777" w:rsidR="00D633F7" w:rsidRPr="00B76474" w:rsidRDefault="00D633F7" w:rsidP="00D633F7">
      <w:pPr>
        <w:pStyle w:val="Vchodzie"/>
        <w:spacing w:after="14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(4) Informácie o vlastných akciách </w:t>
      </w:r>
    </w:p>
    <w:p w14:paraId="75AEFEAD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color w:val="auto"/>
          <w:sz w:val="20"/>
          <w:szCs w:val="20"/>
        </w:rPr>
        <w:t>Spoločnosť nevydala a nemá vlastné akcie.</w:t>
      </w:r>
    </w:p>
    <w:p w14:paraId="556D3C91" w14:textId="77777777" w:rsidR="00D633F7" w:rsidRPr="00B76474" w:rsidRDefault="00D633F7" w:rsidP="00D633F7">
      <w:pPr>
        <w:pStyle w:val="Vchodzie"/>
        <w:rPr>
          <w:color w:val="auto"/>
        </w:rPr>
      </w:pPr>
    </w:p>
    <w:p w14:paraId="5AB95B1E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(5) Informácia o sume a dôvodoch vzniku jednotlivých položiek nákladov alebo výnosov, ktoré majú výnimočný rozsah alebo výskyt </w:t>
      </w:r>
    </w:p>
    <w:p w14:paraId="13E982F0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color w:val="auto"/>
          <w:sz w:val="20"/>
          <w:szCs w:val="20"/>
        </w:rPr>
        <w:t>Účtovná jednotka neúčtovala v roku 201</w:t>
      </w:r>
      <w:r>
        <w:rPr>
          <w:rFonts w:ascii="Calibri" w:hAnsi="Calibri"/>
          <w:color w:val="auto"/>
          <w:sz w:val="20"/>
          <w:szCs w:val="20"/>
        </w:rPr>
        <w:t>8</w:t>
      </w:r>
      <w:r w:rsidRPr="00B76474">
        <w:rPr>
          <w:rFonts w:ascii="Calibri" w:hAnsi="Calibri"/>
          <w:color w:val="auto"/>
          <w:sz w:val="20"/>
          <w:szCs w:val="20"/>
        </w:rPr>
        <w:t xml:space="preserve"> o výnosoch alebo nákladoch, ktoré majú výnimočný rozsah alebo výskyt.</w:t>
      </w:r>
    </w:p>
    <w:p w14:paraId="00510064" w14:textId="77777777" w:rsidR="00D633F7" w:rsidRPr="00B76474" w:rsidRDefault="00D633F7" w:rsidP="00D633F7">
      <w:pPr>
        <w:pStyle w:val="Vchodzie"/>
        <w:rPr>
          <w:color w:val="auto"/>
        </w:rPr>
      </w:pPr>
    </w:p>
    <w:p w14:paraId="3E88AF94" w14:textId="77777777" w:rsidR="00D633F7" w:rsidRPr="00B76474" w:rsidRDefault="00D633F7" w:rsidP="00D633F7">
      <w:pPr>
        <w:pStyle w:val="Vchodzie"/>
        <w:rPr>
          <w:color w:val="auto"/>
        </w:rPr>
      </w:pPr>
    </w:p>
    <w:p w14:paraId="1CC4A3E6" w14:textId="77777777"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t>Informácie o iných aktívach a iných pasívach</w:t>
      </w:r>
    </w:p>
    <w:p w14:paraId="3ED07C55" w14:textId="77777777" w:rsidR="00D633F7" w:rsidRPr="00B76474" w:rsidRDefault="00D633F7" w:rsidP="00D633F7">
      <w:pPr>
        <w:pStyle w:val="Vchodzie"/>
        <w:jc w:val="center"/>
        <w:rPr>
          <w:color w:val="auto"/>
        </w:rPr>
      </w:pPr>
    </w:p>
    <w:p w14:paraId="5F3E912F" w14:textId="77777777" w:rsidR="00D633F7" w:rsidRPr="00B76474" w:rsidRDefault="00D633F7" w:rsidP="00D633F7">
      <w:pPr>
        <w:pStyle w:val="Vchodzie"/>
        <w:spacing w:after="17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(1) Informácie o iných aktívach a iných pasívach: </w:t>
      </w:r>
    </w:p>
    <w:p w14:paraId="7E549CC6" w14:textId="77777777" w:rsidR="00D633F7" w:rsidRPr="00B76474" w:rsidRDefault="00D633F7" w:rsidP="00D633F7">
      <w:pPr>
        <w:pStyle w:val="Vchodzie"/>
        <w:spacing w:after="17"/>
        <w:rPr>
          <w:color w:val="auto"/>
        </w:rPr>
      </w:pPr>
    </w:p>
    <w:p w14:paraId="0F0F5CEE" w14:textId="77777777" w:rsidR="00D633F7" w:rsidRPr="00B76474" w:rsidRDefault="00D633F7" w:rsidP="00D633F7">
      <w:pPr>
        <w:pStyle w:val="Vchodzie"/>
        <w:spacing w:after="17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a) Informácie o podmienenom majetku</w:t>
      </w:r>
    </w:p>
    <w:p w14:paraId="5B6CD9D2" w14:textId="77777777" w:rsidR="00D633F7" w:rsidRPr="00B76474" w:rsidRDefault="00D633F7" w:rsidP="00D633F7">
      <w:pPr>
        <w:pStyle w:val="Vchodzie"/>
        <w:spacing w:after="17"/>
        <w:rPr>
          <w:rFonts w:ascii="Calibri" w:hAnsi="Calibri"/>
          <w:color w:val="auto"/>
          <w:sz w:val="20"/>
          <w:szCs w:val="20"/>
        </w:rPr>
      </w:pPr>
      <w:r w:rsidRPr="00B76474">
        <w:rPr>
          <w:rFonts w:ascii="Calibri" w:hAnsi="Calibri"/>
          <w:color w:val="auto"/>
          <w:sz w:val="20"/>
          <w:szCs w:val="20"/>
        </w:rPr>
        <w:t>Účtovná jednotka nemá vedomosť o  žiadnom podmienenom majetku, ktorý sa nevykazuje v súvahe.</w:t>
      </w:r>
    </w:p>
    <w:p w14:paraId="79ED3270" w14:textId="77777777" w:rsidR="00D633F7" w:rsidRPr="00B76474" w:rsidRDefault="00D633F7" w:rsidP="00D633F7">
      <w:pPr>
        <w:pStyle w:val="Vchodzie"/>
        <w:spacing w:after="17"/>
        <w:rPr>
          <w:color w:val="auto"/>
        </w:rPr>
      </w:pPr>
    </w:p>
    <w:p w14:paraId="1BB4FB22" w14:textId="77777777" w:rsidR="00D633F7" w:rsidRPr="00B76474" w:rsidRDefault="00D633F7" w:rsidP="00D633F7">
      <w:pPr>
        <w:pStyle w:val="Nzov"/>
        <w:widowControl w:val="0"/>
        <w:spacing w:after="0"/>
        <w:jc w:val="left"/>
        <w:rPr>
          <w:color w:val="auto"/>
          <w:sz w:val="22"/>
          <w:szCs w:val="22"/>
        </w:rPr>
      </w:pPr>
      <w:r w:rsidRPr="00B76474">
        <w:rPr>
          <w:rFonts w:ascii="Calibri" w:hAnsi="Calibri"/>
          <w:color w:val="auto"/>
          <w:sz w:val="22"/>
          <w:szCs w:val="22"/>
        </w:rPr>
        <w:t>b) Informácie o podmienených záväzkoch</w:t>
      </w:r>
    </w:p>
    <w:p w14:paraId="0913185A" w14:textId="77777777" w:rsidR="00D633F7" w:rsidRPr="00B76474" w:rsidRDefault="00D633F7" w:rsidP="00D633F7">
      <w:pPr>
        <w:pStyle w:val="Vchodzie"/>
        <w:spacing w:after="17"/>
        <w:jc w:val="both"/>
        <w:rPr>
          <w:color w:val="auto"/>
        </w:rPr>
      </w:pPr>
    </w:p>
    <w:p w14:paraId="3C99F5BC" w14:textId="77777777" w:rsidR="00D633F7" w:rsidRPr="00B76474" w:rsidRDefault="00D633F7" w:rsidP="00D633F7">
      <w:pPr>
        <w:pStyle w:val="Vchodzie"/>
        <w:spacing w:after="17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Vzhľadom na to, že viaceré oblasti slovenského daňového práva</w:t>
      </w:r>
      <w:r w:rsidRPr="00B76474">
        <w:rPr>
          <w:color w:val="auto"/>
        </w:rPr>
        <w:t xml:space="preserve"> </w:t>
      </w:r>
      <w:r w:rsidRPr="00B76474">
        <w:rPr>
          <w:rFonts w:ascii="Calibri" w:hAnsi="Calibri" w:cs="Calibri"/>
          <w:color w:val="auto"/>
          <w:sz w:val="20"/>
          <w:szCs w:val="20"/>
        </w:rPr>
        <w:t>( napr. legislatíva ohľadom transferového oceňovania) doteraz neboli dostatočne overené praxou, existuje neistota v tom, ako ich budú daňové orgány 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7974FA3F" w14:textId="77777777" w:rsidR="00D633F7" w:rsidRPr="00B76474" w:rsidRDefault="00D633F7" w:rsidP="00D633F7">
      <w:pPr>
        <w:pStyle w:val="Vchodzie"/>
        <w:spacing w:after="17"/>
        <w:jc w:val="both"/>
        <w:rPr>
          <w:color w:val="auto"/>
        </w:rPr>
      </w:pPr>
    </w:p>
    <w:p w14:paraId="17B131A2" w14:textId="77777777" w:rsidR="00D633F7" w:rsidRPr="00B76474" w:rsidRDefault="00D633F7" w:rsidP="00D633F7">
      <w:pPr>
        <w:pStyle w:val="Vchodzie"/>
        <w:spacing w:after="17"/>
        <w:jc w:val="both"/>
        <w:rPr>
          <w:rFonts w:ascii="Calibri" w:hAnsi="Calibri" w:cs="Calibri"/>
          <w:color w:val="auto"/>
          <w:sz w:val="20"/>
          <w:szCs w:val="20"/>
        </w:rPr>
      </w:pPr>
    </w:p>
    <w:p w14:paraId="03C9D950" w14:textId="77777777" w:rsidR="00D633F7" w:rsidRPr="00B76474" w:rsidRDefault="00D633F7" w:rsidP="00D633F7">
      <w:pPr>
        <w:pStyle w:val="Vchodzie"/>
        <w:spacing w:after="17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Okrem vyššie uvedeného, nemá Spoločnosť vedomosť o inom podmienenom majetku alebo podmienených záväzkoch, ktoré sa nevykazujú v súvahe.</w:t>
      </w:r>
    </w:p>
    <w:p w14:paraId="71A29426" w14:textId="77777777" w:rsidR="00D633F7" w:rsidRPr="00B76474" w:rsidRDefault="00D633F7" w:rsidP="00D633F7">
      <w:pPr>
        <w:pStyle w:val="Vchodzie"/>
        <w:spacing w:after="17"/>
        <w:rPr>
          <w:color w:val="auto"/>
          <w:sz w:val="20"/>
          <w:szCs w:val="20"/>
        </w:rPr>
      </w:pPr>
    </w:p>
    <w:p w14:paraId="051A5797" w14:textId="77777777" w:rsidR="00D633F7" w:rsidRPr="00B76474" w:rsidRDefault="00D633F7" w:rsidP="00D633F7">
      <w:pPr>
        <w:pStyle w:val="Vchodzie"/>
        <w:spacing w:after="17"/>
        <w:rPr>
          <w:color w:val="auto"/>
        </w:rPr>
      </w:pPr>
    </w:p>
    <w:p w14:paraId="5E9EF0FA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 (2) Informácia o ostatných finančných povinnostiach, ktoré sa nevykazujú v účtovných výkazoch</w:t>
      </w:r>
    </w:p>
    <w:p w14:paraId="128F9EB5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color w:val="auto"/>
          <w:sz w:val="20"/>
          <w:szCs w:val="20"/>
        </w:rPr>
        <w:t>Spoločnosti nebolo udelené výlučné právo alebo osobitné právo poskytovať služby vo verejnom záujme. Na spoločnosť sa rovnako nevzťahuje § 23d ods. 6 zákona o účtovníctve.</w:t>
      </w:r>
    </w:p>
    <w:p w14:paraId="2AC85135" w14:textId="77777777" w:rsidR="00D633F7" w:rsidRPr="00B76474" w:rsidRDefault="00D633F7" w:rsidP="00D633F7">
      <w:pPr>
        <w:pStyle w:val="Vchodzie"/>
        <w:rPr>
          <w:color w:val="auto"/>
        </w:rPr>
      </w:pPr>
    </w:p>
    <w:p w14:paraId="61E034B8" w14:textId="77777777" w:rsidR="00D633F7" w:rsidRPr="00B76474" w:rsidRDefault="00D633F7" w:rsidP="00D633F7">
      <w:pPr>
        <w:pStyle w:val="Vchodzie"/>
        <w:rPr>
          <w:color w:val="auto"/>
        </w:rPr>
      </w:pPr>
    </w:p>
    <w:p w14:paraId="71536835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(3) Informácie ku skutočnostiam sledovaným na podsúvahových účtoch  </w:t>
      </w:r>
    </w:p>
    <w:p w14:paraId="27D1B2A4" w14:textId="77777777" w:rsidR="00D633F7" w:rsidRPr="00B76474" w:rsidRDefault="00D633F7" w:rsidP="00D633F7">
      <w:pPr>
        <w:pStyle w:val="Vchodzie"/>
        <w:rPr>
          <w:color w:val="auto"/>
        </w:rPr>
      </w:pPr>
    </w:p>
    <w:p w14:paraId="32BEFAF2" w14:textId="77777777" w:rsidR="00D633F7" w:rsidRPr="00B76474" w:rsidRDefault="00D633F7" w:rsidP="00D633F7">
      <w:pPr>
        <w:pStyle w:val="Vchodzie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 Spoločnosť nemá vedomosť o inom podmienenom majetku alebo podmienených záväzkoch, ktoré sa nevykazujú v súvahe. </w:t>
      </w:r>
    </w:p>
    <w:p w14:paraId="63ADE6AF" w14:textId="77777777" w:rsidR="00D633F7" w:rsidRPr="00B76474" w:rsidRDefault="00D633F7" w:rsidP="00D633F7">
      <w:pPr>
        <w:pStyle w:val="Vchodzie"/>
        <w:jc w:val="center"/>
        <w:rPr>
          <w:color w:val="auto"/>
        </w:rPr>
      </w:pPr>
    </w:p>
    <w:p w14:paraId="2177C070" w14:textId="77777777"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t>Udalosti, ktoré nastali po dni, ku ktorému sa zostavuje účtovná závierka</w:t>
      </w:r>
    </w:p>
    <w:p w14:paraId="0A1E3BA4" w14:textId="77777777" w:rsidR="00D633F7" w:rsidRPr="00B76474" w:rsidRDefault="00D633F7" w:rsidP="00D633F7">
      <w:pPr>
        <w:pStyle w:val="Vchodzie"/>
        <w:jc w:val="center"/>
        <w:rPr>
          <w:color w:val="auto"/>
        </w:rPr>
      </w:pPr>
    </w:p>
    <w:p w14:paraId="44E2C9D6" w14:textId="6B73C5B1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bCs/>
          <w:color w:val="auto"/>
          <w:sz w:val="20"/>
          <w:szCs w:val="20"/>
        </w:rPr>
        <w:t>Po 31. decembri 20 do dňa zostavenia účtovnej závierky spoločnosti nenastali také udalosti, ktoré by si vyžadovali zverejnenie alebo vykázanie v účtovnej závierke za rok 20</w:t>
      </w:r>
      <w:r w:rsidR="0039384D">
        <w:rPr>
          <w:rFonts w:ascii="Calibri" w:hAnsi="Calibri"/>
          <w:bCs/>
          <w:color w:val="auto"/>
          <w:sz w:val="20"/>
          <w:szCs w:val="20"/>
        </w:rPr>
        <w:t>20</w:t>
      </w:r>
      <w:r w:rsidRPr="00B76474">
        <w:rPr>
          <w:rFonts w:ascii="Calibri" w:hAnsi="Calibri"/>
          <w:bCs/>
          <w:color w:val="auto"/>
          <w:sz w:val="20"/>
          <w:szCs w:val="20"/>
        </w:rPr>
        <w:t>.</w:t>
      </w:r>
    </w:p>
    <w:p w14:paraId="4B65E69E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344C090F" w14:textId="0AF0166D" w:rsidR="0039384D" w:rsidRDefault="0039384D" w:rsidP="0039384D">
      <w:r>
        <w:t xml:space="preserve">                               </w:t>
      </w:r>
      <w:proofErr w:type="spellStart"/>
      <w:r>
        <w:t>Ososbitné</w:t>
      </w:r>
      <w:proofErr w:type="spellEnd"/>
      <w:r>
        <w:t xml:space="preserve"> záznamy</w:t>
      </w:r>
    </w:p>
    <w:p w14:paraId="1C7AB89D" w14:textId="4B025A39" w:rsidR="0039384D" w:rsidRDefault="0039384D" w:rsidP="0039384D">
      <w:r>
        <w:t xml:space="preserve">Mimoriadne udalosti v súvislosti s pandémiou </w:t>
      </w:r>
      <w:proofErr w:type="spellStart"/>
      <w:r>
        <w:t>koronavírusu</w:t>
      </w:r>
      <w:proofErr w:type="spellEnd"/>
      <w:r>
        <w:t xml:space="preserve"> COVID-19 podľa nášho posúdenia neovplyvnia podnikateľskú činnosť Spoločnosti do takej miery, dôsledkom ktorých by došlo k ohrozeniu nepretržitého pokračovania v činnosti spoločnosti. Opatrenia vlády SR na zamedzenie šírenia </w:t>
      </w:r>
      <w:proofErr w:type="spellStart"/>
      <w:r>
        <w:t>koronavírusu</w:t>
      </w:r>
      <w:proofErr w:type="spellEnd"/>
      <w:r>
        <w:t xml:space="preserve"> sa tak v prvej vlne ako aj v druhej vlne pandémie významne neovplyvnili našu činnosť.  Analýzou vývoja Spoločnosti v čase od 13.3.2020 do spracovania účtovnej závierky  sme dospeli k názoru, že aj napriek tomu, že došlo k miernemu  obmedzeniu činnosti Spoločnosti, nedochádza:</w:t>
      </w:r>
    </w:p>
    <w:p w14:paraId="6AF4C3A4" w14:textId="1F09CBA5" w:rsidR="0039384D" w:rsidRDefault="0039384D" w:rsidP="0039384D">
      <w:r>
        <w:lastRenderedPageBreak/>
        <w:t xml:space="preserve">- k nadmernému a významnému znehodnoteniu finančných a nefinančných aktív z titulu nepriaznivej ekonomickej situácie, - k takému významnému prerušeniu dodávateľsko-odberateľských vzťahov alebo k inému narušeniu podnikateľskej činnosti, ktoré by mohli viesť k úplnému zastaveniu činnosti Spoločnosti,- k nadmernému prerušeniu súčasných a budúcich peňažných tokov s negatívnym dopadom na likviditu a finančnú situáciu spoločnosti, a k možnému zvýšeniu </w:t>
      </w:r>
      <w:proofErr w:type="spellStart"/>
      <w:r>
        <w:t>zadĺženosti</w:t>
      </w:r>
      <w:proofErr w:type="spellEnd"/>
      <w:r>
        <w:t>, ktoré by znamenalo ohrozenie existencie Spoločnosti,- prijali sme organizačné a finančné opatrenia na zabezpečenie chodu spoločnosti tak, aby nedošlo k ohrozeniu nepretržitého pokračovania v činnosti</w:t>
      </w:r>
    </w:p>
    <w:p w14:paraId="1F4D0701" w14:textId="77777777" w:rsidR="00170FA2" w:rsidRDefault="00170FA2"/>
    <w:sectPr w:rsidR="00170FA2" w:rsidSect="00101961">
      <w:headerReference w:type="default" r:id="rId6"/>
      <w:pgSz w:w="11906" w:h="16838" w:code="9"/>
      <w:pgMar w:top="1717" w:right="1156" w:bottom="879" w:left="1337" w:header="708" w:footer="0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9872E" w14:textId="77777777" w:rsidR="00A4395B" w:rsidRDefault="00A4395B">
      <w:pPr>
        <w:spacing w:after="0" w:line="240" w:lineRule="auto"/>
      </w:pPr>
      <w:r>
        <w:separator/>
      </w:r>
    </w:p>
  </w:endnote>
  <w:endnote w:type="continuationSeparator" w:id="0">
    <w:p w14:paraId="5D5C022F" w14:textId="77777777" w:rsidR="00A4395B" w:rsidRDefault="00A43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Narrow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9AE24" w14:textId="77777777" w:rsidR="00A4395B" w:rsidRDefault="00A4395B">
      <w:pPr>
        <w:spacing w:after="0" w:line="240" w:lineRule="auto"/>
      </w:pPr>
      <w:r>
        <w:separator/>
      </w:r>
    </w:p>
  </w:footnote>
  <w:footnote w:type="continuationSeparator" w:id="0">
    <w:p w14:paraId="7C093A7D" w14:textId="77777777" w:rsidR="00A4395B" w:rsidRDefault="00A43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D6F69" w14:textId="77777777" w:rsidR="00BD32F9" w:rsidRDefault="00D633F7">
    <w:pPr>
      <w:pStyle w:val="Hlavika"/>
    </w:pPr>
    <w:r>
      <w:rPr>
        <w:sz w:val="21"/>
        <w:szCs w:val="21"/>
      </w:rPr>
      <w:t xml:space="preserve">Poznámky </w:t>
    </w:r>
    <w:proofErr w:type="spellStart"/>
    <w:r>
      <w:rPr>
        <w:sz w:val="21"/>
        <w:szCs w:val="21"/>
      </w:rPr>
      <w:t>Úč</w:t>
    </w:r>
    <w:proofErr w:type="spellEnd"/>
    <w:r>
      <w:rPr>
        <w:sz w:val="21"/>
        <w:szCs w:val="21"/>
      </w:rPr>
      <w:t xml:space="preserve"> POD 3-01                 </w:t>
    </w:r>
    <w:r>
      <w:rPr>
        <w:sz w:val="21"/>
        <w:szCs w:val="21"/>
      </w:rPr>
      <w:tab/>
    </w:r>
    <w:r>
      <w:rPr>
        <w:sz w:val="21"/>
        <w:szCs w:val="21"/>
      </w:rPr>
      <w:tab/>
      <w:t>IČO:36765431</w:t>
    </w:r>
  </w:p>
  <w:p w14:paraId="502814F7" w14:textId="77777777" w:rsidR="00BD32F9" w:rsidRDefault="00D633F7">
    <w:pPr>
      <w:pStyle w:val="Hlavika"/>
    </w:pPr>
    <w:r>
      <w:rPr>
        <w:sz w:val="21"/>
        <w:szCs w:val="21"/>
      </w:rPr>
      <w:t xml:space="preserve">                                                                              </w:t>
    </w:r>
    <w:r>
      <w:rPr>
        <w:sz w:val="21"/>
        <w:szCs w:val="21"/>
      </w:rPr>
      <w:tab/>
    </w:r>
    <w:r>
      <w:rPr>
        <w:sz w:val="21"/>
        <w:szCs w:val="21"/>
      </w:rPr>
      <w:tab/>
      <w:t xml:space="preserve">   DIČ:2022370306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6D"/>
    <w:rsid w:val="00170FA2"/>
    <w:rsid w:val="0039384D"/>
    <w:rsid w:val="00551218"/>
    <w:rsid w:val="0062646D"/>
    <w:rsid w:val="006E1F1A"/>
    <w:rsid w:val="00902ED1"/>
    <w:rsid w:val="0099780D"/>
    <w:rsid w:val="00A4395B"/>
    <w:rsid w:val="00C07234"/>
    <w:rsid w:val="00D633F7"/>
    <w:rsid w:val="00D862D2"/>
    <w:rsid w:val="00DC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D5E71"/>
  <w15:docId w15:val="{36FABF6F-413A-469F-AC53-BA0F72EF5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33F7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ýchodzie"/>
    <w:rsid w:val="00D633F7"/>
    <w:pPr>
      <w:suppressAutoHyphens/>
      <w:spacing w:after="0" w:line="100" w:lineRule="atLeast"/>
    </w:pPr>
    <w:rPr>
      <w:rFonts w:ascii="Arial" w:eastAsia="Arial Unicode MS" w:hAnsi="Arial" w:cs="Arial"/>
      <w:color w:val="000000"/>
      <w:sz w:val="24"/>
      <w:szCs w:val="24"/>
    </w:rPr>
  </w:style>
  <w:style w:type="paragraph" w:customStyle="1" w:styleId="Telotextu">
    <w:name w:val="Telo textu"/>
    <w:basedOn w:val="Vchodzie"/>
    <w:rsid w:val="00D633F7"/>
    <w:pPr>
      <w:spacing w:after="120"/>
      <w:jc w:val="both"/>
    </w:pPr>
    <w:rPr>
      <w:rFonts w:ascii="Times New Roman" w:hAnsi="Times New Roman"/>
      <w:b/>
      <w:bCs/>
      <w:lang w:eastAsia="cs-CZ"/>
    </w:rPr>
  </w:style>
  <w:style w:type="paragraph" w:styleId="Hlavika">
    <w:name w:val="header"/>
    <w:basedOn w:val="Vchodzie"/>
    <w:link w:val="HlavikaChar"/>
    <w:rsid w:val="00D633F7"/>
    <w:pPr>
      <w:suppressLineNumbers/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633F7"/>
    <w:rPr>
      <w:rFonts w:ascii="Arial" w:eastAsia="Arial Unicode MS" w:hAnsi="Arial" w:cs="Arial"/>
      <w:color w:val="000000"/>
      <w:sz w:val="24"/>
      <w:szCs w:val="24"/>
    </w:rPr>
  </w:style>
  <w:style w:type="paragraph" w:styleId="Odsekzoznamu">
    <w:name w:val="List Paragraph"/>
    <w:basedOn w:val="Vchodzie"/>
    <w:rsid w:val="00D633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TopHeader">
    <w:name w:val="Top Header"/>
    <w:basedOn w:val="Vchodzie"/>
    <w:rsid w:val="00D633F7"/>
    <w:pPr>
      <w:jc w:val="center"/>
    </w:pPr>
    <w:rPr>
      <w:b/>
      <w:bCs/>
      <w:sz w:val="22"/>
      <w:szCs w:val="22"/>
    </w:rPr>
  </w:style>
  <w:style w:type="paragraph" w:styleId="Nzov">
    <w:name w:val="Title"/>
    <w:basedOn w:val="Vchodzie"/>
    <w:next w:val="Normlny"/>
    <w:link w:val="NzovChar"/>
    <w:rsid w:val="00D633F7"/>
    <w:pPr>
      <w:keepNext/>
      <w:spacing w:before="28" w:after="220"/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rsid w:val="00D633F7"/>
    <w:rPr>
      <w:rFonts w:ascii="Arial" w:eastAsia="Arial Unicode MS" w:hAnsi="Arial" w:cs="Arial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2502</Words>
  <Characters>14267</Characters>
  <Application>Microsoft Office Word</Application>
  <DocSecurity>0</DocSecurity>
  <Lines>118</Lines>
  <Paragraphs>33</Paragraphs>
  <ScaleCrop>false</ScaleCrop>
  <Company/>
  <LinksUpToDate>false</LinksUpToDate>
  <CharactersWithSpaces>16736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HPSERV</dc:creator>
  <cp:keywords/>
  <dc:description/>
  <cp:lastModifiedBy>Zuzana Bednarikova</cp:lastModifiedBy>
  <cp:revision>4</cp:revision>
  <dcterms:created xsi:type="dcterms:W3CDTF">2021-06-30T20:35:00Z</dcterms:created>
  <dcterms:modified xsi:type="dcterms:W3CDTF">2021-06-30T21:25:00Z</dcterms:modified>
</cp:coreProperties>
</file>