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5B0FB3F" w14:textId="433DBDD4" w:rsidR="00D633F7" w:rsidRDefault="00D633F7" w:rsidP="00D633F7">
      <w:pPr>
        <w:pStyle w:val="Vchodzie"/>
        <w:pBdr>
          <w:top w:val="single" w:sz="4" w:space="0" w:color="00000A"/>
          <w:left w:val="single" w:sz="4" w:space="0" w:color="00000A"/>
          <w:bottom w:val="single" w:sz="4" w:space="25" w:color="00000A"/>
          <w:right w:val="single" w:sz="4" w:space="0" w:color="00000A"/>
        </w:pBdr>
        <w:tabs>
          <w:tab w:val="center" w:pos="4323"/>
          <w:tab w:val="left" w:pos="6237"/>
          <w:tab w:val="right" w:pos="8363"/>
        </w:tabs>
        <w:spacing w:after="120"/>
        <w:ind w:left="-142" w:right="142"/>
        <w:jc w:val="center"/>
      </w:pPr>
      <w:r>
        <w:rPr>
          <w:b/>
        </w:rPr>
        <w:t>POZNÁMKY K ÚČTOVNEJ ZÁVIERKE  ZOSTAVENEJ K 31. decembru 20</w:t>
      </w:r>
      <w:r w:rsidR="0039384D">
        <w:rPr>
          <w:b/>
        </w:rPr>
        <w:t>20</w:t>
      </w:r>
    </w:p>
    <w:p w14:paraId="41A34F8B" w14:textId="77777777" w:rsidR="00D633F7" w:rsidRDefault="00D633F7" w:rsidP="00D633F7">
      <w:pPr>
        <w:pStyle w:val="Vchodzie"/>
        <w:tabs>
          <w:tab w:val="left" w:pos="3375"/>
        </w:tabs>
        <w:jc w:val="both"/>
      </w:pPr>
      <w:r>
        <w:rPr>
          <w:rFonts w:ascii="Calibri" w:hAnsi="Calibri"/>
          <w:sz w:val="20"/>
        </w:rPr>
        <w:tab/>
      </w:r>
    </w:p>
    <w:p w14:paraId="312F4F0E" w14:textId="77777777" w:rsidR="00D633F7" w:rsidRPr="00B76474" w:rsidRDefault="00D633F7" w:rsidP="00D633F7">
      <w:pPr>
        <w:pStyle w:val="Vchodzie"/>
        <w:jc w:val="center"/>
        <w:rPr>
          <w:color w:val="auto"/>
        </w:rPr>
      </w:pPr>
      <w:r w:rsidRPr="00B76474">
        <w:rPr>
          <w:rFonts w:ascii="Calibri" w:hAnsi="Calibri"/>
          <w:b/>
          <w:bCs/>
          <w:color w:val="auto"/>
          <w:sz w:val="22"/>
          <w:szCs w:val="22"/>
        </w:rPr>
        <w:t>VŠEOBECNÉ INFORMÁCIE</w:t>
      </w:r>
    </w:p>
    <w:p w14:paraId="7EF89177" w14:textId="77777777" w:rsidR="00D633F7" w:rsidRPr="00B76474" w:rsidRDefault="00D633F7" w:rsidP="00D633F7">
      <w:pPr>
        <w:pStyle w:val="Vchodzie"/>
        <w:rPr>
          <w:color w:val="auto"/>
        </w:rPr>
      </w:pPr>
    </w:p>
    <w:p w14:paraId="20F18A14" w14:textId="77777777" w:rsidR="00D633F7" w:rsidRPr="00B76474" w:rsidRDefault="00D633F7" w:rsidP="00D633F7">
      <w:pPr>
        <w:pStyle w:val="Vchodzie"/>
        <w:rPr>
          <w:color w:val="auto"/>
        </w:rPr>
      </w:pPr>
      <w:r w:rsidRPr="00B76474">
        <w:rPr>
          <w:rFonts w:ascii="Calibri" w:hAnsi="Calibri"/>
          <w:b/>
          <w:color w:val="auto"/>
          <w:sz w:val="22"/>
          <w:szCs w:val="22"/>
        </w:rPr>
        <w:t>(1)  Informácie o účtovnej jednotke</w:t>
      </w:r>
    </w:p>
    <w:p w14:paraId="6D4AE0E1" w14:textId="77777777" w:rsidR="00D633F7" w:rsidRPr="00B76474" w:rsidRDefault="00D633F7" w:rsidP="00D633F7">
      <w:pPr>
        <w:pStyle w:val="Vchodzie"/>
        <w:rPr>
          <w:color w:val="auto"/>
        </w:rPr>
      </w:pPr>
    </w:p>
    <w:p w14:paraId="6CA1F9BE" w14:textId="77777777" w:rsidR="00D633F7" w:rsidRPr="00B76474" w:rsidRDefault="00D633F7" w:rsidP="00D633F7">
      <w:pPr>
        <w:pStyle w:val="Odsekzoznamu"/>
        <w:ind w:left="0"/>
        <w:rPr>
          <w:color w:val="auto"/>
        </w:rPr>
      </w:pPr>
      <w:r w:rsidRPr="00B76474">
        <w:rPr>
          <w:rFonts w:cs="Calibri"/>
          <w:bCs/>
          <w:color w:val="auto"/>
          <w:sz w:val="20"/>
          <w:szCs w:val="20"/>
        </w:rPr>
        <w:t>a) Základné informácie o účtovnej jednotke:</w:t>
      </w:r>
    </w:p>
    <w:tbl>
      <w:tblPr>
        <w:tblW w:w="0" w:type="auto"/>
        <w:tblInd w:w="-22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</w:tblBorders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770"/>
        <w:gridCol w:w="6499"/>
      </w:tblGrid>
      <w:tr w:rsidR="00D633F7" w:rsidRPr="00B76474" w14:paraId="6E8F9976" w14:textId="77777777" w:rsidTr="0015223F">
        <w:trPr>
          <w:trHeight w:val="336"/>
        </w:trPr>
        <w:tc>
          <w:tcPr>
            <w:tcW w:w="27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1CF6DE58" w14:textId="77777777" w:rsidR="00D633F7" w:rsidRPr="00B76474" w:rsidRDefault="00D633F7" w:rsidP="0015223F">
            <w:pPr>
              <w:pStyle w:val="Vchodzie"/>
              <w:rPr>
                <w:color w:val="auto"/>
              </w:rPr>
            </w:pPr>
            <w:r w:rsidRPr="00B76474">
              <w:rPr>
                <w:rFonts w:ascii="Calibri" w:hAnsi="Calibri"/>
                <w:color w:val="auto"/>
                <w:sz w:val="20"/>
                <w:szCs w:val="20"/>
              </w:rPr>
              <w:t>Obchodné meno:</w:t>
            </w:r>
          </w:p>
        </w:tc>
        <w:tc>
          <w:tcPr>
            <w:tcW w:w="6499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45BC943C" w14:textId="77777777" w:rsidR="00D633F7" w:rsidRPr="00B76474" w:rsidRDefault="00D633F7" w:rsidP="0015223F">
            <w:pPr>
              <w:pStyle w:val="Vchodzie"/>
              <w:rPr>
                <w:color w:val="auto"/>
              </w:rPr>
            </w:pPr>
            <w:r>
              <w:rPr>
                <w:rFonts w:ascii="Calibri" w:hAnsi="Calibri"/>
                <w:color w:val="auto"/>
                <w:sz w:val="20"/>
                <w:szCs w:val="20"/>
              </w:rPr>
              <w:t xml:space="preserve">LEMIR Design, </w:t>
            </w:r>
            <w:proofErr w:type="spellStart"/>
            <w:r>
              <w:rPr>
                <w:rFonts w:ascii="Calibri" w:hAnsi="Calibri"/>
                <w:color w:val="auto"/>
                <w:sz w:val="20"/>
                <w:szCs w:val="20"/>
              </w:rPr>
              <w:t>s.r.o</w:t>
            </w:r>
            <w:proofErr w:type="spellEnd"/>
            <w:r>
              <w:rPr>
                <w:rFonts w:ascii="Calibri" w:hAnsi="Calibri"/>
                <w:color w:val="auto"/>
                <w:sz w:val="20"/>
                <w:szCs w:val="20"/>
              </w:rPr>
              <w:t>.</w:t>
            </w:r>
            <w:r w:rsidRPr="00B76474">
              <w:rPr>
                <w:rFonts w:ascii="Calibri" w:hAnsi="Calibri"/>
                <w:color w:val="auto"/>
                <w:sz w:val="20"/>
                <w:szCs w:val="20"/>
              </w:rPr>
              <w:t>.</w:t>
            </w:r>
          </w:p>
        </w:tc>
      </w:tr>
      <w:tr w:rsidR="00D633F7" w:rsidRPr="00B76474" w14:paraId="3C4967C6" w14:textId="77777777" w:rsidTr="0015223F">
        <w:trPr>
          <w:trHeight w:val="336"/>
        </w:trPr>
        <w:tc>
          <w:tcPr>
            <w:tcW w:w="2770" w:type="dxa"/>
            <w:tcBorders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15FF31A4" w14:textId="77777777" w:rsidR="00D633F7" w:rsidRPr="00B76474" w:rsidRDefault="00D633F7" w:rsidP="0015223F">
            <w:pPr>
              <w:pStyle w:val="Vchodzie"/>
              <w:rPr>
                <w:color w:val="auto"/>
              </w:rPr>
            </w:pPr>
            <w:r w:rsidRPr="00B76474">
              <w:rPr>
                <w:rFonts w:ascii="Calibri" w:hAnsi="Calibri"/>
                <w:color w:val="auto"/>
                <w:sz w:val="20"/>
                <w:szCs w:val="20"/>
              </w:rPr>
              <w:t>Sídlo:</w:t>
            </w:r>
          </w:p>
        </w:tc>
        <w:tc>
          <w:tcPr>
            <w:tcW w:w="6499" w:type="dxa"/>
            <w:tcBorders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7A201819" w14:textId="77777777" w:rsidR="00D633F7" w:rsidRPr="003512FF" w:rsidRDefault="00D633F7" w:rsidP="0015223F">
            <w:pPr>
              <w:pStyle w:val="Vchodzie"/>
              <w:rPr>
                <w:color w:val="auto"/>
                <w:sz w:val="16"/>
                <w:szCs w:val="16"/>
              </w:rPr>
            </w:pPr>
            <w:r w:rsidRPr="003512FF">
              <w:rPr>
                <w:color w:val="auto"/>
                <w:sz w:val="16"/>
                <w:szCs w:val="16"/>
              </w:rPr>
              <w:t>Dvorská cesta 23</w:t>
            </w:r>
            <w:r>
              <w:rPr>
                <w:color w:val="auto"/>
                <w:sz w:val="16"/>
                <w:szCs w:val="16"/>
              </w:rPr>
              <w:t>, 940 02 Nové Zámky</w:t>
            </w:r>
          </w:p>
        </w:tc>
      </w:tr>
      <w:tr w:rsidR="00D633F7" w:rsidRPr="00B76474" w14:paraId="7B43BE0D" w14:textId="77777777" w:rsidTr="0015223F">
        <w:trPr>
          <w:trHeight w:val="336"/>
        </w:trPr>
        <w:tc>
          <w:tcPr>
            <w:tcW w:w="2770" w:type="dxa"/>
            <w:tcBorders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671EF7F6" w14:textId="77777777" w:rsidR="00D633F7" w:rsidRPr="00B76474" w:rsidRDefault="00D633F7" w:rsidP="0015223F">
            <w:pPr>
              <w:pStyle w:val="Vchodzie"/>
              <w:rPr>
                <w:color w:val="auto"/>
              </w:rPr>
            </w:pPr>
            <w:r w:rsidRPr="00B76474">
              <w:rPr>
                <w:rFonts w:ascii="Calibri" w:hAnsi="Calibri"/>
                <w:color w:val="auto"/>
                <w:sz w:val="20"/>
                <w:szCs w:val="20"/>
              </w:rPr>
              <w:t>Dátum založenia:</w:t>
            </w:r>
          </w:p>
        </w:tc>
        <w:tc>
          <w:tcPr>
            <w:tcW w:w="6499" w:type="dxa"/>
            <w:tcBorders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2A1B7AD3" w14:textId="77777777" w:rsidR="00D633F7" w:rsidRPr="00B76474" w:rsidRDefault="00D633F7" w:rsidP="0015223F">
            <w:pPr>
              <w:pStyle w:val="Vchodzie"/>
              <w:rPr>
                <w:color w:val="auto"/>
              </w:rPr>
            </w:pPr>
            <w:r>
              <w:rPr>
                <w:rFonts w:ascii="Calibri" w:hAnsi="Calibri"/>
                <w:color w:val="auto"/>
                <w:sz w:val="20"/>
                <w:szCs w:val="20"/>
              </w:rPr>
              <w:t>05</w:t>
            </w:r>
            <w:r w:rsidRPr="00B76474">
              <w:rPr>
                <w:rFonts w:ascii="Calibri" w:hAnsi="Calibri"/>
                <w:color w:val="auto"/>
                <w:sz w:val="20"/>
                <w:szCs w:val="20"/>
              </w:rPr>
              <w:t>.</w:t>
            </w:r>
            <w:r>
              <w:rPr>
                <w:rFonts w:ascii="Calibri" w:hAnsi="Calibri"/>
                <w:color w:val="auto"/>
                <w:sz w:val="20"/>
                <w:szCs w:val="20"/>
              </w:rPr>
              <w:t>11</w:t>
            </w:r>
            <w:r w:rsidRPr="00B76474">
              <w:rPr>
                <w:rFonts w:ascii="Calibri" w:hAnsi="Calibri"/>
                <w:color w:val="auto"/>
                <w:sz w:val="20"/>
                <w:szCs w:val="20"/>
              </w:rPr>
              <w:t>.20</w:t>
            </w:r>
            <w:r>
              <w:rPr>
                <w:rFonts w:ascii="Calibri" w:hAnsi="Calibri"/>
                <w:color w:val="auto"/>
                <w:sz w:val="20"/>
                <w:szCs w:val="20"/>
              </w:rPr>
              <w:t>16</w:t>
            </w:r>
          </w:p>
        </w:tc>
      </w:tr>
      <w:tr w:rsidR="00D633F7" w:rsidRPr="00B76474" w14:paraId="5F109E7A" w14:textId="77777777" w:rsidTr="0015223F">
        <w:trPr>
          <w:trHeight w:val="336"/>
        </w:trPr>
        <w:tc>
          <w:tcPr>
            <w:tcW w:w="2770" w:type="dxa"/>
            <w:tcBorders>
              <w:top w:val="single" w:sz="4" w:space="0" w:color="00000A"/>
              <w:left w:val="single" w:sz="4" w:space="0" w:color="00000A"/>
              <w:bottom w:val="single" w:sz="4" w:space="0" w:color="auto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70DEEAE9" w14:textId="77777777" w:rsidR="00D633F7" w:rsidRPr="00B76474" w:rsidRDefault="00D633F7" w:rsidP="0015223F">
            <w:pPr>
              <w:pStyle w:val="Vchodzie"/>
              <w:rPr>
                <w:color w:val="auto"/>
              </w:rPr>
            </w:pPr>
            <w:r w:rsidRPr="00B76474">
              <w:rPr>
                <w:rFonts w:ascii="Calibri" w:hAnsi="Calibri"/>
                <w:color w:val="auto"/>
                <w:sz w:val="20"/>
                <w:szCs w:val="20"/>
              </w:rPr>
              <w:t>Dátum vzniku:</w:t>
            </w:r>
          </w:p>
        </w:tc>
        <w:tc>
          <w:tcPr>
            <w:tcW w:w="6499" w:type="dxa"/>
            <w:tcBorders>
              <w:top w:val="single" w:sz="4" w:space="0" w:color="00000A"/>
              <w:bottom w:val="single" w:sz="4" w:space="0" w:color="auto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32E6E5F4" w14:textId="77777777" w:rsidR="00D633F7" w:rsidRPr="00B76474" w:rsidRDefault="00D633F7" w:rsidP="0015223F">
            <w:pPr>
              <w:pStyle w:val="Vchodzie"/>
              <w:rPr>
                <w:color w:val="auto"/>
              </w:rPr>
            </w:pPr>
            <w:r>
              <w:rPr>
                <w:rFonts w:ascii="Calibri" w:hAnsi="Calibri"/>
                <w:color w:val="auto"/>
                <w:sz w:val="20"/>
                <w:szCs w:val="20"/>
              </w:rPr>
              <w:t>05</w:t>
            </w:r>
            <w:r w:rsidRPr="00B76474">
              <w:rPr>
                <w:rFonts w:ascii="Calibri" w:hAnsi="Calibri"/>
                <w:color w:val="auto"/>
                <w:sz w:val="20"/>
                <w:szCs w:val="20"/>
              </w:rPr>
              <w:t>.</w:t>
            </w:r>
            <w:r>
              <w:rPr>
                <w:rFonts w:ascii="Calibri" w:hAnsi="Calibri"/>
                <w:color w:val="auto"/>
                <w:sz w:val="20"/>
                <w:szCs w:val="20"/>
              </w:rPr>
              <w:t>11</w:t>
            </w:r>
            <w:r w:rsidRPr="00B76474">
              <w:rPr>
                <w:rFonts w:ascii="Calibri" w:hAnsi="Calibri"/>
                <w:color w:val="auto"/>
                <w:sz w:val="20"/>
                <w:szCs w:val="20"/>
              </w:rPr>
              <w:t>.20</w:t>
            </w:r>
            <w:r>
              <w:rPr>
                <w:rFonts w:ascii="Calibri" w:hAnsi="Calibri"/>
                <w:color w:val="auto"/>
                <w:sz w:val="20"/>
                <w:szCs w:val="20"/>
              </w:rPr>
              <w:t>16</w:t>
            </w:r>
          </w:p>
        </w:tc>
      </w:tr>
      <w:tr w:rsidR="00D633F7" w:rsidRPr="00B76474" w14:paraId="1945E51E" w14:textId="77777777" w:rsidTr="0015223F">
        <w:trPr>
          <w:trHeight w:val="336"/>
        </w:trPr>
        <w:tc>
          <w:tcPr>
            <w:tcW w:w="2770" w:type="dxa"/>
            <w:tcBorders>
              <w:top w:val="single" w:sz="4" w:space="0" w:color="auto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1B9C8A2F" w14:textId="77777777" w:rsidR="00D633F7" w:rsidRPr="00B76474" w:rsidRDefault="00D633F7" w:rsidP="0015223F">
            <w:pPr>
              <w:pStyle w:val="Vchodzie"/>
              <w:rPr>
                <w:rFonts w:ascii="Calibri" w:hAnsi="Calibri"/>
                <w:color w:val="auto"/>
                <w:sz w:val="20"/>
                <w:szCs w:val="20"/>
              </w:rPr>
            </w:pPr>
            <w:r w:rsidRPr="00B76474">
              <w:rPr>
                <w:rFonts w:ascii="Calibri" w:hAnsi="Calibri"/>
                <w:color w:val="auto"/>
                <w:sz w:val="20"/>
                <w:szCs w:val="20"/>
              </w:rPr>
              <w:t>Subjekt verejného záujmu:</w:t>
            </w:r>
          </w:p>
        </w:tc>
        <w:tc>
          <w:tcPr>
            <w:tcW w:w="6499" w:type="dxa"/>
            <w:tcBorders>
              <w:top w:val="single" w:sz="4" w:space="0" w:color="auto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5F6DFB13" w14:textId="77777777" w:rsidR="00D633F7" w:rsidRPr="00B76474" w:rsidRDefault="00D633F7" w:rsidP="0015223F">
            <w:pPr>
              <w:pStyle w:val="Vchodzie"/>
              <w:rPr>
                <w:rFonts w:ascii="Calibri" w:hAnsi="Calibri"/>
                <w:color w:val="auto"/>
                <w:sz w:val="20"/>
                <w:szCs w:val="20"/>
              </w:rPr>
            </w:pPr>
            <w:r w:rsidRPr="00B76474">
              <w:rPr>
                <w:rFonts w:ascii="Calibri" w:hAnsi="Calibri"/>
                <w:color w:val="auto"/>
                <w:sz w:val="20"/>
                <w:szCs w:val="20"/>
              </w:rPr>
              <w:t xml:space="preserve">Spoločnosť nie je subjektom verejného záujmu (§ 2/14 </w:t>
            </w:r>
            <w:proofErr w:type="spellStart"/>
            <w:r w:rsidRPr="00B76474">
              <w:rPr>
                <w:rFonts w:ascii="Calibri" w:hAnsi="Calibri"/>
                <w:color w:val="auto"/>
                <w:sz w:val="20"/>
                <w:szCs w:val="20"/>
              </w:rPr>
              <w:t>ZoU</w:t>
            </w:r>
            <w:proofErr w:type="spellEnd"/>
            <w:r w:rsidRPr="00B76474">
              <w:rPr>
                <w:rFonts w:ascii="Calibri" w:hAnsi="Calibri"/>
                <w:color w:val="auto"/>
                <w:sz w:val="20"/>
                <w:szCs w:val="20"/>
              </w:rPr>
              <w:t>).</w:t>
            </w:r>
          </w:p>
        </w:tc>
      </w:tr>
    </w:tbl>
    <w:p w14:paraId="297361E1" w14:textId="77777777" w:rsidR="00D633F7" w:rsidRPr="00B76474" w:rsidRDefault="00D633F7" w:rsidP="00D633F7">
      <w:pPr>
        <w:pStyle w:val="Odsekzoznamu"/>
        <w:rPr>
          <w:color w:val="auto"/>
        </w:rPr>
      </w:pPr>
    </w:p>
    <w:p w14:paraId="4A7EAE22" w14:textId="77777777" w:rsidR="00D633F7" w:rsidRDefault="00D633F7" w:rsidP="00D633F7">
      <w:pPr>
        <w:pStyle w:val="Odsekzoznamu"/>
        <w:spacing w:after="0" w:line="100" w:lineRule="atLeast"/>
        <w:ind w:left="0"/>
        <w:jc w:val="both"/>
        <w:rPr>
          <w:rFonts w:cs="ArialNarrow"/>
          <w:color w:val="auto"/>
          <w:sz w:val="20"/>
          <w:szCs w:val="20"/>
        </w:rPr>
      </w:pPr>
      <w:r w:rsidRPr="00B76474">
        <w:rPr>
          <w:color w:val="auto"/>
          <w:sz w:val="20"/>
          <w:szCs w:val="20"/>
        </w:rPr>
        <w:t xml:space="preserve">b) </w:t>
      </w:r>
      <w:r w:rsidRPr="00B76474">
        <w:rPr>
          <w:rFonts w:cs="ArialNarrow"/>
          <w:color w:val="auto"/>
          <w:sz w:val="20"/>
          <w:szCs w:val="20"/>
        </w:rPr>
        <w:t>Opis hospodárskej činnosti účtovnej jednotky:</w:t>
      </w:r>
    </w:p>
    <w:p w14:paraId="78EB2D6F" w14:textId="77777777" w:rsidR="00D633F7" w:rsidRDefault="00D633F7" w:rsidP="00D633F7">
      <w:pPr>
        <w:pStyle w:val="Odsekzoznamu"/>
        <w:spacing w:after="0" w:line="100" w:lineRule="atLeast"/>
        <w:ind w:left="0"/>
        <w:jc w:val="both"/>
        <w:rPr>
          <w:rFonts w:cs="ArialNarrow"/>
          <w:color w:val="auto"/>
          <w:sz w:val="20"/>
          <w:szCs w:val="20"/>
        </w:rPr>
      </w:pPr>
      <w:r>
        <w:rPr>
          <w:rFonts w:cs="ArialNarrow"/>
          <w:color w:val="auto"/>
          <w:sz w:val="20"/>
          <w:szCs w:val="20"/>
        </w:rPr>
        <w:t>Kúpa tovaru za účelom jeho predaja konečnému spotrebiteľovi /maloobchod/ alebo iným prevádzkovateľom živnosti / veľkoobchod/</w:t>
      </w:r>
    </w:p>
    <w:p w14:paraId="713AE86B" w14:textId="77777777" w:rsidR="00D633F7" w:rsidRDefault="00D633F7" w:rsidP="00D633F7">
      <w:pPr>
        <w:pStyle w:val="Odsekzoznamu"/>
        <w:spacing w:after="0" w:line="100" w:lineRule="atLeast"/>
        <w:ind w:left="0"/>
        <w:jc w:val="both"/>
        <w:rPr>
          <w:rFonts w:cs="ArialNarrow"/>
          <w:color w:val="auto"/>
          <w:sz w:val="20"/>
          <w:szCs w:val="20"/>
        </w:rPr>
      </w:pPr>
      <w:r>
        <w:rPr>
          <w:rFonts w:cs="ArialNarrow"/>
          <w:color w:val="auto"/>
          <w:sz w:val="20"/>
          <w:szCs w:val="20"/>
        </w:rPr>
        <w:t>Textilná výroba</w:t>
      </w:r>
    </w:p>
    <w:p w14:paraId="7BF33CB1" w14:textId="77777777" w:rsidR="00D633F7" w:rsidRPr="00B76474" w:rsidRDefault="00D633F7" w:rsidP="00D633F7">
      <w:pPr>
        <w:pStyle w:val="Odsekzoznamu"/>
        <w:spacing w:after="0" w:line="100" w:lineRule="atLeast"/>
        <w:ind w:left="0"/>
        <w:jc w:val="both"/>
        <w:rPr>
          <w:color w:val="auto"/>
        </w:rPr>
      </w:pPr>
      <w:r>
        <w:rPr>
          <w:rFonts w:cs="ArialNarrow"/>
          <w:color w:val="auto"/>
          <w:sz w:val="20"/>
          <w:szCs w:val="20"/>
        </w:rPr>
        <w:t>Úprava bytových doplnkov všetkého druhu z textilných materiálov</w:t>
      </w:r>
    </w:p>
    <w:p w14:paraId="3D6C3AD4" w14:textId="77777777" w:rsidR="00D633F7" w:rsidRPr="00B76474" w:rsidRDefault="00D633F7" w:rsidP="00D633F7">
      <w:pPr>
        <w:pStyle w:val="Vchodzie"/>
        <w:widowControl w:val="0"/>
        <w:jc w:val="both"/>
        <w:rPr>
          <w:rFonts w:ascii="Calibri" w:hAnsi="Calibri" w:cs="Calibri"/>
          <w:b/>
          <w:color w:val="auto"/>
          <w:sz w:val="22"/>
          <w:szCs w:val="22"/>
        </w:rPr>
      </w:pPr>
      <w:r w:rsidRPr="00B76474">
        <w:rPr>
          <w:rFonts w:ascii="Calibri" w:hAnsi="Calibri"/>
          <w:b/>
          <w:color w:val="auto"/>
          <w:sz w:val="22"/>
          <w:szCs w:val="22"/>
        </w:rPr>
        <w:t xml:space="preserve"> (2) </w:t>
      </w:r>
      <w:r w:rsidRPr="00B76474">
        <w:rPr>
          <w:rFonts w:ascii="Calibri" w:hAnsi="Calibri" w:cs="Calibri"/>
          <w:b/>
          <w:color w:val="auto"/>
          <w:sz w:val="22"/>
          <w:szCs w:val="22"/>
        </w:rPr>
        <w:t>Schválenie účtovnej závierky za predchádzajúce obdobie</w:t>
      </w:r>
    </w:p>
    <w:p w14:paraId="7C199979" w14:textId="77777777" w:rsidR="00D633F7" w:rsidRPr="00B76474" w:rsidRDefault="00D633F7" w:rsidP="00D633F7">
      <w:pPr>
        <w:pStyle w:val="Vchodzie"/>
        <w:widowControl w:val="0"/>
        <w:jc w:val="both"/>
        <w:rPr>
          <w:color w:val="auto"/>
        </w:rPr>
      </w:pPr>
    </w:p>
    <w:p w14:paraId="7D21BB94" w14:textId="1ACBD6F3" w:rsidR="00D633F7" w:rsidRPr="00B76474" w:rsidRDefault="00D633F7" w:rsidP="00D633F7">
      <w:pPr>
        <w:spacing w:after="0" w:line="240" w:lineRule="auto"/>
        <w:jc w:val="both"/>
        <w:rPr>
          <w:rFonts w:eastAsia="Times New Roman" w:cstheme="minorHAnsi"/>
          <w:sz w:val="20"/>
          <w:szCs w:val="20"/>
        </w:rPr>
      </w:pPr>
      <w:r w:rsidRPr="00B76474">
        <w:rPr>
          <w:rFonts w:eastAsia="Times New Roman" w:cstheme="minorHAnsi"/>
          <w:sz w:val="20"/>
          <w:szCs w:val="20"/>
        </w:rPr>
        <w:t>Účtovná závierka za bezprostredne predchádzajúce účtovné obdobie bola schválená dňa 2</w:t>
      </w:r>
      <w:r w:rsidR="0039384D">
        <w:rPr>
          <w:rFonts w:eastAsia="Times New Roman" w:cstheme="minorHAnsi"/>
          <w:sz w:val="20"/>
          <w:szCs w:val="20"/>
        </w:rPr>
        <w:t>0</w:t>
      </w:r>
      <w:r w:rsidRPr="00B76474">
        <w:rPr>
          <w:rFonts w:eastAsia="Times New Roman" w:cstheme="minorHAnsi"/>
          <w:sz w:val="20"/>
          <w:szCs w:val="20"/>
        </w:rPr>
        <w:t xml:space="preserve">. </w:t>
      </w:r>
      <w:r w:rsidR="0039384D">
        <w:rPr>
          <w:rFonts w:eastAsia="Times New Roman" w:cstheme="minorHAnsi"/>
          <w:sz w:val="20"/>
          <w:szCs w:val="20"/>
        </w:rPr>
        <w:t>októbra</w:t>
      </w:r>
      <w:r w:rsidRPr="00B76474">
        <w:rPr>
          <w:rFonts w:eastAsia="Times New Roman" w:cstheme="minorHAnsi"/>
          <w:sz w:val="20"/>
          <w:szCs w:val="20"/>
        </w:rPr>
        <w:t xml:space="preserve">  20</w:t>
      </w:r>
      <w:r w:rsidR="0039384D">
        <w:rPr>
          <w:rFonts w:eastAsia="Times New Roman" w:cstheme="minorHAnsi"/>
          <w:sz w:val="20"/>
          <w:szCs w:val="20"/>
        </w:rPr>
        <w:t>20</w:t>
      </w:r>
      <w:r w:rsidRPr="00B76474">
        <w:rPr>
          <w:rFonts w:eastAsia="Times New Roman" w:cstheme="minorHAnsi"/>
          <w:sz w:val="20"/>
          <w:szCs w:val="20"/>
        </w:rPr>
        <w:t>.</w:t>
      </w:r>
    </w:p>
    <w:p w14:paraId="12260A17" w14:textId="77777777" w:rsidR="00D633F7" w:rsidRPr="00B76474" w:rsidRDefault="00D633F7" w:rsidP="00D633F7">
      <w:pPr>
        <w:pStyle w:val="Vchodzie"/>
        <w:widowControl w:val="0"/>
        <w:jc w:val="both"/>
        <w:rPr>
          <w:color w:val="auto"/>
        </w:rPr>
      </w:pPr>
    </w:p>
    <w:p w14:paraId="585DC86E" w14:textId="77777777" w:rsidR="00D633F7" w:rsidRPr="00B76474" w:rsidRDefault="00D633F7" w:rsidP="00D633F7">
      <w:pPr>
        <w:pStyle w:val="Vchodzie"/>
        <w:jc w:val="both"/>
        <w:rPr>
          <w:color w:val="auto"/>
        </w:rPr>
      </w:pPr>
      <w:r w:rsidRPr="00B76474">
        <w:rPr>
          <w:rFonts w:ascii="Calibri" w:hAnsi="Calibri"/>
          <w:b/>
          <w:color w:val="auto"/>
          <w:sz w:val="22"/>
          <w:szCs w:val="22"/>
        </w:rPr>
        <w:t>(3) Právny dôvod na zostavenie účtovnej závierky</w:t>
      </w:r>
    </w:p>
    <w:p w14:paraId="20DF0705" w14:textId="77777777" w:rsidR="00D633F7" w:rsidRPr="00B76474" w:rsidRDefault="00D633F7" w:rsidP="00D633F7">
      <w:pPr>
        <w:pStyle w:val="Vchodzie"/>
        <w:jc w:val="both"/>
        <w:rPr>
          <w:color w:val="auto"/>
        </w:rPr>
      </w:pPr>
    </w:p>
    <w:p w14:paraId="271D033D" w14:textId="6B901399" w:rsidR="00D633F7" w:rsidRPr="00B76474" w:rsidRDefault="00D633F7" w:rsidP="00D633F7">
      <w:pPr>
        <w:pStyle w:val="Vchodzie"/>
        <w:widowControl w:val="0"/>
        <w:jc w:val="both"/>
        <w:rPr>
          <w:color w:val="auto"/>
        </w:rPr>
      </w:pPr>
      <w:r w:rsidRPr="00B76474">
        <w:rPr>
          <w:rFonts w:ascii="Calibri" w:hAnsi="Calibri" w:cs="Calibri"/>
          <w:color w:val="auto"/>
          <w:sz w:val="20"/>
          <w:szCs w:val="20"/>
        </w:rPr>
        <w:t>Účtovná závierka k 31.12.20</w:t>
      </w:r>
      <w:r w:rsidR="0039384D">
        <w:rPr>
          <w:rFonts w:ascii="Calibri" w:hAnsi="Calibri" w:cs="Calibri"/>
          <w:color w:val="auto"/>
          <w:sz w:val="20"/>
          <w:szCs w:val="20"/>
        </w:rPr>
        <w:t>20</w:t>
      </w:r>
      <w:r w:rsidRPr="00B76474">
        <w:rPr>
          <w:rFonts w:ascii="Calibri" w:hAnsi="Calibri" w:cs="Calibri"/>
          <w:color w:val="auto"/>
          <w:sz w:val="20"/>
          <w:szCs w:val="20"/>
        </w:rPr>
        <w:t xml:space="preserve"> je zostavená ako riadna účtovná závierka podľa § 17 ods. 6 zákona NR SR č. 431/2002 Z. z. o účtovníctve, za účtovné obdobie od 1.januára 20</w:t>
      </w:r>
      <w:r w:rsidR="0039384D">
        <w:rPr>
          <w:rFonts w:ascii="Calibri" w:hAnsi="Calibri" w:cs="Calibri"/>
          <w:color w:val="auto"/>
          <w:sz w:val="20"/>
          <w:szCs w:val="20"/>
        </w:rPr>
        <w:t>20</w:t>
      </w:r>
      <w:r w:rsidRPr="00B76474">
        <w:rPr>
          <w:rFonts w:ascii="Calibri" w:hAnsi="Calibri" w:cs="Calibri"/>
          <w:color w:val="auto"/>
          <w:sz w:val="20"/>
          <w:szCs w:val="20"/>
        </w:rPr>
        <w:t xml:space="preserve"> do 31. decembra 20</w:t>
      </w:r>
      <w:r w:rsidR="0039384D">
        <w:rPr>
          <w:rFonts w:ascii="Calibri" w:hAnsi="Calibri" w:cs="Calibri"/>
          <w:color w:val="auto"/>
          <w:sz w:val="20"/>
          <w:szCs w:val="20"/>
        </w:rPr>
        <w:t>20</w:t>
      </w:r>
      <w:r w:rsidRPr="00B76474">
        <w:rPr>
          <w:rFonts w:ascii="Calibri" w:hAnsi="Calibri" w:cs="Calibri"/>
          <w:color w:val="auto"/>
          <w:sz w:val="20"/>
          <w:szCs w:val="20"/>
        </w:rPr>
        <w:t>,  k poslednému dňu kalendárneho roka 20</w:t>
      </w:r>
      <w:r w:rsidR="0039384D">
        <w:rPr>
          <w:rFonts w:ascii="Calibri" w:hAnsi="Calibri" w:cs="Calibri"/>
          <w:color w:val="auto"/>
          <w:sz w:val="20"/>
          <w:szCs w:val="20"/>
        </w:rPr>
        <w:t>20</w:t>
      </w:r>
      <w:r w:rsidRPr="00B76474">
        <w:rPr>
          <w:rFonts w:ascii="Calibri" w:hAnsi="Calibri" w:cs="Calibri"/>
          <w:color w:val="auto"/>
          <w:sz w:val="20"/>
          <w:szCs w:val="20"/>
        </w:rPr>
        <w:t xml:space="preserve">. </w:t>
      </w:r>
    </w:p>
    <w:p w14:paraId="1F120C62" w14:textId="77777777" w:rsidR="00D633F7" w:rsidRPr="00B76474" w:rsidRDefault="00D633F7" w:rsidP="00D633F7">
      <w:pPr>
        <w:pStyle w:val="Vchodzie"/>
        <w:jc w:val="both"/>
        <w:rPr>
          <w:color w:val="auto"/>
        </w:rPr>
      </w:pPr>
    </w:p>
    <w:p w14:paraId="1271E18C" w14:textId="77777777" w:rsidR="00D633F7" w:rsidRPr="00B76474" w:rsidRDefault="00D633F7" w:rsidP="00D633F7">
      <w:pPr>
        <w:pStyle w:val="Vchodzie"/>
        <w:jc w:val="both"/>
        <w:rPr>
          <w:color w:val="auto"/>
        </w:rPr>
      </w:pPr>
      <w:r w:rsidRPr="00B76474">
        <w:rPr>
          <w:rFonts w:ascii="Calibri" w:hAnsi="Calibri"/>
          <w:b/>
          <w:color w:val="auto"/>
          <w:sz w:val="22"/>
          <w:szCs w:val="22"/>
        </w:rPr>
        <w:t xml:space="preserve">(4) Údaje o skupine účtovných jednotiek, a to: </w:t>
      </w:r>
    </w:p>
    <w:p w14:paraId="35E67873" w14:textId="77777777" w:rsidR="00D633F7" w:rsidRPr="00B76474" w:rsidRDefault="00D633F7" w:rsidP="00D633F7">
      <w:pPr>
        <w:pStyle w:val="Vchodzie"/>
        <w:jc w:val="both"/>
        <w:rPr>
          <w:color w:val="auto"/>
        </w:rPr>
      </w:pPr>
    </w:p>
    <w:p w14:paraId="65A79D48" w14:textId="77777777" w:rsidR="00D633F7" w:rsidRPr="00B76474" w:rsidRDefault="00D633F7" w:rsidP="00D633F7">
      <w:pPr>
        <w:pStyle w:val="Vchodzie"/>
        <w:rPr>
          <w:color w:val="auto"/>
        </w:rPr>
      </w:pPr>
      <w:r w:rsidRPr="00B76474">
        <w:rPr>
          <w:rFonts w:ascii="Calibri" w:eastAsia="Times New Roman" w:hAnsi="Calibri" w:cs="Times New Roman"/>
          <w:color w:val="auto"/>
          <w:sz w:val="20"/>
          <w:szCs w:val="20"/>
        </w:rPr>
        <w:t>Účtovná jednotka nie je súčasťou konsolidovaného celku a účtovná jednotka nie je materskou účtovnou jednotkou.</w:t>
      </w:r>
    </w:p>
    <w:p w14:paraId="6A49B443" w14:textId="77777777" w:rsidR="00D633F7" w:rsidRPr="00B76474" w:rsidRDefault="00D633F7" w:rsidP="00D633F7">
      <w:pPr>
        <w:pStyle w:val="Vchodzie"/>
        <w:rPr>
          <w:color w:val="auto"/>
        </w:rPr>
      </w:pPr>
    </w:p>
    <w:p w14:paraId="289557C4" w14:textId="77777777" w:rsidR="00D633F7" w:rsidRPr="00B76474" w:rsidRDefault="00D633F7" w:rsidP="00D633F7">
      <w:pPr>
        <w:pStyle w:val="Vchodzie"/>
        <w:rPr>
          <w:color w:val="auto"/>
        </w:rPr>
      </w:pPr>
      <w:r w:rsidRPr="00B76474">
        <w:rPr>
          <w:rFonts w:ascii="Calibri" w:hAnsi="Calibri"/>
          <w:b/>
          <w:color w:val="auto"/>
          <w:sz w:val="22"/>
          <w:szCs w:val="22"/>
        </w:rPr>
        <w:t>(5) Informácia o počte zamestnancov</w:t>
      </w:r>
    </w:p>
    <w:tbl>
      <w:tblPr>
        <w:tblW w:w="0" w:type="auto"/>
        <w:jc w:val="center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</w:tblBorders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851"/>
        <w:gridCol w:w="2872"/>
        <w:gridCol w:w="2680"/>
      </w:tblGrid>
      <w:tr w:rsidR="00D633F7" w:rsidRPr="00B76474" w14:paraId="21ADBB01" w14:textId="77777777" w:rsidTr="00DC3ED0">
        <w:trPr>
          <w:trHeight w:val="928"/>
          <w:jc w:val="center"/>
        </w:trPr>
        <w:tc>
          <w:tcPr>
            <w:tcW w:w="39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454C37D" w14:textId="77777777" w:rsidR="00D633F7" w:rsidRPr="00B76474" w:rsidRDefault="00D633F7" w:rsidP="0015223F">
            <w:pPr>
              <w:pStyle w:val="TopHeader"/>
              <w:rPr>
                <w:color w:val="auto"/>
              </w:rPr>
            </w:pPr>
            <w:r w:rsidRPr="00B76474">
              <w:rPr>
                <w:rFonts w:ascii="Calibri" w:hAnsi="Calibri" w:cs="Calibri"/>
                <w:b w:val="0"/>
                <w:color w:val="auto"/>
                <w:sz w:val="20"/>
                <w:szCs w:val="20"/>
              </w:rPr>
              <w:t>Názov položky</w:t>
            </w:r>
          </w:p>
        </w:tc>
        <w:tc>
          <w:tcPr>
            <w:tcW w:w="29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2DC3840" w14:textId="77777777" w:rsidR="00D633F7" w:rsidRPr="00B76474" w:rsidRDefault="00D633F7" w:rsidP="0015223F">
            <w:pPr>
              <w:pStyle w:val="TopHeader"/>
              <w:rPr>
                <w:color w:val="auto"/>
              </w:rPr>
            </w:pPr>
            <w:r w:rsidRPr="00B76474">
              <w:rPr>
                <w:rFonts w:ascii="Calibri" w:hAnsi="Calibri" w:cs="Calibri"/>
                <w:b w:val="0"/>
                <w:color w:val="auto"/>
                <w:sz w:val="20"/>
                <w:szCs w:val="20"/>
              </w:rPr>
              <w:t>Bežné účtovné obdobie</w:t>
            </w:r>
          </w:p>
        </w:tc>
        <w:tc>
          <w:tcPr>
            <w:tcW w:w="27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566BEAD" w14:textId="77777777" w:rsidR="00D633F7" w:rsidRPr="00B76474" w:rsidRDefault="00D633F7" w:rsidP="0015223F">
            <w:pPr>
              <w:pStyle w:val="TopHeader"/>
              <w:rPr>
                <w:color w:val="auto"/>
              </w:rPr>
            </w:pPr>
            <w:r w:rsidRPr="00B76474">
              <w:rPr>
                <w:rFonts w:ascii="Calibri" w:hAnsi="Calibri" w:cs="Calibri"/>
                <w:b w:val="0"/>
                <w:color w:val="auto"/>
                <w:sz w:val="20"/>
                <w:szCs w:val="20"/>
              </w:rPr>
              <w:t>Bezprostredne predchádzajúce účtovné obdobie</w:t>
            </w:r>
          </w:p>
        </w:tc>
      </w:tr>
      <w:tr w:rsidR="00D633F7" w:rsidRPr="00B76474" w14:paraId="5E4CAF4D" w14:textId="77777777" w:rsidTr="0015223F">
        <w:trPr>
          <w:jc w:val="center"/>
        </w:trPr>
        <w:tc>
          <w:tcPr>
            <w:tcW w:w="39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0EBEC22" w14:textId="77777777" w:rsidR="00D633F7" w:rsidRPr="00B76474" w:rsidRDefault="00D633F7" w:rsidP="0015223F">
            <w:pPr>
              <w:pStyle w:val="Vchodzie"/>
              <w:rPr>
                <w:color w:val="auto"/>
              </w:rPr>
            </w:pPr>
            <w:r w:rsidRPr="00B76474">
              <w:rPr>
                <w:rFonts w:ascii="Calibri" w:hAnsi="Calibri" w:cs="Calibri"/>
                <w:color w:val="auto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9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5CE94DE" w14:textId="48A65622" w:rsidR="00D633F7" w:rsidRPr="00D30A0F" w:rsidRDefault="0039384D" w:rsidP="0015223F">
            <w:pPr>
              <w:pStyle w:val="Vchodzie"/>
              <w:spacing w:line="360" w:lineRule="auto"/>
              <w:jc w:val="center"/>
              <w:rPr>
                <w:rFonts w:ascii="Calibri" w:hAnsi="Calibri" w:cs="Calibri"/>
                <w:color w:val="auto"/>
                <w:sz w:val="20"/>
                <w:szCs w:val="20"/>
              </w:rPr>
            </w:pPr>
            <w:r>
              <w:rPr>
                <w:rFonts w:ascii="Calibri" w:hAnsi="Calibri" w:cs="Calibri"/>
                <w:color w:val="auto"/>
                <w:sz w:val="20"/>
                <w:szCs w:val="20"/>
              </w:rPr>
              <w:t>7</w:t>
            </w:r>
          </w:p>
        </w:tc>
        <w:tc>
          <w:tcPr>
            <w:tcW w:w="27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131CB30" w14:textId="77777777" w:rsidR="00D633F7" w:rsidRPr="00B76474" w:rsidRDefault="00DC3ED0" w:rsidP="0015223F">
            <w:pPr>
              <w:pStyle w:val="Vchodzie"/>
              <w:spacing w:line="360" w:lineRule="auto"/>
              <w:jc w:val="center"/>
              <w:rPr>
                <w:rFonts w:asciiTheme="minorHAnsi" w:hAnsiTheme="minorHAnsi" w:cstheme="minorHAnsi"/>
                <w:color w:val="auto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color w:val="auto"/>
                <w:sz w:val="20"/>
                <w:szCs w:val="20"/>
              </w:rPr>
              <w:t>6</w:t>
            </w:r>
          </w:p>
        </w:tc>
      </w:tr>
    </w:tbl>
    <w:p w14:paraId="3EEE0606" w14:textId="77777777" w:rsidR="00D633F7" w:rsidRPr="00B76474" w:rsidRDefault="00D633F7" w:rsidP="00D633F7">
      <w:pPr>
        <w:pStyle w:val="Vchodzie"/>
        <w:rPr>
          <w:color w:val="auto"/>
        </w:rPr>
      </w:pPr>
    </w:p>
    <w:p w14:paraId="4C69E0FB" w14:textId="77777777" w:rsidR="00D633F7" w:rsidRPr="00B76474" w:rsidRDefault="00D633F7" w:rsidP="00D633F7">
      <w:pPr>
        <w:pStyle w:val="Vchodzie"/>
        <w:jc w:val="center"/>
        <w:rPr>
          <w:color w:val="auto"/>
        </w:rPr>
      </w:pPr>
    </w:p>
    <w:p w14:paraId="14E8DDFE" w14:textId="77777777" w:rsidR="00D633F7" w:rsidRPr="00B76474" w:rsidRDefault="00D633F7" w:rsidP="00D633F7">
      <w:pPr>
        <w:pStyle w:val="Vchodzie"/>
        <w:jc w:val="center"/>
        <w:rPr>
          <w:color w:val="auto"/>
        </w:rPr>
      </w:pPr>
      <w:r w:rsidRPr="00B76474">
        <w:rPr>
          <w:rFonts w:ascii="Calibri" w:hAnsi="Calibri"/>
          <w:b/>
          <w:bCs/>
          <w:color w:val="auto"/>
          <w:sz w:val="22"/>
          <w:szCs w:val="22"/>
        </w:rPr>
        <w:t>Informácie o orgánoch spoločnosti</w:t>
      </w:r>
    </w:p>
    <w:p w14:paraId="449926D3" w14:textId="77777777" w:rsidR="00D633F7" w:rsidRPr="00B76474" w:rsidRDefault="00D633F7" w:rsidP="00D633F7">
      <w:pPr>
        <w:pStyle w:val="Vchodzie"/>
        <w:jc w:val="center"/>
        <w:rPr>
          <w:color w:val="auto"/>
        </w:rPr>
      </w:pPr>
    </w:p>
    <w:p w14:paraId="4273466B" w14:textId="77777777" w:rsidR="00D633F7" w:rsidRPr="00B76474" w:rsidRDefault="00D633F7" w:rsidP="00D633F7">
      <w:pPr>
        <w:pStyle w:val="Vchodzie"/>
        <w:rPr>
          <w:color w:val="auto"/>
        </w:rPr>
      </w:pPr>
      <w:r w:rsidRPr="00B76474">
        <w:rPr>
          <w:rFonts w:ascii="Calibri" w:hAnsi="Calibri"/>
          <w:b/>
          <w:color w:val="auto"/>
          <w:sz w:val="22"/>
          <w:szCs w:val="22"/>
        </w:rPr>
        <w:t>Informácie o orgánoch účtovnej jednotky</w:t>
      </w:r>
    </w:p>
    <w:p w14:paraId="5B614193" w14:textId="77777777" w:rsidR="00D633F7" w:rsidRPr="00B76474" w:rsidRDefault="00D633F7" w:rsidP="00D633F7">
      <w:pPr>
        <w:pStyle w:val="Vchodzie"/>
        <w:rPr>
          <w:color w:val="auto"/>
        </w:rPr>
      </w:pPr>
    </w:p>
    <w:p w14:paraId="3D1D81EA" w14:textId="77777777" w:rsidR="00D633F7" w:rsidRPr="00B76474" w:rsidRDefault="00D633F7" w:rsidP="00D633F7">
      <w:pPr>
        <w:pStyle w:val="Vchodzie"/>
        <w:jc w:val="both"/>
        <w:rPr>
          <w:color w:val="auto"/>
        </w:rPr>
      </w:pPr>
      <w:r w:rsidRPr="00B76474">
        <w:rPr>
          <w:rFonts w:ascii="Calibri" w:hAnsi="Calibri"/>
          <w:bCs/>
          <w:color w:val="auto"/>
          <w:sz w:val="20"/>
          <w:szCs w:val="20"/>
        </w:rPr>
        <w:t>Členovia štatutárneho orgánu spoločnosti nepoberali žiadne príjmy za výkon svojej funkcie člena tohto</w:t>
      </w:r>
    </w:p>
    <w:p w14:paraId="300DBBDC" w14:textId="77777777" w:rsidR="00D633F7" w:rsidRPr="00B76474" w:rsidRDefault="00D633F7" w:rsidP="00D633F7">
      <w:pPr>
        <w:pStyle w:val="Vchodzie"/>
        <w:jc w:val="both"/>
        <w:rPr>
          <w:rFonts w:ascii="Calibri" w:hAnsi="Calibri"/>
          <w:bCs/>
          <w:color w:val="auto"/>
          <w:sz w:val="20"/>
          <w:szCs w:val="20"/>
        </w:rPr>
      </w:pPr>
      <w:r w:rsidRPr="00B76474">
        <w:rPr>
          <w:rFonts w:ascii="Calibri" w:hAnsi="Calibri"/>
          <w:bCs/>
          <w:color w:val="auto"/>
          <w:sz w:val="20"/>
          <w:szCs w:val="20"/>
        </w:rPr>
        <w:t>orgánu ani im neboli poskytnuté žiadne pôžičky alebo záruky.</w:t>
      </w:r>
    </w:p>
    <w:p w14:paraId="19ECB633" w14:textId="77777777" w:rsidR="00D633F7" w:rsidRPr="00B76474" w:rsidRDefault="00D633F7" w:rsidP="00D633F7">
      <w:pPr>
        <w:pStyle w:val="Vchodzie"/>
        <w:jc w:val="both"/>
        <w:rPr>
          <w:color w:val="auto"/>
        </w:rPr>
      </w:pPr>
    </w:p>
    <w:p w14:paraId="29167CC0" w14:textId="77777777" w:rsidR="00D633F7" w:rsidRDefault="00D633F7" w:rsidP="00D633F7">
      <w:pPr>
        <w:pStyle w:val="Vchodzie"/>
        <w:jc w:val="center"/>
        <w:rPr>
          <w:rFonts w:ascii="Calibri" w:hAnsi="Calibri"/>
          <w:b/>
          <w:bCs/>
          <w:color w:val="auto"/>
          <w:sz w:val="22"/>
          <w:szCs w:val="22"/>
        </w:rPr>
      </w:pPr>
    </w:p>
    <w:p w14:paraId="5EBC8A65" w14:textId="77777777" w:rsidR="00D633F7" w:rsidRDefault="00D633F7" w:rsidP="00D633F7">
      <w:pPr>
        <w:pStyle w:val="Vchodzie"/>
        <w:jc w:val="center"/>
        <w:rPr>
          <w:rFonts w:ascii="Calibri" w:hAnsi="Calibri"/>
          <w:b/>
          <w:bCs/>
          <w:color w:val="auto"/>
          <w:sz w:val="22"/>
          <w:szCs w:val="22"/>
        </w:rPr>
      </w:pPr>
    </w:p>
    <w:p w14:paraId="02162AD3" w14:textId="77777777" w:rsidR="00D633F7" w:rsidRPr="00B76474" w:rsidRDefault="00D633F7" w:rsidP="00D633F7">
      <w:pPr>
        <w:pStyle w:val="Vchodzie"/>
        <w:jc w:val="center"/>
        <w:rPr>
          <w:color w:val="auto"/>
        </w:rPr>
      </w:pPr>
      <w:r w:rsidRPr="00B76474">
        <w:rPr>
          <w:rFonts w:ascii="Calibri" w:hAnsi="Calibri"/>
          <w:b/>
          <w:bCs/>
          <w:color w:val="auto"/>
          <w:sz w:val="22"/>
          <w:szCs w:val="22"/>
        </w:rPr>
        <w:t xml:space="preserve">  Informácie o prijatých postupoch</w:t>
      </w:r>
    </w:p>
    <w:p w14:paraId="277583DF" w14:textId="77777777" w:rsidR="00D633F7" w:rsidRPr="00B76474" w:rsidRDefault="00D633F7" w:rsidP="00D633F7">
      <w:pPr>
        <w:pStyle w:val="Vchodzie"/>
        <w:jc w:val="center"/>
        <w:rPr>
          <w:color w:val="auto"/>
        </w:rPr>
      </w:pPr>
    </w:p>
    <w:p w14:paraId="6250C3B9" w14:textId="77777777" w:rsidR="00D633F7" w:rsidRPr="00B76474" w:rsidRDefault="00D633F7" w:rsidP="00D633F7">
      <w:pPr>
        <w:pStyle w:val="Vchodzie"/>
        <w:jc w:val="both"/>
        <w:rPr>
          <w:color w:val="auto"/>
        </w:rPr>
      </w:pPr>
      <w:r w:rsidRPr="00B76474">
        <w:rPr>
          <w:rFonts w:ascii="Calibri" w:hAnsi="Calibri"/>
          <w:color w:val="auto"/>
          <w:sz w:val="20"/>
          <w:szCs w:val="20"/>
        </w:rPr>
        <w:t>(1) Účtovná závierka spoločnosti bola zostavená za predpokladu nepretržitého trvania jej činnosti v súlade so zákonom o účtovníctve platným v Slovenskej republike a nadväzujúcimi postupmi účtovania.</w:t>
      </w:r>
    </w:p>
    <w:p w14:paraId="4F718C83" w14:textId="77777777" w:rsidR="00D633F7" w:rsidRPr="00B76474" w:rsidRDefault="00D633F7" w:rsidP="00D633F7">
      <w:pPr>
        <w:pStyle w:val="Vchodzie"/>
        <w:jc w:val="both"/>
        <w:rPr>
          <w:color w:val="auto"/>
        </w:rPr>
      </w:pPr>
    </w:p>
    <w:p w14:paraId="5228648A" w14:textId="77777777" w:rsidR="00D633F7" w:rsidRPr="00B76474" w:rsidRDefault="00D633F7" w:rsidP="00D633F7">
      <w:pPr>
        <w:pStyle w:val="Vchodzie"/>
        <w:jc w:val="both"/>
        <w:rPr>
          <w:color w:val="auto"/>
        </w:rPr>
      </w:pPr>
      <w:r w:rsidRPr="00B76474">
        <w:rPr>
          <w:rFonts w:ascii="Calibri" w:hAnsi="Calibri" w:cs="Calibri"/>
          <w:bCs/>
          <w:color w:val="auto"/>
          <w:sz w:val="20"/>
          <w:szCs w:val="20"/>
          <w:lang w:eastAsia="cs-CZ"/>
        </w:rPr>
        <w:t>Účtovníctvo spoločnosť vedie na základe dodržania časovej a vecnej súvislosti nákladov a výnosov. Za základ sa berú všetky náklady a výnosy, ktoré sa vzťahujú na účtovné obdobie bez ohľadu na dátum ich platenia.</w:t>
      </w:r>
    </w:p>
    <w:p w14:paraId="72A5F1FF" w14:textId="77777777" w:rsidR="00D633F7" w:rsidRPr="00B76474" w:rsidRDefault="00D633F7" w:rsidP="00D633F7">
      <w:pPr>
        <w:pStyle w:val="Vchodzie"/>
        <w:jc w:val="both"/>
        <w:rPr>
          <w:color w:val="auto"/>
        </w:rPr>
      </w:pPr>
    </w:p>
    <w:p w14:paraId="6341CB1B" w14:textId="77777777" w:rsidR="00D633F7" w:rsidRPr="00B76474" w:rsidRDefault="00D633F7" w:rsidP="00D633F7">
      <w:pPr>
        <w:pStyle w:val="Vchodzie"/>
        <w:jc w:val="both"/>
        <w:rPr>
          <w:color w:val="auto"/>
        </w:rPr>
      </w:pPr>
      <w:r w:rsidRPr="00B76474">
        <w:rPr>
          <w:rFonts w:ascii="Calibri" w:hAnsi="Calibri" w:cs="Calibri"/>
          <w:bCs/>
          <w:color w:val="auto"/>
          <w:sz w:val="20"/>
          <w:szCs w:val="20"/>
          <w:lang w:eastAsia="cs-CZ"/>
        </w:rPr>
        <w:t>Peňažné údaje v účtovnej závierke sú uvedené v celých EUR.</w:t>
      </w:r>
    </w:p>
    <w:p w14:paraId="6E19B43B" w14:textId="77777777" w:rsidR="00D633F7" w:rsidRPr="00B76474" w:rsidRDefault="00D633F7" w:rsidP="00D633F7">
      <w:pPr>
        <w:pStyle w:val="Vchodzie"/>
        <w:jc w:val="both"/>
        <w:rPr>
          <w:color w:val="auto"/>
        </w:rPr>
      </w:pPr>
    </w:p>
    <w:p w14:paraId="6B242B13" w14:textId="77777777" w:rsidR="00D633F7" w:rsidRPr="00B76474" w:rsidRDefault="00D633F7" w:rsidP="00D633F7">
      <w:pPr>
        <w:pStyle w:val="Vchodzie"/>
        <w:jc w:val="both"/>
        <w:rPr>
          <w:color w:val="auto"/>
        </w:rPr>
      </w:pPr>
      <w:r w:rsidRPr="00B76474">
        <w:rPr>
          <w:rFonts w:ascii="Calibri" w:hAnsi="Calibri"/>
          <w:color w:val="auto"/>
          <w:sz w:val="22"/>
          <w:szCs w:val="22"/>
        </w:rPr>
        <w:t xml:space="preserve"> (2) Zmena metód účtovania a zásad účtovania</w:t>
      </w:r>
    </w:p>
    <w:p w14:paraId="65956A9E" w14:textId="77777777" w:rsidR="00D633F7" w:rsidRPr="00B76474" w:rsidRDefault="00D633F7" w:rsidP="00D633F7">
      <w:pPr>
        <w:pStyle w:val="Vchodzie"/>
        <w:jc w:val="both"/>
        <w:rPr>
          <w:color w:val="auto"/>
        </w:rPr>
      </w:pPr>
    </w:p>
    <w:p w14:paraId="30280CD6" w14:textId="77777777" w:rsidR="00D633F7" w:rsidRPr="00B76474" w:rsidRDefault="00D633F7" w:rsidP="00D633F7">
      <w:pPr>
        <w:pStyle w:val="Vchodzie"/>
        <w:jc w:val="both"/>
        <w:rPr>
          <w:color w:val="auto"/>
        </w:rPr>
      </w:pPr>
      <w:r w:rsidRPr="00B76474">
        <w:rPr>
          <w:rFonts w:ascii="Calibri" w:eastAsia="Times New Roman" w:hAnsi="Calibri" w:cs="Calibri"/>
          <w:bCs/>
          <w:color w:val="auto"/>
          <w:sz w:val="20"/>
          <w:szCs w:val="20"/>
          <w:lang w:eastAsia="cs-CZ"/>
        </w:rPr>
        <w:t>Účtovné metódy a všeobecné účtovné zásady spoločnosť aplikovala konzistentne s predchádzajúcim účtovným obdobím.</w:t>
      </w:r>
    </w:p>
    <w:p w14:paraId="0B8134A1" w14:textId="77777777" w:rsidR="00D633F7" w:rsidRPr="00B76474" w:rsidRDefault="00D633F7" w:rsidP="00D633F7">
      <w:pPr>
        <w:pStyle w:val="Vchodzie"/>
        <w:jc w:val="both"/>
        <w:rPr>
          <w:color w:val="auto"/>
        </w:rPr>
      </w:pPr>
    </w:p>
    <w:p w14:paraId="76CCB184" w14:textId="77777777" w:rsidR="00D633F7" w:rsidRPr="00B76474" w:rsidRDefault="00D633F7" w:rsidP="00D633F7">
      <w:pPr>
        <w:pStyle w:val="Vchodzie"/>
        <w:jc w:val="both"/>
        <w:rPr>
          <w:color w:val="auto"/>
        </w:rPr>
      </w:pPr>
      <w:r w:rsidRPr="00B76474">
        <w:rPr>
          <w:rFonts w:ascii="Calibri" w:hAnsi="Calibri"/>
          <w:color w:val="auto"/>
          <w:sz w:val="22"/>
          <w:szCs w:val="22"/>
        </w:rPr>
        <w:t xml:space="preserve">(3) Informácia o ocenení majetku a záväzkov </w:t>
      </w:r>
    </w:p>
    <w:p w14:paraId="25C31B87" w14:textId="77777777" w:rsidR="00D633F7" w:rsidRPr="00B76474" w:rsidRDefault="00D633F7" w:rsidP="00D633F7">
      <w:pPr>
        <w:pStyle w:val="Vchodzie"/>
        <w:jc w:val="both"/>
        <w:rPr>
          <w:color w:val="auto"/>
        </w:rPr>
      </w:pPr>
    </w:p>
    <w:p w14:paraId="4903C636" w14:textId="77777777" w:rsidR="00D633F7" w:rsidRPr="00B76474" w:rsidRDefault="00D633F7" w:rsidP="00D633F7">
      <w:pPr>
        <w:pStyle w:val="Vchodzie"/>
        <w:spacing w:after="120"/>
        <w:jc w:val="both"/>
        <w:rPr>
          <w:color w:val="auto"/>
        </w:rPr>
      </w:pPr>
      <w:r w:rsidRPr="00B76474">
        <w:rPr>
          <w:rFonts w:ascii="Calibri" w:hAnsi="Calibri" w:cs="Calibri"/>
          <w:b/>
          <w:color w:val="auto"/>
          <w:sz w:val="22"/>
          <w:szCs w:val="22"/>
        </w:rPr>
        <w:t>1. Dlhodobý nehmotný a dlhodobý hmotný majetok</w:t>
      </w:r>
    </w:p>
    <w:p w14:paraId="30D7D9FD" w14:textId="77777777" w:rsidR="00D633F7" w:rsidRPr="00B76474" w:rsidRDefault="00D633F7" w:rsidP="00D633F7">
      <w:pPr>
        <w:pStyle w:val="Vchodzie"/>
        <w:spacing w:after="120"/>
        <w:jc w:val="both"/>
        <w:rPr>
          <w:color w:val="auto"/>
        </w:rPr>
      </w:pPr>
      <w:r w:rsidRPr="00B76474">
        <w:rPr>
          <w:rFonts w:ascii="Calibri" w:hAnsi="Calibri" w:cs="Calibri"/>
          <w:color w:val="auto"/>
          <w:sz w:val="20"/>
          <w:szCs w:val="20"/>
        </w:rPr>
        <w:t xml:space="preserve">Dlhodobý majetok nakupovaný sa oceňuje obstarávacou cenou, ktorá zahrňuje cenu, za ktorú sa majetok obstaral a náklady súvisiace s obstaraním (clo, prepravu, montáž, poistné a pod.). </w:t>
      </w:r>
    </w:p>
    <w:p w14:paraId="63D2869D" w14:textId="77777777" w:rsidR="00D633F7" w:rsidRPr="00B76474" w:rsidRDefault="00D633F7" w:rsidP="00D633F7">
      <w:pPr>
        <w:pStyle w:val="Vchodzie"/>
        <w:spacing w:after="120"/>
        <w:jc w:val="both"/>
        <w:rPr>
          <w:rFonts w:ascii="Calibri" w:hAnsi="Calibri" w:cs="Calibri"/>
          <w:color w:val="auto"/>
          <w:sz w:val="20"/>
          <w:szCs w:val="20"/>
        </w:rPr>
      </w:pPr>
      <w:r w:rsidRPr="00B76474">
        <w:rPr>
          <w:rFonts w:ascii="Calibri" w:hAnsi="Calibri" w:cs="Calibri"/>
          <w:color w:val="auto"/>
          <w:sz w:val="20"/>
          <w:szCs w:val="20"/>
        </w:rPr>
        <w:t>Dlhodobý nehmotný a dlhodobý hmotný majetok sa odpisuje podľa odpisového plánu, ktorý bol zostavený na základe predpokladanej doby jeho používania zodpovedajúcej spotrebe budúcich ekonomických úžitkov z majetku. Odpisovať sa začína v mesiaci uvedenia  majetku do používania. Podrobný účtovný odpisový plán po položkách sa vedie účtovnom software Pohoda (taktiež daňové odpisy podľa zákona o dani z príjmov).</w:t>
      </w:r>
    </w:p>
    <w:p w14:paraId="1E832EB9" w14:textId="77777777" w:rsidR="00D633F7" w:rsidRPr="00B76474" w:rsidRDefault="00D633F7" w:rsidP="00D633F7">
      <w:pPr>
        <w:pStyle w:val="Vchodzie"/>
        <w:spacing w:after="120"/>
        <w:jc w:val="both"/>
        <w:rPr>
          <w:color w:val="auto"/>
        </w:rPr>
      </w:pPr>
      <w:r w:rsidRPr="00B76474">
        <w:rPr>
          <w:rFonts w:ascii="Calibri" w:hAnsi="Calibri" w:cs="Calibri"/>
          <w:color w:val="auto"/>
          <w:sz w:val="20"/>
          <w:szCs w:val="20"/>
        </w:rPr>
        <w:t>Nehmotný majetok, ktorého obstarávacia cena (resp. vlastné náklady) neprevýši 2 400 EUR, sa nezaraďuje na účty dlhodobého majetku a odpisuje sa jednorazovo pri uvedení do používania. Drobný dlhodobý hmotný majetok, ktorého obstarávacia cena (resp. vlastné náklady) je 1 700 EUR a nižšia, sa odpisuje jednorazovo pri uvedení do používania - účtuje sa na účet 501. Spoločnosť uvedený majetok eviduje v podsúvahovej evidencii.</w:t>
      </w:r>
    </w:p>
    <w:p w14:paraId="29A42216" w14:textId="77777777" w:rsidR="00D633F7" w:rsidRPr="00B76474" w:rsidRDefault="00D633F7" w:rsidP="00D633F7">
      <w:pPr>
        <w:pStyle w:val="Vchodzie"/>
        <w:spacing w:after="120"/>
        <w:jc w:val="both"/>
        <w:rPr>
          <w:color w:val="auto"/>
        </w:rPr>
      </w:pPr>
      <w:r w:rsidRPr="00B76474">
        <w:rPr>
          <w:rFonts w:ascii="Calibri" w:hAnsi="Calibri" w:cs="Calibri"/>
          <w:color w:val="auto"/>
          <w:sz w:val="20"/>
          <w:szCs w:val="20"/>
        </w:rPr>
        <w:t>Predpokladaná doba používania, metóda odpisovania a odpisová sadzba sú uvedené v nasledujúcej tabuľke:</w:t>
      </w:r>
    </w:p>
    <w:tbl>
      <w:tblPr>
        <w:tblW w:w="9604" w:type="dxa"/>
        <w:tblInd w:w="10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</w:tblBorders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215"/>
        <w:gridCol w:w="1012"/>
        <w:gridCol w:w="2105"/>
        <w:gridCol w:w="2272"/>
      </w:tblGrid>
      <w:tr w:rsidR="00D633F7" w:rsidRPr="00B76474" w14:paraId="50C1C865" w14:textId="77777777" w:rsidTr="0015223F">
        <w:tc>
          <w:tcPr>
            <w:tcW w:w="42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8BC6649" w14:textId="77777777" w:rsidR="00D633F7" w:rsidRPr="00B76474" w:rsidRDefault="00D633F7" w:rsidP="0015223F">
            <w:pPr>
              <w:pStyle w:val="Vchodzie"/>
              <w:jc w:val="center"/>
              <w:rPr>
                <w:color w:val="auto"/>
              </w:rPr>
            </w:pPr>
            <w:r w:rsidRPr="00B76474">
              <w:rPr>
                <w:rFonts w:ascii="Calibri" w:hAnsi="Calibri" w:cs="Calibri"/>
                <w:b/>
                <w:color w:val="auto"/>
                <w:sz w:val="20"/>
                <w:szCs w:val="20"/>
              </w:rPr>
              <w:t>Dlhodobý hmotný a nehmotný</w:t>
            </w:r>
          </w:p>
          <w:p w14:paraId="0EACAC27" w14:textId="77777777" w:rsidR="00D633F7" w:rsidRPr="00B76474" w:rsidRDefault="00D633F7" w:rsidP="0015223F">
            <w:pPr>
              <w:pStyle w:val="Vchodzie"/>
              <w:ind w:left="324"/>
              <w:jc w:val="center"/>
              <w:rPr>
                <w:color w:val="auto"/>
              </w:rPr>
            </w:pPr>
            <w:r w:rsidRPr="00B76474">
              <w:rPr>
                <w:rFonts w:ascii="Calibri" w:hAnsi="Calibri" w:cs="Calibri"/>
                <w:b/>
                <w:color w:val="auto"/>
                <w:sz w:val="20"/>
                <w:szCs w:val="20"/>
              </w:rPr>
              <w:t>odpisovaný majetok</w:t>
            </w:r>
          </w:p>
        </w:tc>
        <w:tc>
          <w:tcPr>
            <w:tcW w:w="10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1551F66" w14:textId="77777777" w:rsidR="00D633F7" w:rsidRPr="00B76474" w:rsidRDefault="00D633F7" w:rsidP="0015223F">
            <w:pPr>
              <w:pStyle w:val="Vchodzie"/>
              <w:jc w:val="center"/>
              <w:rPr>
                <w:color w:val="auto"/>
              </w:rPr>
            </w:pPr>
            <w:r w:rsidRPr="00B76474">
              <w:rPr>
                <w:rFonts w:ascii="Calibri" w:hAnsi="Calibri" w:cs="Calibri"/>
                <w:b/>
                <w:color w:val="auto"/>
                <w:sz w:val="20"/>
                <w:szCs w:val="20"/>
              </w:rPr>
              <w:t>číslo</w:t>
            </w:r>
          </w:p>
          <w:p w14:paraId="09A24D9F" w14:textId="77777777" w:rsidR="00D633F7" w:rsidRPr="00B76474" w:rsidRDefault="00D633F7" w:rsidP="0015223F">
            <w:pPr>
              <w:pStyle w:val="Vchodzie"/>
              <w:jc w:val="center"/>
              <w:rPr>
                <w:color w:val="auto"/>
              </w:rPr>
            </w:pPr>
            <w:r w:rsidRPr="00B76474">
              <w:rPr>
                <w:rFonts w:ascii="Calibri" w:hAnsi="Calibri" w:cs="Calibri"/>
                <w:b/>
                <w:color w:val="auto"/>
                <w:sz w:val="20"/>
                <w:szCs w:val="20"/>
              </w:rPr>
              <w:t>účtu</w:t>
            </w:r>
          </w:p>
        </w:tc>
        <w:tc>
          <w:tcPr>
            <w:tcW w:w="21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2887DC4" w14:textId="77777777" w:rsidR="00D633F7" w:rsidRPr="00B76474" w:rsidRDefault="00D633F7" w:rsidP="0015223F">
            <w:pPr>
              <w:pStyle w:val="Vchodzie"/>
              <w:jc w:val="center"/>
              <w:rPr>
                <w:color w:val="auto"/>
              </w:rPr>
            </w:pPr>
            <w:r w:rsidRPr="00B76474">
              <w:rPr>
                <w:rFonts w:ascii="Calibri" w:hAnsi="Calibri" w:cs="Calibri"/>
                <w:b/>
                <w:color w:val="auto"/>
                <w:sz w:val="20"/>
                <w:szCs w:val="20"/>
              </w:rPr>
              <w:t>doba odpisovania</w:t>
            </w:r>
          </w:p>
          <w:p w14:paraId="394D9A1A" w14:textId="77777777" w:rsidR="00D633F7" w:rsidRPr="00B76474" w:rsidRDefault="00D633F7" w:rsidP="0015223F">
            <w:pPr>
              <w:pStyle w:val="Vchodzie"/>
              <w:jc w:val="center"/>
              <w:rPr>
                <w:color w:val="auto"/>
              </w:rPr>
            </w:pPr>
            <w:r w:rsidRPr="00B76474">
              <w:rPr>
                <w:rFonts w:ascii="Calibri" w:hAnsi="Calibri" w:cs="Calibri"/>
                <w:b/>
                <w:color w:val="auto"/>
                <w:sz w:val="20"/>
                <w:szCs w:val="20"/>
              </w:rPr>
              <w:t>(počet rokov)</w:t>
            </w:r>
          </w:p>
        </w:tc>
        <w:tc>
          <w:tcPr>
            <w:tcW w:w="227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11D9F60" w14:textId="77777777" w:rsidR="00D633F7" w:rsidRPr="00B76474" w:rsidRDefault="00D633F7" w:rsidP="0015223F">
            <w:pPr>
              <w:pStyle w:val="Vchodzie"/>
              <w:jc w:val="center"/>
              <w:rPr>
                <w:color w:val="auto"/>
              </w:rPr>
            </w:pPr>
            <w:r w:rsidRPr="00B76474">
              <w:rPr>
                <w:rFonts w:ascii="Calibri" w:hAnsi="Calibri" w:cs="Calibri"/>
                <w:b/>
                <w:color w:val="auto"/>
                <w:sz w:val="20"/>
                <w:szCs w:val="20"/>
              </w:rPr>
              <w:t xml:space="preserve">odpisová skupina </w:t>
            </w:r>
          </w:p>
          <w:p w14:paraId="18780E1A" w14:textId="77777777" w:rsidR="00D633F7" w:rsidRPr="00B76474" w:rsidRDefault="00D633F7" w:rsidP="0015223F">
            <w:pPr>
              <w:pStyle w:val="Vchodzie"/>
              <w:jc w:val="center"/>
              <w:rPr>
                <w:color w:val="auto"/>
              </w:rPr>
            </w:pPr>
            <w:r w:rsidRPr="00B76474">
              <w:rPr>
                <w:rFonts w:ascii="Calibri" w:hAnsi="Calibri" w:cs="Calibri"/>
                <w:b/>
                <w:color w:val="auto"/>
                <w:sz w:val="20"/>
                <w:szCs w:val="20"/>
              </w:rPr>
              <w:t>-sadzba v %</w:t>
            </w:r>
          </w:p>
        </w:tc>
      </w:tr>
      <w:tr w:rsidR="00D633F7" w:rsidRPr="00B76474" w14:paraId="555911AE" w14:textId="77777777" w:rsidTr="0015223F">
        <w:tc>
          <w:tcPr>
            <w:tcW w:w="42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531B970" w14:textId="77777777" w:rsidR="00D633F7" w:rsidRPr="00B76474" w:rsidRDefault="00D633F7" w:rsidP="0015223F">
            <w:pPr>
              <w:pStyle w:val="Vchodzie"/>
              <w:jc w:val="both"/>
              <w:rPr>
                <w:color w:val="auto"/>
              </w:rPr>
            </w:pPr>
            <w:r w:rsidRPr="00B76474">
              <w:rPr>
                <w:rFonts w:ascii="Calibri" w:hAnsi="Calibri" w:cs="Calibri"/>
                <w:color w:val="auto"/>
                <w:sz w:val="20"/>
                <w:szCs w:val="20"/>
              </w:rPr>
              <w:t>Aktivovane náklady na vývoj</w:t>
            </w:r>
          </w:p>
        </w:tc>
        <w:tc>
          <w:tcPr>
            <w:tcW w:w="10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FA3C2FF" w14:textId="77777777" w:rsidR="00D633F7" w:rsidRPr="00B76474" w:rsidRDefault="00D633F7" w:rsidP="0015223F">
            <w:pPr>
              <w:pStyle w:val="Vchodzie"/>
              <w:jc w:val="center"/>
              <w:rPr>
                <w:color w:val="auto"/>
              </w:rPr>
            </w:pPr>
            <w:r w:rsidRPr="00B76474">
              <w:rPr>
                <w:rFonts w:ascii="Calibri" w:hAnsi="Calibri" w:cs="Calibri"/>
                <w:color w:val="auto"/>
                <w:sz w:val="20"/>
                <w:szCs w:val="20"/>
              </w:rPr>
              <w:t>019</w:t>
            </w:r>
          </w:p>
        </w:tc>
        <w:tc>
          <w:tcPr>
            <w:tcW w:w="21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87C8B26" w14:textId="77777777" w:rsidR="00D633F7" w:rsidRPr="00B76474" w:rsidRDefault="00D633F7" w:rsidP="0015223F">
            <w:pPr>
              <w:pStyle w:val="Vchodzie"/>
              <w:jc w:val="center"/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B76474">
              <w:rPr>
                <w:rFonts w:ascii="Calibri" w:hAnsi="Calibri" w:cs="Calibri"/>
                <w:color w:val="auto"/>
                <w:sz w:val="20"/>
                <w:szCs w:val="20"/>
              </w:rPr>
              <w:t>0</w:t>
            </w:r>
          </w:p>
        </w:tc>
        <w:tc>
          <w:tcPr>
            <w:tcW w:w="227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CF31AD4" w14:textId="77777777" w:rsidR="00D633F7" w:rsidRPr="003512FF" w:rsidRDefault="00D633F7" w:rsidP="0015223F">
            <w:pPr>
              <w:pStyle w:val="Vchodzie"/>
              <w:jc w:val="center"/>
              <w:rPr>
                <w:color w:val="auto"/>
                <w:sz w:val="18"/>
                <w:szCs w:val="18"/>
              </w:rPr>
            </w:pPr>
            <w:r w:rsidRPr="003512FF">
              <w:rPr>
                <w:color w:val="auto"/>
                <w:sz w:val="18"/>
                <w:szCs w:val="18"/>
              </w:rPr>
              <w:t>0</w:t>
            </w:r>
          </w:p>
        </w:tc>
      </w:tr>
      <w:tr w:rsidR="00D633F7" w:rsidRPr="00B76474" w14:paraId="757043B8" w14:textId="77777777" w:rsidTr="0015223F">
        <w:tc>
          <w:tcPr>
            <w:tcW w:w="42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50811CF" w14:textId="77777777" w:rsidR="00D633F7" w:rsidRPr="00B76474" w:rsidRDefault="00D633F7" w:rsidP="0015223F">
            <w:pPr>
              <w:pStyle w:val="Vchodzie"/>
              <w:jc w:val="both"/>
              <w:rPr>
                <w:color w:val="auto"/>
              </w:rPr>
            </w:pPr>
            <w:r w:rsidRPr="00B76474">
              <w:rPr>
                <w:rFonts w:ascii="Calibri" w:hAnsi="Calibri" w:cs="Calibri"/>
                <w:color w:val="auto"/>
                <w:sz w:val="20"/>
                <w:szCs w:val="20"/>
              </w:rPr>
              <w:t>Stavby</w:t>
            </w:r>
          </w:p>
        </w:tc>
        <w:tc>
          <w:tcPr>
            <w:tcW w:w="10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1A0049F" w14:textId="77777777" w:rsidR="00D633F7" w:rsidRPr="00B76474" w:rsidRDefault="00D633F7" w:rsidP="0015223F">
            <w:pPr>
              <w:pStyle w:val="Vchodzie"/>
              <w:jc w:val="center"/>
              <w:rPr>
                <w:color w:val="auto"/>
              </w:rPr>
            </w:pPr>
            <w:r w:rsidRPr="00B76474">
              <w:rPr>
                <w:rFonts w:ascii="Calibri" w:hAnsi="Calibri" w:cs="Calibri"/>
                <w:color w:val="auto"/>
                <w:sz w:val="20"/>
                <w:szCs w:val="20"/>
              </w:rPr>
              <w:t>021</w:t>
            </w:r>
          </w:p>
        </w:tc>
        <w:tc>
          <w:tcPr>
            <w:tcW w:w="21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2DE1A1B" w14:textId="77777777" w:rsidR="00D633F7" w:rsidRPr="003512FF" w:rsidRDefault="00D633F7" w:rsidP="0015223F">
            <w:pPr>
              <w:pStyle w:val="Vchodzie"/>
              <w:jc w:val="center"/>
              <w:rPr>
                <w:color w:val="auto"/>
                <w:sz w:val="16"/>
                <w:szCs w:val="16"/>
              </w:rPr>
            </w:pPr>
            <w:r w:rsidRPr="003512FF">
              <w:rPr>
                <w:color w:val="auto"/>
                <w:sz w:val="16"/>
                <w:szCs w:val="16"/>
              </w:rPr>
              <w:t>0</w:t>
            </w:r>
          </w:p>
        </w:tc>
        <w:tc>
          <w:tcPr>
            <w:tcW w:w="227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D9C6F8C" w14:textId="77777777" w:rsidR="00D633F7" w:rsidRPr="003512FF" w:rsidRDefault="00D633F7" w:rsidP="0015223F">
            <w:pPr>
              <w:pStyle w:val="Vchodzie"/>
              <w:jc w:val="center"/>
              <w:rPr>
                <w:color w:val="auto"/>
                <w:sz w:val="18"/>
                <w:szCs w:val="18"/>
              </w:rPr>
            </w:pPr>
            <w:r w:rsidRPr="003512FF">
              <w:rPr>
                <w:color w:val="auto"/>
                <w:sz w:val="18"/>
                <w:szCs w:val="18"/>
              </w:rPr>
              <w:t>0</w:t>
            </w:r>
          </w:p>
        </w:tc>
      </w:tr>
      <w:tr w:rsidR="00D633F7" w:rsidRPr="00B76474" w14:paraId="1F9B7A31" w14:textId="77777777" w:rsidTr="0015223F">
        <w:tc>
          <w:tcPr>
            <w:tcW w:w="42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EE2DF67" w14:textId="77777777" w:rsidR="00D633F7" w:rsidRPr="00B76474" w:rsidRDefault="00D633F7" w:rsidP="0015223F">
            <w:pPr>
              <w:pStyle w:val="Vchodzie"/>
              <w:jc w:val="both"/>
              <w:rPr>
                <w:color w:val="auto"/>
              </w:rPr>
            </w:pPr>
            <w:r w:rsidRPr="00B76474">
              <w:rPr>
                <w:rFonts w:ascii="Calibri" w:hAnsi="Calibri" w:cs="Calibri"/>
                <w:color w:val="auto"/>
                <w:sz w:val="20"/>
                <w:szCs w:val="20"/>
              </w:rPr>
              <w:t>Dopravné prostriedky</w:t>
            </w:r>
          </w:p>
        </w:tc>
        <w:tc>
          <w:tcPr>
            <w:tcW w:w="10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0A17279" w14:textId="77777777" w:rsidR="00D633F7" w:rsidRPr="00B76474" w:rsidRDefault="00D633F7" w:rsidP="0015223F">
            <w:pPr>
              <w:pStyle w:val="Vchodzie"/>
              <w:jc w:val="center"/>
              <w:rPr>
                <w:color w:val="auto"/>
              </w:rPr>
            </w:pPr>
            <w:r w:rsidRPr="00B76474">
              <w:rPr>
                <w:rFonts w:ascii="Calibri" w:hAnsi="Calibri" w:cs="Calibri"/>
                <w:color w:val="auto"/>
                <w:sz w:val="20"/>
                <w:szCs w:val="20"/>
              </w:rPr>
              <w:t>022</w:t>
            </w:r>
          </w:p>
        </w:tc>
        <w:tc>
          <w:tcPr>
            <w:tcW w:w="21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CB14FC5" w14:textId="77777777" w:rsidR="00D633F7" w:rsidRPr="00B76474" w:rsidRDefault="00D633F7" w:rsidP="0015223F">
            <w:pPr>
              <w:pStyle w:val="Vchodzie"/>
              <w:jc w:val="center"/>
              <w:rPr>
                <w:color w:val="auto"/>
              </w:rPr>
            </w:pPr>
            <w:r w:rsidRPr="00B76474">
              <w:rPr>
                <w:rFonts w:ascii="Calibri" w:hAnsi="Calibri" w:cs="Calibri"/>
                <w:color w:val="auto"/>
                <w:sz w:val="20"/>
                <w:szCs w:val="20"/>
              </w:rPr>
              <w:t>4</w:t>
            </w:r>
          </w:p>
        </w:tc>
        <w:tc>
          <w:tcPr>
            <w:tcW w:w="227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94DFACD" w14:textId="77777777" w:rsidR="00D633F7" w:rsidRPr="00B76474" w:rsidRDefault="00D633F7" w:rsidP="0015223F">
            <w:pPr>
              <w:pStyle w:val="Vchodzie"/>
              <w:jc w:val="center"/>
              <w:rPr>
                <w:color w:val="auto"/>
              </w:rPr>
            </w:pPr>
            <w:r w:rsidRPr="00B76474">
              <w:rPr>
                <w:rFonts w:ascii="Calibri" w:hAnsi="Calibri" w:cs="Calibri"/>
                <w:color w:val="auto"/>
                <w:sz w:val="20"/>
                <w:szCs w:val="20"/>
              </w:rPr>
              <w:t>25 %</w:t>
            </w:r>
          </w:p>
        </w:tc>
      </w:tr>
      <w:tr w:rsidR="00D633F7" w:rsidRPr="00B76474" w14:paraId="50E6E3BF" w14:textId="77777777" w:rsidTr="0015223F">
        <w:tc>
          <w:tcPr>
            <w:tcW w:w="42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AAB7CF9" w14:textId="77777777" w:rsidR="00D633F7" w:rsidRPr="00B76474" w:rsidRDefault="00D633F7" w:rsidP="0015223F">
            <w:pPr>
              <w:pStyle w:val="Vchodzie"/>
              <w:jc w:val="both"/>
              <w:rPr>
                <w:color w:val="auto"/>
              </w:rPr>
            </w:pPr>
            <w:r w:rsidRPr="00B76474">
              <w:rPr>
                <w:rFonts w:ascii="Calibri" w:hAnsi="Calibri" w:cs="Calibri"/>
                <w:color w:val="auto"/>
                <w:sz w:val="20"/>
                <w:szCs w:val="20"/>
              </w:rPr>
              <w:t>Ostatné stroje</w:t>
            </w:r>
          </w:p>
        </w:tc>
        <w:tc>
          <w:tcPr>
            <w:tcW w:w="10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FE627C3" w14:textId="77777777" w:rsidR="00D633F7" w:rsidRPr="00B76474" w:rsidRDefault="00D633F7" w:rsidP="0015223F">
            <w:pPr>
              <w:pStyle w:val="Vchodzie"/>
              <w:jc w:val="center"/>
              <w:rPr>
                <w:color w:val="auto"/>
              </w:rPr>
            </w:pPr>
            <w:r w:rsidRPr="00B76474">
              <w:rPr>
                <w:rFonts w:ascii="Calibri" w:hAnsi="Calibri" w:cs="Calibri"/>
                <w:color w:val="auto"/>
                <w:sz w:val="20"/>
                <w:szCs w:val="20"/>
              </w:rPr>
              <w:t>022</w:t>
            </w:r>
          </w:p>
        </w:tc>
        <w:tc>
          <w:tcPr>
            <w:tcW w:w="21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B902C60" w14:textId="77777777" w:rsidR="00D633F7" w:rsidRPr="003512FF" w:rsidRDefault="00D633F7" w:rsidP="0015223F">
            <w:pPr>
              <w:pStyle w:val="Vchodzie"/>
              <w:ind w:left="360"/>
              <w:jc w:val="center"/>
              <w:rPr>
                <w:color w:val="auto"/>
                <w:sz w:val="16"/>
                <w:szCs w:val="16"/>
              </w:rPr>
            </w:pPr>
            <w:r w:rsidRPr="003512FF">
              <w:rPr>
                <w:color w:val="auto"/>
                <w:sz w:val="16"/>
                <w:szCs w:val="16"/>
              </w:rPr>
              <w:t>6</w:t>
            </w:r>
          </w:p>
        </w:tc>
        <w:tc>
          <w:tcPr>
            <w:tcW w:w="227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5030BC2" w14:textId="77777777" w:rsidR="00D633F7" w:rsidRPr="00B76474" w:rsidRDefault="00D633F7" w:rsidP="0015223F">
            <w:pPr>
              <w:pStyle w:val="Vchodzie"/>
              <w:jc w:val="center"/>
              <w:rPr>
                <w:color w:val="auto"/>
              </w:rPr>
            </w:pPr>
            <w:r>
              <w:rPr>
                <w:rFonts w:ascii="Calibri" w:hAnsi="Calibri" w:cs="Calibri"/>
                <w:color w:val="auto"/>
                <w:sz w:val="20"/>
                <w:szCs w:val="20"/>
              </w:rPr>
              <w:t>2/16,6</w:t>
            </w:r>
          </w:p>
        </w:tc>
      </w:tr>
    </w:tbl>
    <w:p w14:paraId="44BC0129" w14:textId="77777777" w:rsidR="00D633F7" w:rsidRPr="00B76474" w:rsidRDefault="00D633F7" w:rsidP="00D633F7">
      <w:pPr>
        <w:pStyle w:val="Telotextu"/>
        <w:rPr>
          <w:color w:val="auto"/>
        </w:rPr>
      </w:pPr>
    </w:p>
    <w:p w14:paraId="7B855583" w14:textId="77777777" w:rsidR="00D633F7" w:rsidRPr="00B76474" w:rsidRDefault="00D633F7" w:rsidP="00D633F7">
      <w:pPr>
        <w:pStyle w:val="Vchodzie"/>
        <w:spacing w:after="120"/>
        <w:jc w:val="both"/>
        <w:rPr>
          <w:color w:val="auto"/>
        </w:rPr>
      </w:pPr>
      <w:r w:rsidRPr="00B76474">
        <w:rPr>
          <w:rFonts w:ascii="Calibri" w:hAnsi="Calibri" w:cs="Calibri"/>
          <w:color w:val="auto"/>
          <w:sz w:val="20"/>
          <w:szCs w:val="20"/>
        </w:rPr>
        <w:t>V prípade prechodného zníženia úžitkovej hodnoty dlhodobého majetku, ktorá bola zistená pri inventarizácii a je výrazne nižšia ako jeho ocenenie v účtovníctve po odpočítaní oprávok, je vytvorená opravná položka na úroveň jeho zistenej úžitkovej hodnoty.</w:t>
      </w:r>
    </w:p>
    <w:p w14:paraId="452E77B4" w14:textId="77777777" w:rsidR="00D633F7" w:rsidRPr="00B76474" w:rsidRDefault="00D633F7" w:rsidP="00D633F7">
      <w:pPr>
        <w:pStyle w:val="Vchodzie"/>
        <w:spacing w:after="120"/>
        <w:jc w:val="both"/>
        <w:rPr>
          <w:color w:val="auto"/>
        </w:rPr>
      </w:pPr>
      <w:r w:rsidRPr="00B76474">
        <w:rPr>
          <w:rFonts w:ascii="Calibri" w:hAnsi="Calibri" w:cs="Calibri"/>
          <w:b/>
          <w:color w:val="auto"/>
          <w:sz w:val="22"/>
          <w:szCs w:val="22"/>
        </w:rPr>
        <w:t>2. Zásoby</w:t>
      </w:r>
    </w:p>
    <w:p w14:paraId="22B30AA3" w14:textId="77777777" w:rsidR="00D633F7" w:rsidRPr="00B76474" w:rsidRDefault="00D633F7" w:rsidP="00D633F7">
      <w:pPr>
        <w:pStyle w:val="Vchodzie"/>
        <w:spacing w:after="120"/>
        <w:jc w:val="both"/>
        <w:rPr>
          <w:color w:val="auto"/>
        </w:rPr>
      </w:pPr>
      <w:r w:rsidRPr="00B76474">
        <w:rPr>
          <w:rFonts w:ascii="Calibri" w:hAnsi="Calibri" w:cs="Calibri"/>
          <w:color w:val="auto"/>
          <w:sz w:val="20"/>
          <w:szCs w:val="20"/>
        </w:rPr>
        <w:t xml:space="preserve">Zásoby nakupované sa oceňujú obstarávacou cenou. Obstarávacia cena zásob sa rozdeľuje na cenu, za ktoré sa zásoby  obstarali, a náklady súvisiace s obstaraním (VON.) vo výške prepravného Pri vyskladnení sa VON rozpúšťajú nasledovne : VON/(PS zásob + príjem zásob) x výdaj zásob. Ostatné náklady súvisiace s obstaraním ako clo, poistné, provízie a pod. znížené o zľavy z ceny , sú súčasťou obstarávacej ceny nakupovaných zásob. Zľava z ceny poskytnutá k už predaným alebo spotrebovaným zásobám sa účtuje ako zníženie nákladov na predané alebo spotrebované zásoby. Spoločnosť účtuje o zásobách spôsobom A tak, ako to definujú postupy účtovania. Úbytok zásob sa účtuje v cene zistenej metódou FIFO. </w:t>
      </w:r>
    </w:p>
    <w:p w14:paraId="49ABC550" w14:textId="77777777" w:rsidR="00D633F7" w:rsidRPr="00B76474" w:rsidRDefault="00D633F7" w:rsidP="00D633F7">
      <w:pPr>
        <w:pStyle w:val="Vchodzie"/>
        <w:spacing w:after="120"/>
        <w:jc w:val="both"/>
        <w:rPr>
          <w:color w:val="auto"/>
        </w:rPr>
      </w:pPr>
      <w:r w:rsidRPr="00B76474">
        <w:rPr>
          <w:rFonts w:ascii="Calibri" w:hAnsi="Calibri" w:cs="Calibri"/>
          <w:color w:val="auto"/>
          <w:sz w:val="20"/>
          <w:szCs w:val="20"/>
        </w:rPr>
        <w:t xml:space="preserve">V prípade prechodného zníženia úžitkovej hodnoty zásob sa tvorí opravná položka. </w:t>
      </w:r>
    </w:p>
    <w:p w14:paraId="5DBD6D72" w14:textId="77777777" w:rsidR="00D633F7" w:rsidRPr="00B76474" w:rsidRDefault="00D633F7" w:rsidP="00D633F7">
      <w:pPr>
        <w:pStyle w:val="Vchodzie"/>
        <w:spacing w:after="120"/>
        <w:jc w:val="both"/>
        <w:rPr>
          <w:color w:val="auto"/>
        </w:rPr>
      </w:pPr>
      <w:r w:rsidRPr="00B76474">
        <w:rPr>
          <w:rFonts w:ascii="Calibri" w:hAnsi="Calibri" w:cs="Calibri"/>
          <w:color w:val="auto"/>
          <w:sz w:val="20"/>
          <w:szCs w:val="20"/>
        </w:rPr>
        <w:t xml:space="preserve">Zásoby vytvorené vlastnou činnosťou oceňuje účtovná jednotka na úrovni vlastných nákladov vo svojej skutočnej výške, alebo vo výške vlastných nákladov podľa operatívnych (plánových) kalkulácií. </w:t>
      </w:r>
    </w:p>
    <w:p w14:paraId="471C9105" w14:textId="77777777" w:rsidR="00D633F7" w:rsidRPr="00B76474" w:rsidRDefault="00D633F7" w:rsidP="00D633F7">
      <w:pPr>
        <w:pStyle w:val="Vchodzie"/>
        <w:spacing w:after="120"/>
        <w:jc w:val="both"/>
        <w:rPr>
          <w:rFonts w:ascii="Calibri" w:hAnsi="Calibri" w:cs="Calibri"/>
          <w:color w:val="auto"/>
          <w:sz w:val="20"/>
          <w:szCs w:val="20"/>
        </w:rPr>
      </w:pPr>
      <w:r w:rsidRPr="00B76474">
        <w:rPr>
          <w:rFonts w:ascii="Calibri" w:hAnsi="Calibri" w:cs="Calibri"/>
          <w:color w:val="auto"/>
          <w:sz w:val="20"/>
          <w:szCs w:val="20"/>
        </w:rPr>
        <w:lastRenderedPageBreak/>
        <w:t>Vlastné náklady zahŕňajú:</w:t>
      </w:r>
    </w:p>
    <w:p w14:paraId="2DF44828" w14:textId="77777777" w:rsidR="00D633F7" w:rsidRPr="00B76474" w:rsidRDefault="00D633F7" w:rsidP="00D633F7">
      <w:pPr>
        <w:pStyle w:val="Vchodzie"/>
        <w:spacing w:after="120"/>
        <w:jc w:val="both"/>
        <w:rPr>
          <w:color w:val="auto"/>
        </w:rPr>
      </w:pPr>
      <w:r w:rsidRPr="00B76474">
        <w:rPr>
          <w:rFonts w:ascii="Calibri" w:hAnsi="Calibri" w:cs="Calibri"/>
          <w:color w:val="auto"/>
          <w:sz w:val="20"/>
          <w:szCs w:val="20"/>
        </w:rPr>
        <w:t xml:space="preserve">▪ priame náklady (priamy materiál, priame mzdy a ostatné priame náklady)  a </w:t>
      </w:r>
    </w:p>
    <w:p w14:paraId="0F80EA1F" w14:textId="77777777" w:rsidR="00D633F7" w:rsidRPr="00B76474" w:rsidRDefault="00D633F7" w:rsidP="00D633F7">
      <w:pPr>
        <w:pStyle w:val="Vchodzie"/>
        <w:spacing w:after="120"/>
        <w:jc w:val="both"/>
        <w:rPr>
          <w:color w:val="auto"/>
        </w:rPr>
      </w:pPr>
      <w:r w:rsidRPr="00B76474">
        <w:rPr>
          <w:rFonts w:ascii="Calibri" w:hAnsi="Calibri" w:cs="Calibri"/>
          <w:color w:val="auto"/>
          <w:sz w:val="20"/>
          <w:szCs w:val="20"/>
        </w:rPr>
        <w:t xml:space="preserve">▪ časť nepriamych nákladov, ktorá sa vzťahuje na výrobu (výrobná réžia). </w:t>
      </w:r>
    </w:p>
    <w:p w14:paraId="5FA25497" w14:textId="77777777" w:rsidR="00D633F7" w:rsidRPr="00B76474" w:rsidRDefault="00D633F7" w:rsidP="00D633F7">
      <w:pPr>
        <w:pStyle w:val="Vchodzie"/>
        <w:spacing w:after="120"/>
        <w:jc w:val="both"/>
        <w:rPr>
          <w:color w:val="auto"/>
        </w:rPr>
      </w:pPr>
      <w:r w:rsidRPr="00B76474">
        <w:rPr>
          <w:rFonts w:ascii="Calibri" w:hAnsi="Calibri" w:cs="Calibri"/>
          <w:color w:val="auto"/>
          <w:sz w:val="20"/>
          <w:szCs w:val="20"/>
        </w:rPr>
        <w:t>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14:paraId="719420EF" w14:textId="77777777" w:rsidR="00D633F7" w:rsidRPr="00B76474" w:rsidRDefault="00D633F7" w:rsidP="00D633F7">
      <w:pPr>
        <w:pStyle w:val="Vchodzie"/>
        <w:spacing w:after="120"/>
        <w:jc w:val="both"/>
        <w:rPr>
          <w:color w:val="auto"/>
        </w:rPr>
      </w:pPr>
      <w:r w:rsidRPr="00B76474">
        <w:rPr>
          <w:rFonts w:ascii="Calibri" w:hAnsi="Calibri" w:cs="Calibri"/>
          <w:b/>
          <w:color w:val="auto"/>
          <w:sz w:val="22"/>
          <w:szCs w:val="22"/>
        </w:rPr>
        <w:t>3. Pohľadávky</w:t>
      </w:r>
    </w:p>
    <w:p w14:paraId="5AC0693C" w14:textId="77777777" w:rsidR="00D633F7" w:rsidRPr="00B76474" w:rsidRDefault="00D633F7" w:rsidP="00D633F7">
      <w:pPr>
        <w:pStyle w:val="Vchodzie"/>
        <w:spacing w:after="120"/>
        <w:jc w:val="both"/>
        <w:rPr>
          <w:color w:val="auto"/>
        </w:rPr>
      </w:pPr>
      <w:r w:rsidRPr="00B76474">
        <w:rPr>
          <w:rFonts w:ascii="Calibri" w:hAnsi="Calibri" w:cs="Calibri"/>
          <w:color w:val="auto"/>
          <w:sz w:val="20"/>
          <w:szCs w:val="20"/>
        </w:rPr>
        <w:t>Pohľadávky sa pri ich vzniku oceňujú ich menovitou hodnotou. Opravná položka sa vytvára k pochybným a nedobytným pohľadávkam, kde existuje riziko nevymožiteľnosti pohľadávok. Spoločnosť tvorí opravné položky k pohľadávkam u týchto pohľadávok:</w:t>
      </w:r>
    </w:p>
    <w:p w14:paraId="2291F8BE" w14:textId="77777777" w:rsidR="00D633F7" w:rsidRPr="00B76474" w:rsidRDefault="00D633F7" w:rsidP="00D633F7">
      <w:pPr>
        <w:pStyle w:val="Vchodzie"/>
        <w:spacing w:after="120"/>
        <w:jc w:val="both"/>
        <w:rPr>
          <w:color w:val="auto"/>
        </w:rPr>
      </w:pPr>
      <w:r w:rsidRPr="00B76474">
        <w:rPr>
          <w:rFonts w:ascii="Calibri" w:hAnsi="Calibri" w:cs="Calibri"/>
          <w:color w:val="auto"/>
          <w:sz w:val="20"/>
          <w:szCs w:val="20"/>
        </w:rPr>
        <w:t>-pohľadávok,  u ktorých sa dá predpokladať, že dlžník pohľadávku nevyrovná čiastočne alebo úplne,</w:t>
      </w:r>
    </w:p>
    <w:p w14:paraId="5500519C" w14:textId="77777777" w:rsidR="00D633F7" w:rsidRPr="00B76474" w:rsidRDefault="00D633F7" w:rsidP="00D633F7">
      <w:pPr>
        <w:pStyle w:val="Vchodzie"/>
        <w:spacing w:after="120"/>
        <w:jc w:val="both"/>
        <w:rPr>
          <w:color w:val="auto"/>
        </w:rPr>
      </w:pPr>
      <w:r w:rsidRPr="00B76474">
        <w:rPr>
          <w:rFonts w:ascii="Calibri" w:hAnsi="Calibri" w:cs="Calibri"/>
          <w:color w:val="auto"/>
          <w:sz w:val="20"/>
          <w:szCs w:val="20"/>
        </w:rPr>
        <w:t xml:space="preserve">-pri sporných pohľadávkach, t.j. k pohľadávkam voči dlžníkom, s ktorými vedie spor o uznanie </w:t>
      </w:r>
    </w:p>
    <w:p w14:paraId="0847BD8B" w14:textId="77777777" w:rsidR="00D633F7" w:rsidRPr="00B76474" w:rsidRDefault="00D633F7" w:rsidP="00D633F7">
      <w:pPr>
        <w:pStyle w:val="Vchodzie"/>
        <w:spacing w:after="120"/>
        <w:jc w:val="both"/>
        <w:rPr>
          <w:color w:val="auto"/>
        </w:rPr>
      </w:pPr>
      <w:r w:rsidRPr="00B76474">
        <w:rPr>
          <w:rFonts w:ascii="Calibri" w:hAnsi="Calibri" w:cs="Calibri"/>
          <w:color w:val="auto"/>
          <w:sz w:val="20"/>
          <w:szCs w:val="20"/>
        </w:rPr>
        <w:t>Spoločnosť tvorí opravné položky nasledovne:</w:t>
      </w:r>
    </w:p>
    <w:p w14:paraId="433F383D" w14:textId="77777777" w:rsidR="00D633F7" w:rsidRPr="00B76474" w:rsidRDefault="00D633F7" w:rsidP="00D633F7">
      <w:pPr>
        <w:pStyle w:val="Vchodzie"/>
        <w:spacing w:after="120"/>
        <w:jc w:val="both"/>
        <w:rPr>
          <w:color w:val="auto"/>
        </w:rPr>
      </w:pPr>
      <w:bookmarkStart w:id="0" w:name="__DdeLink__613_1483637937"/>
      <w:bookmarkEnd w:id="0"/>
      <w:r w:rsidRPr="00B76474">
        <w:rPr>
          <w:rFonts w:ascii="Calibri" w:hAnsi="Calibri" w:cs="Calibri"/>
          <w:color w:val="auto"/>
          <w:sz w:val="20"/>
          <w:szCs w:val="20"/>
        </w:rPr>
        <w:t>1080 dní, sa zahrnie do výdavkov do výšky 100% menovitej hodnoty pohľadávky alebo jej nesplatenej časti bez príslušenstva v zdaňovacom období v ktorom uplynula táto doba</w:t>
      </w:r>
    </w:p>
    <w:p w14:paraId="6B5D6595" w14:textId="77777777" w:rsidR="00D633F7" w:rsidRPr="00B76474" w:rsidRDefault="00D633F7" w:rsidP="00D633F7">
      <w:pPr>
        <w:pStyle w:val="Vchodzie"/>
        <w:spacing w:after="120"/>
        <w:jc w:val="both"/>
        <w:rPr>
          <w:color w:val="auto"/>
        </w:rPr>
      </w:pPr>
      <w:r w:rsidRPr="00B76474">
        <w:rPr>
          <w:rFonts w:ascii="Calibri" w:hAnsi="Calibri" w:cs="Calibri"/>
          <w:b/>
          <w:color w:val="auto"/>
          <w:sz w:val="22"/>
          <w:szCs w:val="22"/>
        </w:rPr>
        <w:t>4. Finančné účty</w:t>
      </w:r>
    </w:p>
    <w:p w14:paraId="790EF4C5" w14:textId="77777777" w:rsidR="00D633F7" w:rsidRPr="00B76474" w:rsidRDefault="00D633F7" w:rsidP="00D633F7">
      <w:pPr>
        <w:pStyle w:val="Vchodzie"/>
        <w:spacing w:after="120"/>
        <w:jc w:val="both"/>
        <w:rPr>
          <w:color w:val="auto"/>
        </w:rPr>
      </w:pPr>
      <w:r w:rsidRPr="00B76474">
        <w:rPr>
          <w:rFonts w:ascii="Calibri" w:hAnsi="Calibri" w:cs="Calibri"/>
          <w:color w:val="auto"/>
          <w:sz w:val="20"/>
          <w:szCs w:val="20"/>
        </w:rPr>
        <w:t xml:space="preserve">Finančné účty tvorí peňažná hotovosť, zostatky na bankových účtoch a ceniny. </w:t>
      </w:r>
    </w:p>
    <w:p w14:paraId="4DD11C48" w14:textId="77777777" w:rsidR="00D633F7" w:rsidRPr="00B76474" w:rsidRDefault="00D633F7" w:rsidP="00D633F7">
      <w:pPr>
        <w:pStyle w:val="Vchodzie"/>
        <w:spacing w:after="120"/>
        <w:jc w:val="both"/>
        <w:rPr>
          <w:color w:val="auto"/>
        </w:rPr>
      </w:pPr>
      <w:r w:rsidRPr="00B76474">
        <w:rPr>
          <w:rFonts w:ascii="Calibri" w:hAnsi="Calibri" w:cs="Calibri"/>
          <w:b/>
          <w:color w:val="auto"/>
          <w:sz w:val="22"/>
          <w:szCs w:val="22"/>
        </w:rPr>
        <w:t>5. Náklady budúcich období a príjmy budúcich období</w:t>
      </w:r>
    </w:p>
    <w:p w14:paraId="6A36D397" w14:textId="77777777" w:rsidR="00D633F7" w:rsidRPr="00B76474" w:rsidRDefault="00D633F7" w:rsidP="00D633F7">
      <w:pPr>
        <w:pStyle w:val="Vchodzie"/>
        <w:spacing w:after="120"/>
        <w:jc w:val="both"/>
        <w:rPr>
          <w:color w:val="auto"/>
        </w:rPr>
      </w:pPr>
      <w:r w:rsidRPr="00B76474">
        <w:rPr>
          <w:rFonts w:ascii="Calibri" w:hAnsi="Calibri" w:cs="Calibri"/>
          <w:color w:val="auto"/>
          <w:sz w:val="20"/>
          <w:szCs w:val="20"/>
        </w:rPr>
        <w:t>Náklady budúcich období a príjmy budúcich období sú vykázané vo výške, ktorá je potrebná na dodržanie zásady vecnej a časovej súvislosti s účtovným obdobím.</w:t>
      </w:r>
    </w:p>
    <w:p w14:paraId="5460351A" w14:textId="77777777" w:rsidR="00D633F7" w:rsidRPr="00B76474" w:rsidRDefault="00D633F7" w:rsidP="00D633F7">
      <w:pPr>
        <w:pStyle w:val="Vchodzie"/>
        <w:spacing w:after="120"/>
        <w:jc w:val="both"/>
        <w:rPr>
          <w:color w:val="auto"/>
        </w:rPr>
      </w:pPr>
      <w:r w:rsidRPr="00B76474">
        <w:rPr>
          <w:rFonts w:ascii="Calibri" w:hAnsi="Calibri" w:cs="Calibri"/>
          <w:b/>
          <w:color w:val="auto"/>
          <w:sz w:val="22"/>
          <w:szCs w:val="22"/>
        </w:rPr>
        <w:t>6. Opravné položky</w:t>
      </w:r>
    </w:p>
    <w:p w14:paraId="09E1F9D8" w14:textId="77777777" w:rsidR="00D633F7" w:rsidRPr="00B76474" w:rsidRDefault="00D633F7" w:rsidP="00D633F7">
      <w:pPr>
        <w:pStyle w:val="Vchodzie"/>
        <w:spacing w:after="120"/>
        <w:jc w:val="both"/>
        <w:rPr>
          <w:color w:val="auto"/>
        </w:rPr>
      </w:pPr>
      <w:r w:rsidRPr="00B76474">
        <w:rPr>
          <w:rFonts w:ascii="Calibri" w:hAnsi="Calibri" w:cs="Calibri"/>
          <w:color w:val="auto"/>
          <w:sz w:val="20"/>
          <w:szCs w:val="20"/>
        </w:rPr>
        <w:t>Opravné položky sa tvoria na základe zásady opatrnosti, ak je opodstatnené predpokladať, že došlo k zníženiu hodnoty majetku oproti jeho oceneniu v účtovníctve. Opravná položka sa účtuje v sume opodstatneného predpokladu zníženia hodnoty majetku oproti jeho oceneniu v účtovníctve.</w:t>
      </w:r>
    </w:p>
    <w:p w14:paraId="3D3A8D50" w14:textId="77777777" w:rsidR="00D633F7" w:rsidRPr="00B76474" w:rsidRDefault="00D633F7" w:rsidP="00D633F7">
      <w:pPr>
        <w:pStyle w:val="Vchodzie"/>
        <w:spacing w:after="120"/>
        <w:jc w:val="both"/>
        <w:rPr>
          <w:color w:val="auto"/>
        </w:rPr>
      </w:pPr>
      <w:r w:rsidRPr="00B76474">
        <w:rPr>
          <w:rFonts w:ascii="Calibri" w:hAnsi="Calibri" w:cs="Calibri"/>
          <w:b/>
          <w:color w:val="auto"/>
          <w:sz w:val="22"/>
          <w:szCs w:val="22"/>
        </w:rPr>
        <w:t xml:space="preserve"> 7. Rezervy</w:t>
      </w:r>
    </w:p>
    <w:p w14:paraId="0A4C1899" w14:textId="77777777" w:rsidR="00D633F7" w:rsidRPr="00B76474" w:rsidRDefault="00D633F7" w:rsidP="00D633F7">
      <w:pPr>
        <w:pStyle w:val="Vchodzie"/>
        <w:spacing w:after="120"/>
        <w:jc w:val="both"/>
        <w:rPr>
          <w:color w:val="auto"/>
        </w:rPr>
      </w:pPr>
      <w:r w:rsidRPr="00B76474">
        <w:rPr>
          <w:rFonts w:ascii="Calibri" w:hAnsi="Calibri" w:cs="Calibri"/>
          <w:color w:val="auto"/>
          <w:sz w:val="20"/>
          <w:szCs w:val="20"/>
        </w:rPr>
        <w:t>Rezerva je záväzok predstavujúci existujúcu povinnosť spoločnosti, ktorá vznikla z minulých udalostí a je pravdepodobné, že v budúcnosti zníži jej ekonomické úžitky. Rezervy sú záväzky s neurčitým časovým vymedzením alebo výškou a oceňujú sa odhadom v sume potrebnej na splnenie existujúcej povinnosti ku dňu, ku ktorému sa zostavuje účtovná závierka.</w:t>
      </w:r>
    </w:p>
    <w:p w14:paraId="24585397" w14:textId="77777777" w:rsidR="00D633F7" w:rsidRPr="00B76474" w:rsidRDefault="00D633F7" w:rsidP="00D633F7">
      <w:pPr>
        <w:pStyle w:val="Vchodzie"/>
        <w:spacing w:after="120"/>
        <w:jc w:val="both"/>
        <w:rPr>
          <w:color w:val="auto"/>
        </w:rPr>
      </w:pPr>
      <w:r w:rsidRPr="00B76474">
        <w:rPr>
          <w:rFonts w:ascii="Calibri" w:hAnsi="Calibri" w:cs="Calibri"/>
          <w:color w:val="auto"/>
          <w:sz w:val="20"/>
          <w:szCs w:val="20"/>
        </w:rPr>
        <w:t>Tvorba rezervy sa účtuje na vecne príslušný nákladový alebo majetkový účet, ku ktorému záväzok prislúcha. Použitie rezervy sa účtuje na ťarchu vecne príslušného účtu rezerv so súvzťažným zápisom v prospech vecne príslušného účtu záväzkov. Rozpustenie nepotrebnej rezervy alebo jej časti sa účtuje opačným účtovným zápisom ako sa účtovala tvorba rezervy.</w:t>
      </w:r>
    </w:p>
    <w:p w14:paraId="6B8B8F8F" w14:textId="77777777" w:rsidR="00D633F7" w:rsidRPr="00B76474" w:rsidRDefault="00D633F7" w:rsidP="00D633F7">
      <w:pPr>
        <w:pStyle w:val="Vchodzie"/>
        <w:spacing w:after="120"/>
        <w:jc w:val="both"/>
        <w:rPr>
          <w:color w:val="auto"/>
        </w:rPr>
      </w:pPr>
      <w:r w:rsidRPr="00B76474">
        <w:rPr>
          <w:rFonts w:ascii="Calibri" w:hAnsi="Calibri" w:cs="Calibri"/>
          <w:color w:val="auto"/>
          <w:sz w:val="20"/>
          <w:szCs w:val="20"/>
        </w:rPr>
        <w:t>Rezerva na bonusy, rabaty, skontá a vrátenie kúpnej ceny pri reklamácii sa tvorí ako zníženie pôvodne dosiahnutých výnosov so súvzťažným zápisom v prospech účtu rezerv.</w:t>
      </w:r>
    </w:p>
    <w:p w14:paraId="640F5AA2" w14:textId="77777777" w:rsidR="00D633F7" w:rsidRPr="00B76474" w:rsidRDefault="00D633F7" w:rsidP="00D633F7">
      <w:pPr>
        <w:pStyle w:val="Vchodzie"/>
        <w:spacing w:after="120"/>
        <w:jc w:val="both"/>
        <w:rPr>
          <w:rFonts w:ascii="Calibri" w:hAnsi="Calibri" w:cs="Calibri"/>
          <w:color w:val="auto"/>
          <w:sz w:val="20"/>
          <w:szCs w:val="20"/>
        </w:rPr>
      </w:pPr>
      <w:r w:rsidRPr="00B76474">
        <w:rPr>
          <w:rFonts w:ascii="Calibri" w:hAnsi="Calibri" w:cs="Calibri"/>
          <w:color w:val="auto"/>
          <w:sz w:val="20"/>
          <w:szCs w:val="20"/>
        </w:rPr>
        <w:t>Spoločnosť tvorila zákonné rezervy na zostatkové dovolenky a odvody z týchto súm  a z ostatných rezerv vytvorila rezervu na  overenie účtovnej závierky a výročnej správy. Spoločnosť predpokladá, že rezervy použije v roku 201</w:t>
      </w:r>
      <w:r>
        <w:rPr>
          <w:rFonts w:ascii="Calibri" w:hAnsi="Calibri" w:cs="Calibri"/>
          <w:color w:val="auto"/>
          <w:sz w:val="20"/>
          <w:szCs w:val="20"/>
        </w:rPr>
        <w:t>9</w:t>
      </w:r>
      <w:r w:rsidRPr="00B76474">
        <w:rPr>
          <w:rFonts w:ascii="Calibri" w:hAnsi="Calibri" w:cs="Calibri"/>
          <w:color w:val="auto"/>
          <w:sz w:val="20"/>
          <w:szCs w:val="20"/>
        </w:rPr>
        <w:t>.</w:t>
      </w:r>
    </w:p>
    <w:p w14:paraId="3C14D217" w14:textId="77777777" w:rsidR="00D633F7" w:rsidRPr="00B76474" w:rsidRDefault="00D633F7" w:rsidP="00D633F7">
      <w:pPr>
        <w:pStyle w:val="Vchodzie"/>
        <w:spacing w:after="120"/>
        <w:jc w:val="both"/>
        <w:rPr>
          <w:color w:val="auto"/>
        </w:rPr>
      </w:pPr>
    </w:p>
    <w:p w14:paraId="05CCA303" w14:textId="77777777" w:rsidR="00D633F7" w:rsidRPr="00B76474" w:rsidRDefault="00D633F7" w:rsidP="00D633F7">
      <w:pPr>
        <w:pStyle w:val="Vchodzie"/>
        <w:spacing w:after="120"/>
        <w:jc w:val="both"/>
        <w:rPr>
          <w:color w:val="auto"/>
        </w:rPr>
      </w:pPr>
      <w:r w:rsidRPr="00B76474">
        <w:rPr>
          <w:rFonts w:ascii="Calibri" w:hAnsi="Calibri" w:cs="Calibri"/>
          <w:b/>
          <w:color w:val="auto"/>
          <w:sz w:val="22"/>
          <w:szCs w:val="22"/>
        </w:rPr>
        <w:t>8.  Záväzky</w:t>
      </w:r>
    </w:p>
    <w:p w14:paraId="169657B9" w14:textId="77777777" w:rsidR="00D633F7" w:rsidRPr="00B76474" w:rsidRDefault="00D633F7" w:rsidP="00D633F7">
      <w:pPr>
        <w:pStyle w:val="Vchodzie"/>
        <w:spacing w:after="120"/>
        <w:jc w:val="both"/>
        <w:rPr>
          <w:color w:val="auto"/>
        </w:rPr>
      </w:pPr>
      <w:r w:rsidRPr="00B76474">
        <w:rPr>
          <w:rFonts w:ascii="Calibri" w:hAnsi="Calibri" w:cs="Calibri"/>
          <w:color w:val="auto"/>
          <w:sz w:val="20"/>
          <w:szCs w:val="20"/>
        </w:rPr>
        <w:t xml:space="preserve">Záväzky pri ich vzniku sa oceňujú menovitou hodnotou. Záväzky pri ich prevzatí sa oceňujú obstarávacou cenou. </w:t>
      </w:r>
    </w:p>
    <w:p w14:paraId="20B01F70" w14:textId="77777777" w:rsidR="00D633F7" w:rsidRPr="00B76474" w:rsidRDefault="00D633F7" w:rsidP="00D633F7">
      <w:pPr>
        <w:pStyle w:val="Vchodzie"/>
        <w:spacing w:after="120"/>
        <w:jc w:val="both"/>
        <w:rPr>
          <w:color w:val="auto"/>
        </w:rPr>
      </w:pPr>
      <w:r w:rsidRPr="00B76474">
        <w:rPr>
          <w:rFonts w:ascii="Calibri" w:hAnsi="Calibri" w:cs="Calibri"/>
          <w:b/>
          <w:color w:val="auto"/>
          <w:sz w:val="22"/>
          <w:szCs w:val="22"/>
        </w:rPr>
        <w:t>9. Zamestnanecké požitky</w:t>
      </w:r>
    </w:p>
    <w:p w14:paraId="1FB2CD41" w14:textId="77777777" w:rsidR="00D633F7" w:rsidRPr="00B76474" w:rsidRDefault="00D633F7" w:rsidP="00D633F7">
      <w:pPr>
        <w:pStyle w:val="Vchodzie"/>
        <w:spacing w:after="120"/>
        <w:jc w:val="both"/>
        <w:rPr>
          <w:color w:val="auto"/>
        </w:rPr>
      </w:pPr>
      <w:r w:rsidRPr="00B76474">
        <w:rPr>
          <w:rFonts w:ascii="Calibri" w:hAnsi="Calibri" w:cs="Calibri"/>
          <w:color w:val="auto"/>
          <w:sz w:val="20"/>
          <w:szCs w:val="20"/>
        </w:rPr>
        <w:t>Platy, mzdy, príspevky do štátnych dôchodkových a poistných fondov, platená ročná dovolenka a  bonusy a ostatné nepeňažné požitky (napr. zdravotná starostlivosť, poistenie zodpovednosti za škodu) sa účtujú v účtovnom období, s ktorým vecne a časovo súvisia.</w:t>
      </w:r>
    </w:p>
    <w:p w14:paraId="2978E79E" w14:textId="77777777" w:rsidR="00D633F7" w:rsidRPr="00B76474" w:rsidRDefault="00D633F7" w:rsidP="00D633F7">
      <w:pPr>
        <w:pStyle w:val="Vchodzie"/>
        <w:spacing w:after="120"/>
        <w:jc w:val="both"/>
        <w:rPr>
          <w:color w:val="auto"/>
        </w:rPr>
      </w:pPr>
      <w:r w:rsidRPr="00B76474">
        <w:rPr>
          <w:rFonts w:ascii="Calibri" w:hAnsi="Calibri" w:cs="Calibri"/>
          <w:color w:val="auto"/>
          <w:sz w:val="20"/>
          <w:szCs w:val="20"/>
        </w:rPr>
        <w:lastRenderedPageBreak/>
        <w:t xml:space="preserve">Zamestnanec má na základe Zákonníka práce pri odchode do starobného dôchodku nárok na odmenu vo výške jednej priemernej mesačnej mzdy.    </w:t>
      </w:r>
    </w:p>
    <w:p w14:paraId="1E5A6A4C" w14:textId="77777777" w:rsidR="00D633F7" w:rsidRPr="00B76474" w:rsidRDefault="00D633F7" w:rsidP="00D633F7">
      <w:pPr>
        <w:pStyle w:val="Vchodzie"/>
        <w:spacing w:after="120"/>
        <w:jc w:val="both"/>
        <w:rPr>
          <w:color w:val="auto"/>
        </w:rPr>
      </w:pPr>
      <w:r w:rsidRPr="00B76474">
        <w:rPr>
          <w:rFonts w:ascii="Calibri" w:hAnsi="Calibri" w:cs="Calibri"/>
          <w:b/>
          <w:color w:val="auto"/>
          <w:sz w:val="22"/>
          <w:szCs w:val="22"/>
        </w:rPr>
        <w:t>10. Splatná daň z príjmu</w:t>
      </w:r>
    </w:p>
    <w:p w14:paraId="0DACAD8B" w14:textId="77777777" w:rsidR="00D633F7" w:rsidRPr="00B76474" w:rsidRDefault="00D633F7" w:rsidP="00D633F7">
      <w:pPr>
        <w:pStyle w:val="Vchodzie"/>
        <w:spacing w:after="120"/>
        <w:jc w:val="both"/>
        <w:rPr>
          <w:color w:val="auto"/>
        </w:rPr>
      </w:pPr>
      <w:r w:rsidRPr="00B76474">
        <w:rPr>
          <w:rFonts w:ascii="Calibri" w:hAnsi="Calibri" w:cs="Calibri"/>
          <w:color w:val="auto"/>
          <w:sz w:val="20"/>
          <w:szCs w:val="20"/>
        </w:rPr>
        <w:t>Daň z príjmov sa účtuje do nákladov spoločnosti v období vzniku daňovej povinnosti a v priloženom výkaze ziskov a strát spoločnosti je vypočítaná zo základu vyplývajúceho z hospodárskeho výsledku pred zdanením, ktorý bol upravený o pripočítateľné a odpočítateľné položky z titulu trvalých a dočasných úprav daňového základu a umorenia straty. Daňový záväzok je uvedený po znížení o preddavky na daň z príjmov, ktoré spoločnosť uhradila v priebehu roka. V prípade, že uhradené preddavky na daň z príjmu v priebehu roka sú vyššie ako daňová povinnosť za tento rok, spoločnosť vykazuje výsledný daňový záväzok.</w:t>
      </w:r>
    </w:p>
    <w:p w14:paraId="348A6F5C" w14:textId="77777777" w:rsidR="00D633F7" w:rsidRPr="00B76474" w:rsidRDefault="00D633F7" w:rsidP="00D633F7">
      <w:pPr>
        <w:pStyle w:val="Vchodzie"/>
        <w:spacing w:after="120"/>
        <w:jc w:val="both"/>
        <w:rPr>
          <w:color w:val="auto"/>
        </w:rPr>
      </w:pPr>
      <w:r w:rsidRPr="00B76474">
        <w:rPr>
          <w:rFonts w:ascii="Calibri" w:hAnsi="Calibri" w:cs="Calibri"/>
          <w:b/>
          <w:color w:val="auto"/>
          <w:sz w:val="22"/>
          <w:szCs w:val="22"/>
        </w:rPr>
        <w:t>11. Odložená daň z príjmu</w:t>
      </w:r>
    </w:p>
    <w:p w14:paraId="3DDEE94C" w14:textId="77777777" w:rsidR="00D633F7" w:rsidRPr="00B76474" w:rsidRDefault="00D633F7" w:rsidP="00D633F7">
      <w:pPr>
        <w:pStyle w:val="Vchodzie"/>
        <w:spacing w:after="120"/>
        <w:jc w:val="both"/>
        <w:rPr>
          <w:color w:val="auto"/>
        </w:rPr>
      </w:pPr>
      <w:r w:rsidRPr="00B76474">
        <w:rPr>
          <w:rFonts w:ascii="Calibri" w:hAnsi="Calibri" w:cs="Calibri"/>
          <w:color w:val="auto"/>
          <w:sz w:val="20"/>
          <w:szCs w:val="20"/>
        </w:rPr>
        <w:t>Odložená daň z príjmu vyplýva z:</w:t>
      </w:r>
    </w:p>
    <w:p w14:paraId="2BA8F063" w14:textId="77777777" w:rsidR="00D633F7" w:rsidRPr="00B76474" w:rsidRDefault="00D633F7" w:rsidP="00D633F7">
      <w:pPr>
        <w:pStyle w:val="Vchodzie"/>
        <w:spacing w:after="120"/>
        <w:jc w:val="both"/>
        <w:rPr>
          <w:color w:val="auto"/>
        </w:rPr>
      </w:pPr>
      <w:r w:rsidRPr="00B76474">
        <w:rPr>
          <w:rFonts w:ascii="Calibri" w:hAnsi="Calibri" w:cs="Calibri"/>
          <w:color w:val="auto"/>
          <w:sz w:val="20"/>
          <w:szCs w:val="20"/>
        </w:rPr>
        <w:t xml:space="preserve">a) rozdielov medzi účtovnou hodnotou majetku a účtovnou hodnotou záväzkov vykázanou v súvahe </w:t>
      </w:r>
      <w:r w:rsidRPr="00B76474">
        <w:rPr>
          <w:rFonts w:ascii="Calibri" w:hAnsi="Calibri" w:cs="Calibri"/>
          <w:color w:val="auto"/>
          <w:sz w:val="20"/>
          <w:szCs w:val="20"/>
        </w:rPr>
        <w:tab/>
        <w:t>a ich daňovou základňou,</w:t>
      </w:r>
    </w:p>
    <w:p w14:paraId="0B1ACF66" w14:textId="77777777" w:rsidR="00D633F7" w:rsidRPr="00B76474" w:rsidRDefault="00D633F7" w:rsidP="00D633F7">
      <w:pPr>
        <w:pStyle w:val="Vchodzie"/>
        <w:spacing w:after="120"/>
        <w:jc w:val="both"/>
        <w:rPr>
          <w:color w:val="auto"/>
        </w:rPr>
      </w:pPr>
      <w:r w:rsidRPr="00B76474">
        <w:rPr>
          <w:rFonts w:ascii="Calibri" w:hAnsi="Calibri" w:cs="Calibri"/>
          <w:color w:val="auto"/>
          <w:sz w:val="20"/>
          <w:szCs w:val="20"/>
        </w:rPr>
        <w:t xml:space="preserve">b) možnosti umorovať daňovú stratu v budúcnosti, pod ktorou sa rozumie možnosť odpočítať daňovú </w:t>
      </w:r>
      <w:r w:rsidRPr="00B76474">
        <w:rPr>
          <w:rFonts w:ascii="Calibri" w:hAnsi="Calibri" w:cs="Calibri"/>
          <w:color w:val="auto"/>
          <w:sz w:val="20"/>
          <w:szCs w:val="20"/>
        </w:rPr>
        <w:tab/>
        <w:t>stratu od základu dane v budúcnosti,</w:t>
      </w:r>
    </w:p>
    <w:p w14:paraId="1E932FD5" w14:textId="77777777" w:rsidR="00D633F7" w:rsidRPr="00B76474" w:rsidRDefault="00D633F7" w:rsidP="00D633F7">
      <w:pPr>
        <w:pStyle w:val="Vchodzie"/>
        <w:spacing w:after="120"/>
        <w:jc w:val="both"/>
        <w:rPr>
          <w:color w:val="auto"/>
        </w:rPr>
      </w:pPr>
      <w:r w:rsidRPr="00B76474">
        <w:rPr>
          <w:rFonts w:ascii="Calibri" w:hAnsi="Calibri" w:cs="Calibri"/>
          <w:color w:val="auto"/>
          <w:sz w:val="20"/>
          <w:szCs w:val="20"/>
        </w:rPr>
        <w:t>c) možnosti previesť nevyužité daňové odpočty a iné daňové nároky do budúcich období.</w:t>
      </w:r>
    </w:p>
    <w:p w14:paraId="0F9EC590" w14:textId="77777777" w:rsidR="00D633F7" w:rsidRPr="00B76474" w:rsidRDefault="00D633F7" w:rsidP="00D633F7">
      <w:pPr>
        <w:pStyle w:val="Vchodzie"/>
        <w:spacing w:after="120"/>
        <w:jc w:val="both"/>
        <w:rPr>
          <w:color w:val="auto"/>
        </w:rPr>
      </w:pPr>
      <w:r w:rsidRPr="00B76474">
        <w:rPr>
          <w:rFonts w:ascii="Calibri" w:hAnsi="Calibri" w:cs="Calibri"/>
          <w:color w:val="auto"/>
          <w:sz w:val="20"/>
          <w:szCs w:val="20"/>
        </w:rPr>
        <w:t>Odložená daňová pohľadávka sa účtuje iba do takej výšky, do akej je pravdepodobné, že bude možné dočasné rozdiely vyrovnať voči budúcemu základu dane.</w:t>
      </w:r>
    </w:p>
    <w:p w14:paraId="590DEE37" w14:textId="77777777" w:rsidR="00D633F7" w:rsidRPr="00B76474" w:rsidRDefault="00D633F7" w:rsidP="00D633F7">
      <w:pPr>
        <w:pStyle w:val="Vchodzie"/>
        <w:spacing w:after="120"/>
        <w:jc w:val="both"/>
        <w:rPr>
          <w:color w:val="auto"/>
        </w:rPr>
      </w:pPr>
      <w:r w:rsidRPr="00B76474">
        <w:rPr>
          <w:rFonts w:ascii="Calibri" w:hAnsi="Calibri" w:cs="Calibri"/>
          <w:color w:val="auto"/>
          <w:sz w:val="20"/>
          <w:szCs w:val="20"/>
        </w:rPr>
        <w:t xml:space="preserve">Pri výpočte odloženej dane sa použije sadzba dane z príjmov, o ktorej sa predpokladá, že bude platiť v čase vyrovnania odloženej dane. </w:t>
      </w:r>
    </w:p>
    <w:p w14:paraId="0678AA12" w14:textId="77777777" w:rsidR="00D633F7" w:rsidRPr="00B76474" w:rsidRDefault="00D633F7" w:rsidP="00D633F7">
      <w:pPr>
        <w:pStyle w:val="Vchodzie"/>
        <w:spacing w:after="120"/>
        <w:jc w:val="both"/>
        <w:rPr>
          <w:color w:val="auto"/>
        </w:rPr>
      </w:pPr>
      <w:r w:rsidRPr="00B76474">
        <w:rPr>
          <w:rFonts w:ascii="Calibri" w:hAnsi="Calibri" w:cs="Calibri"/>
          <w:b/>
          <w:color w:val="auto"/>
          <w:sz w:val="22"/>
          <w:szCs w:val="22"/>
        </w:rPr>
        <w:t>12. Výdavky budúcich období a výnosy budúcich období</w:t>
      </w:r>
    </w:p>
    <w:p w14:paraId="5E213234" w14:textId="77777777" w:rsidR="00D633F7" w:rsidRPr="00B76474" w:rsidRDefault="00D633F7" w:rsidP="00D633F7">
      <w:pPr>
        <w:pStyle w:val="Vchodzie"/>
        <w:spacing w:after="120"/>
        <w:jc w:val="both"/>
        <w:rPr>
          <w:color w:val="auto"/>
        </w:rPr>
      </w:pPr>
      <w:r w:rsidRPr="00B76474">
        <w:rPr>
          <w:rFonts w:ascii="Calibri" w:hAnsi="Calibri" w:cs="Calibri"/>
          <w:color w:val="auto"/>
          <w:sz w:val="20"/>
          <w:szCs w:val="20"/>
        </w:rPr>
        <w:t>Výdavky budúcich období a výnosy budúcich období sú vykázané vo výške, ktorá je potrebná na dodržanie zásady vecnej a časovej súvislosti s účtovným obdobím.</w:t>
      </w:r>
    </w:p>
    <w:p w14:paraId="3A8FE18A" w14:textId="77777777" w:rsidR="00D633F7" w:rsidRPr="00B76474" w:rsidRDefault="00D633F7" w:rsidP="00D633F7">
      <w:pPr>
        <w:pStyle w:val="Vchodzie"/>
        <w:spacing w:after="120"/>
        <w:jc w:val="both"/>
        <w:rPr>
          <w:color w:val="auto"/>
        </w:rPr>
      </w:pPr>
      <w:r w:rsidRPr="00B76474">
        <w:rPr>
          <w:rFonts w:ascii="Calibri" w:hAnsi="Calibri" w:cs="Calibri"/>
          <w:b/>
          <w:color w:val="auto"/>
          <w:sz w:val="22"/>
          <w:szCs w:val="22"/>
        </w:rPr>
        <w:t>13. Leasing (Spoločnosť je nájomca)</w:t>
      </w:r>
    </w:p>
    <w:p w14:paraId="3CCC2D25" w14:textId="77777777" w:rsidR="00D633F7" w:rsidRPr="00B76474" w:rsidRDefault="00D633F7" w:rsidP="00D633F7">
      <w:pPr>
        <w:pStyle w:val="Vchodzie"/>
        <w:spacing w:after="120"/>
        <w:jc w:val="both"/>
        <w:rPr>
          <w:color w:val="auto"/>
        </w:rPr>
      </w:pPr>
      <w:r w:rsidRPr="00B76474">
        <w:rPr>
          <w:rFonts w:ascii="Calibri" w:hAnsi="Calibri" w:cs="Calibri"/>
          <w:color w:val="auto"/>
          <w:sz w:val="20"/>
          <w:szCs w:val="20"/>
        </w:rPr>
        <w:t xml:space="preserve">Finančný leasing. Finančný leasing je obstaranie dlhodobého hmotného majetku na základe nájomnej zmluvy s dojednaným právom kúpy prenajatej veci za dohodnuté platby počas dohodnutej doby nájmu tohto majetku. Súčasťou dohodnutých platieb je aj kúpna cena, za ktorú na konci dohodnutej doby prechádza vlastnícke právo k prenajatému majetku z prenajímateľa na nájomcu. Dohodnutá doba nájmu je najmenej 60% doby odpisovania podľa daňových predpisov, nie však menej ako 3 roky. Finančné náklady sa vykazujú ako úroky. </w:t>
      </w:r>
    </w:p>
    <w:p w14:paraId="7FECBF40" w14:textId="77777777" w:rsidR="00D633F7" w:rsidRPr="00B76474" w:rsidRDefault="00D633F7" w:rsidP="00D633F7">
      <w:pPr>
        <w:pStyle w:val="Vchodzie"/>
        <w:spacing w:after="120"/>
        <w:jc w:val="both"/>
        <w:rPr>
          <w:color w:val="auto"/>
        </w:rPr>
      </w:pPr>
      <w:r w:rsidRPr="00B76474">
        <w:rPr>
          <w:rFonts w:ascii="Calibri" w:hAnsi="Calibri" w:cs="Calibri"/>
          <w:color w:val="auto"/>
          <w:sz w:val="20"/>
          <w:szCs w:val="20"/>
        </w:rPr>
        <w:t>Finančný leasing (zmluvy uzatvorené po 1. januári 2004) sa aktivuje v účtovníctve nájomcu v deň prijatia majetku na príslušný účet majetku so súvzťažným zápisom v prospech záväzkov z nájmu v ocenení, ktoré sa rovná celkovej výške dohodnutých platieb znížených o nerealizované finančné náklady. Majetok obstaraný formou finančného prenájmu sa odpisuje v účtovníctve nájomcu.</w:t>
      </w:r>
    </w:p>
    <w:p w14:paraId="38720026" w14:textId="77777777" w:rsidR="00D633F7" w:rsidRPr="00B76474" w:rsidRDefault="00D633F7" w:rsidP="00D633F7">
      <w:pPr>
        <w:pStyle w:val="Vchodzie"/>
        <w:spacing w:after="120"/>
        <w:jc w:val="both"/>
        <w:rPr>
          <w:color w:val="auto"/>
        </w:rPr>
      </w:pPr>
      <w:r w:rsidRPr="00B76474">
        <w:rPr>
          <w:rFonts w:ascii="Calibri" w:hAnsi="Calibri" w:cs="Calibri"/>
          <w:b/>
          <w:color w:val="auto"/>
          <w:sz w:val="22"/>
          <w:szCs w:val="22"/>
        </w:rPr>
        <w:t>14. Cudzia mena</w:t>
      </w:r>
    </w:p>
    <w:p w14:paraId="087C7C10" w14:textId="77777777" w:rsidR="00D633F7" w:rsidRPr="00B76474" w:rsidRDefault="00D633F7" w:rsidP="00D633F7">
      <w:pPr>
        <w:pStyle w:val="Vchodzie"/>
        <w:spacing w:after="120"/>
        <w:jc w:val="both"/>
        <w:rPr>
          <w:color w:val="auto"/>
        </w:rPr>
      </w:pPr>
      <w:r w:rsidRPr="00B76474">
        <w:rPr>
          <w:rFonts w:ascii="Calibri" w:hAnsi="Calibri" w:cs="Calibri"/>
          <w:color w:val="auto"/>
          <w:sz w:val="20"/>
          <w:szCs w:val="20"/>
        </w:rPr>
        <w:t xml:space="preserve">Majetok a záväzky vyjadrené v cudzej mene (okrem preddavkov prijatých a poskytnutých) sa prepočítavajú na eurá referenčným výmenným kurzom určeným a vyhláseným Európskou centrálnou bankou alebo Národnou bankou Slovenska v deň predchádzajúci dňu uskutočnenia účtovného prípadu alebo v deň, ku ktorému sa zostavuje účtovná závierka. Vzniknuté kurzové rozdiely sa účtujú s vplyvom na výsledok hospodárenia. </w:t>
      </w:r>
    </w:p>
    <w:p w14:paraId="2AB02584" w14:textId="77777777" w:rsidR="00D633F7" w:rsidRPr="00B76474" w:rsidRDefault="00D633F7" w:rsidP="00D633F7">
      <w:pPr>
        <w:pStyle w:val="Vchodzie"/>
        <w:spacing w:after="120"/>
        <w:jc w:val="both"/>
        <w:rPr>
          <w:color w:val="auto"/>
        </w:rPr>
      </w:pPr>
      <w:r w:rsidRPr="00B76474">
        <w:rPr>
          <w:rFonts w:ascii="Calibri" w:hAnsi="Calibri" w:cs="Calibri"/>
          <w:b/>
          <w:color w:val="auto"/>
          <w:sz w:val="22"/>
          <w:szCs w:val="22"/>
        </w:rPr>
        <w:t>15. Vykazovanie výnosov</w:t>
      </w:r>
    </w:p>
    <w:p w14:paraId="429BF92B" w14:textId="77777777" w:rsidR="00D633F7" w:rsidRPr="00B76474" w:rsidRDefault="00D633F7" w:rsidP="00D633F7">
      <w:pPr>
        <w:pStyle w:val="Vchodzie"/>
        <w:spacing w:after="120"/>
        <w:jc w:val="both"/>
        <w:rPr>
          <w:color w:val="auto"/>
        </w:rPr>
      </w:pPr>
      <w:r w:rsidRPr="00B76474">
        <w:rPr>
          <w:rFonts w:ascii="Calibri" w:hAnsi="Calibri" w:cs="Calibri"/>
          <w:color w:val="auto"/>
          <w:sz w:val="20"/>
          <w:szCs w:val="20"/>
        </w:rPr>
        <w:t>Výnosy z predaja výrobkov sa vykazujú v momente prenosu rizika a vlastníctva výrobku, obvykle po dodávke. Ak sa spoločnosť zaviaže dopraviť výrobky na určité miesto, výnosy sa vykazujú v momente doručenia výrobku do cieľového miesta.</w:t>
      </w:r>
    </w:p>
    <w:p w14:paraId="74B2B3A5" w14:textId="77777777" w:rsidR="00D633F7" w:rsidRPr="00B76474" w:rsidRDefault="00D633F7" w:rsidP="00D633F7">
      <w:pPr>
        <w:pStyle w:val="Vchodzie"/>
        <w:spacing w:after="120"/>
        <w:jc w:val="both"/>
        <w:rPr>
          <w:color w:val="auto"/>
        </w:rPr>
      </w:pPr>
      <w:r w:rsidRPr="00B76474">
        <w:rPr>
          <w:rFonts w:ascii="Calibri" w:hAnsi="Calibri" w:cs="Calibri"/>
          <w:color w:val="auto"/>
          <w:sz w:val="20"/>
          <w:szCs w:val="20"/>
        </w:rPr>
        <w:t>Výnosy z predaja služieb sa vykazujú v účtovnom období, v ktorom boli služby poskytnuté s ohľadom na stav rozpracovanosti danej služby. Tento je zistený na základe skutočne poskytnutých služieb ako pomernej časti k celkovému rozsahu dohodnutých služieb</w:t>
      </w:r>
    </w:p>
    <w:p w14:paraId="06A2B6A8" w14:textId="77777777" w:rsidR="00D633F7" w:rsidRPr="00B76474" w:rsidRDefault="00D633F7" w:rsidP="00D633F7">
      <w:pPr>
        <w:pStyle w:val="Vchodzie"/>
        <w:spacing w:after="120"/>
        <w:jc w:val="both"/>
        <w:rPr>
          <w:color w:val="auto"/>
        </w:rPr>
      </w:pPr>
      <w:r w:rsidRPr="00B76474">
        <w:rPr>
          <w:rFonts w:ascii="Calibri" w:hAnsi="Calibri" w:cs="Calibri"/>
          <w:color w:val="auto"/>
          <w:sz w:val="20"/>
          <w:szCs w:val="20"/>
        </w:rPr>
        <w:t>Výnosy sa vykazujú po odpočítaní dane z pridanej hodnoty, zliav a zrážok (rabaty, bonusy, skontá, dobropisy a pod.). Výnosové úroky sa účtujú rovnomerne v účtovných obdobiach, ktorých sa vecne a časovo týkajú.</w:t>
      </w:r>
    </w:p>
    <w:p w14:paraId="2B460C4C" w14:textId="77777777" w:rsidR="00D633F7" w:rsidRPr="00B76474" w:rsidRDefault="00D633F7" w:rsidP="00D633F7">
      <w:pPr>
        <w:pStyle w:val="Vchodzie"/>
        <w:spacing w:after="120"/>
        <w:jc w:val="both"/>
        <w:rPr>
          <w:color w:val="auto"/>
        </w:rPr>
      </w:pPr>
      <w:r w:rsidRPr="00B76474">
        <w:rPr>
          <w:rFonts w:ascii="Calibri" w:hAnsi="Calibri" w:cs="Calibri"/>
          <w:color w:val="auto"/>
          <w:sz w:val="20"/>
          <w:szCs w:val="20"/>
        </w:rPr>
        <w:lastRenderedPageBreak/>
        <w:t xml:space="preserve">Výnosy spoločnosti tvoria z veľkej časti tržby za </w:t>
      </w:r>
      <w:r>
        <w:rPr>
          <w:rFonts w:ascii="Calibri" w:hAnsi="Calibri" w:cs="Calibri"/>
          <w:color w:val="auto"/>
          <w:sz w:val="20"/>
          <w:szCs w:val="20"/>
        </w:rPr>
        <w:t>predaj tovaru</w:t>
      </w:r>
      <w:r w:rsidRPr="00B76474">
        <w:rPr>
          <w:rFonts w:ascii="Calibri" w:hAnsi="Calibri" w:cs="Calibri"/>
          <w:color w:val="auto"/>
          <w:sz w:val="20"/>
          <w:szCs w:val="20"/>
        </w:rPr>
        <w:t xml:space="preserve"> a tržby z poskytovaných služieb hlavne tržby z</w:t>
      </w:r>
      <w:r>
        <w:rPr>
          <w:rFonts w:ascii="Calibri" w:hAnsi="Calibri" w:cs="Calibri"/>
          <w:color w:val="auto"/>
          <w:sz w:val="20"/>
          <w:szCs w:val="20"/>
        </w:rPr>
        <w:t> textilnej výroby s montážou</w:t>
      </w:r>
      <w:r w:rsidRPr="00B76474">
        <w:rPr>
          <w:rFonts w:ascii="Calibri" w:hAnsi="Calibri" w:cs="Calibri"/>
          <w:color w:val="auto"/>
          <w:sz w:val="20"/>
          <w:szCs w:val="20"/>
        </w:rPr>
        <w:t>.</w:t>
      </w:r>
    </w:p>
    <w:p w14:paraId="39527B1A" w14:textId="77777777" w:rsidR="00D633F7" w:rsidRPr="00B76474" w:rsidRDefault="00D633F7" w:rsidP="00D633F7">
      <w:pPr>
        <w:pStyle w:val="Vchodzie"/>
        <w:spacing w:after="120"/>
        <w:jc w:val="both"/>
        <w:rPr>
          <w:rFonts w:ascii="Calibri" w:hAnsi="Calibri" w:cs="Calibri"/>
          <w:color w:val="auto"/>
          <w:sz w:val="22"/>
          <w:szCs w:val="22"/>
        </w:rPr>
      </w:pPr>
      <w:r w:rsidRPr="00B76474">
        <w:rPr>
          <w:rFonts w:ascii="Calibri" w:hAnsi="Calibri" w:cs="Calibri"/>
          <w:b/>
          <w:color w:val="auto"/>
          <w:sz w:val="22"/>
          <w:szCs w:val="22"/>
        </w:rPr>
        <w:t>1</w:t>
      </w:r>
      <w:r>
        <w:rPr>
          <w:rFonts w:ascii="Calibri" w:hAnsi="Calibri" w:cs="Calibri"/>
          <w:b/>
          <w:color w:val="auto"/>
          <w:sz w:val="22"/>
          <w:szCs w:val="22"/>
        </w:rPr>
        <w:t>6</w:t>
      </w:r>
      <w:r w:rsidRPr="00B76474">
        <w:rPr>
          <w:rFonts w:ascii="Calibri" w:hAnsi="Calibri" w:cs="Calibri"/>
          <w:b/>
          <w:color w:val="auto"/>
          <w:sz w:val="22"/>
          <w:szCs w:val="22"/>
        </w:rPr>
        <w:t>. Oprava chýb minulých období.</w:t>
      </w:r>
    </w:p>
    <w:p w14:paraId="2C4976D4" w14:textId="77777777" w:rsidR="00D633F7" w:rsidRPr="00B76474" w:rsidRDefault="00D633F7" w:rsidP="00D633F7">
      <w:pPr>
        <w:pStyle w:val="Vchodzie"/>
        <w:spacing w:after="120"/>
        <w:jc w:val="both"/>
        <w:rPr>
          <w:rFonts w:ascii="Calibri" w:hAnsi="Calibri" w:cs="Calibri"/>
          <w:color w:val="auto"/>
          <w:sz w:val="20"/>
          <w:szCs w:val="20"/>
        </w:rPr>
      </w:pPr>
      <w:r w:rsidRPr="00B76474">
        <w:rPr>
          <w:rFonts w:ascii="Calibri" w:hAnsi="Calibri" w:cs="Calibri"/>
          <w:color w:val="auto"/>
          <w:sz w:val="20"/>
          <w:szCs w:val="20"/>
        </w:rPr>
        <w:t>V roku 201</w:t>
      </w:r>
      <w:r>
        <w:rPr>
          <w:rFonts w:ascii="Calibri" w:hAnsi="Calibri" w:cs="Calibri"/>
          <w:color w:val="auto"/>
          <w:sz w:val="20"/>
          <w:szCs w:val="20"/>
        </w:rPr>
        <w:t>8</w:t>
      </w:r>
      <w:r w:rsidRPr="00B76474">
        <w:rPr>
          <w:rFonts w:ascii="Calibri" w:hAnsi="Calibri" w:cs="Calibri"/>
          <w:color w:val="auto"/>
          <w:sz w:val="20"/>
          <w:szCs w:val="20"/>
        </w:rPr>
        <w:t xml:space="preserve"> spoločnosť neúčtovala o oprave významných chýb na účte nerozdelené zisky minulých období.</w:t>
      </w:r>
    </w:p>
    <w:p w14:paraId="19606973" w14:textId="77777777" w:rsidR="00D633F7" w:rsidRPr="00B76474" w:rsidRDefault="00D633F7" w:rsidP="00D633F7">
      <w:pPr>
        <w:pStyle w:val="Vchodzie"/>
        <w:spacing w:after="120"/>
        <w:jc w:val="both"/>
        <w:rPr>
          <w:rFonts w:asciiTheme="minorHAnsi" w:hAnsiTheme="minorHAnsi" w:cstheme="minorHAnsi"/>
          <w:b/>
          <w:color w:val="auto"/>
          <w:sz w:val="22"/>
          <w:szCs w:val="22"/>
        </w:rPr>
      </w:pPr>
      <w:r w:rsidRPr="00B76474">
        <w:rPr>
          <w:rFonts w:asciiTheme="minorHAnsi" w:hAnsiTheme="minorHAnsi" w:cstheme="minorHAnsi"/>
          <w:b/>
          <w:color w:val="auto"/>
          <w:sz w:val="22"/>
          <w:szCs w:val="22"/>
        </w:rPr>
        <w:t>1</w:t>
      </w:r>
      <w:r>
        <w:rPr>
          <w:rFonts w:asciiTheme="minorHAnsi" w:hAnsiTheme="minorHAnsi" w:cstheme="minorHAnsi"/>
          <w:b/>
          <w:color w:val="auto"/>
          <w:sz w:val="22"/>
          <w:szCs w:val="22"/>
        </w:rPr>
        <w:t>7</w:t>
      </w:r>
      <w:r w:rsidRPr="00B76474">
        <w:rPr>
          <w:rFonts w:asciiTheme="minorHAnsi" w:hAnsiTheme="minorHAnsi" w:cstheme="minorHAnsi"/>
          <w:b/>
          <w:color w:val="auto"/>
          <w:sz w:val="22"/>
          <w:szCs w:val="22"/>
        </w:rPr>
        <w:t>.  Porovnateľné údaje</w:t>
      </w:r>
    </w:p>
    <w:p w14:paraId="22BA30BA" w14:textId="77777777" w:rsidR="00D633F7" w:rsidRPr="00B76474" w:rsidRDefault="00D633F7" w:rsidP="00D633F7">
      <w:pPr>
        <w:pStyle w:val="Vchodzie"/>
        <w:spacing w:after="120"/>
        <w:jc w:val="both"/>
        <w:rPr>
          <w:rFonts w:asciiTheme="minorHAnsi" w:hAnsiTheme="minorHAnsi" w:cstheme="minorHAnsi"/>
          <w:color w:val="auto"/>
          <w:sz w:val="22"/>
          <w:szCs w:val="22"/>
        </w:rPr>
      </w:pPr>
      <w:r w:rsidRPr="00B76474">
        <w:rPr>
          <w:rFonts w:asciiTheme="minorHAnsi" w:hAnsiTheme="minorHAnsi" w:cstheme="minorHAnsi"/>
          <w:color w:val="auto"/>
          <w:sz w:val="22"/>
          <w:szCs w:val="22"/>
        </w:rPr>
        <w:t>Niektoré údaje za predošlé účtovné obdobie boli pozmenené pre ich lepšiu porovnateľnosť s údajmi uvedenými v bežnom účtovnom období. Zmena v prezentácii porovnateľných údajov nemala dopad na celkovú výšku aktív, vlastného imania a výsledku hospodárenia v predchádzajúcom období.</w:t>
      </w:r>
    </w:p>
    <w:p w14:paraId="5BEC2224" w14:textId="77777777" w:rsidR="00D633F7" w:rsidRPr="00B76474" w:rsidRDefault="00D633F7" w:rsidP="00D633F7">
      <w:pPr>
        <w:pStyle w:val="Vchodzie"/>
        <w:jc w:val="both"/>
        <w:rPr>
          <w:color w:val="auto"/>
        </w:rPr>
      </w:pPr>
    </w:p>
    <w:p w14:paraId="0CE69F5D" w14:textId="77777777" w:rsidR="00D633F7" w:rsidRPr="00B76474" w:rsidRDefault="00D633F7" w:rsidP="00D633F7">
      <w:pPr>
        <w:pStyle w:val="Vchodzie"/>
        <w:jc w:val="center"/>
        <w:rPr>
          <w:color w:val="auto"/>
        </w:rPr>
      </w:pPr>
      <w:r w:rsidRPr="00B76474">
        <w:rPr>
          <w:rFonts w:ascii="Calibri" w:hAnsi="Calibri"/>
          <w:b/>
          <w:bCs/>
          <w:color w:val="auto"/>
          <w:sz w:val="22"/>
          <w:szCs w:val="22"/>
        </w:rPr>
        <w:t>Informácie, ktoré vysvetľujú a dopĺňajú súvahu a výkaz ziskov a strát</w:t>
      </w:r>
    </w:p>
    <w:p w14:paraId="067C75ED" w14:textId="77777777" w:rsidR="00D633F7" w:rsidRPr="00B76474" w:rsidRDefault="00D633F7" w:rsidP="00D633F7">
      <w:pPr>
        <w:pStyle w:val="Vchodzie"/>
        <w:jc w:val="center"/>
        <w:rPr>
          <w:color w:val="auto"/>
        </w:rPr>
      </w:pPr>
    </w:p>
    <w:p w14:paraId="6FC4AEFB" w14:textId="77777777" w:rsidR="00D633F7" w:rsidRPr="00B76474" w:rsidRDefault="00D633F7" w:rsidP="00D633F7">
      <w:pPr>
        <w:pStyle w:val="Vchodzie"/>
        <w:rPr>
          <w:color w:val="auto"/>
        </w:rPr>
      </w:pPr>
      <w:r w:rsidRPr="00B76474">
        <w:rPr>
          <w:rFonts w:ascii="Calibri" w:hAnsi="Calibri"/>
          <w:b/>
          <w:color w:val="auto"/>
          <w:sz w:val="22"/>
          <w:szCs w:val="22"/>
        </w:rPr>
        <w:t xml:space="preserve">(1) Účtovná jednotka neúčtovala o </w:t>
      </w:r>
      <w:proofErr w:type="spellStart"/>
      <w:r w:rsidRPr="00B76474">
        <w:rPr>
          <w:rFonts w:ascii="Calibri" w:hAnsi="Calibri"/>
          <w:b/>
          <w:color w:val="auto"/>
          <w:sz w:val="22"/>
          <w:szCs w:val="22"/>
        </w:rPr>
        <w:t>goodwille</w:t>
      </w:r>
      <w:proofErr w:type="spellEnd"/>
      <w:r w:rsidRPr="00B76474">
        <w:rPr>
          <w:rFonts w:ascii="Calibri" w:hAnsi="Calibri"/>
          <w:b/>
          <w:color w:val="auto"/>
          <w:sz w:val="22"/>
          <w:szCs w:val="22"/>
        </w:rPr>
        <w:t xml:space="preserve"> v bežnom účtovnom období ani v minulých účtovných obdobiach.</w:t>
      </w:r>
    </w:p>
    <w:p w14:paraId="6779C1A0" w14:textId="77777777" w:rsidR="00D633F7" w:rsidRDefault="00D633F7" w:rsidP="00D633F7">
      <w:pPr>
        <w:pStyle w:val="Vchodzie"/>
        <w:rPr>
          <w:color w:val="auto"/>
        </w:rPr>
      </w:pPr>
    </w:p>
    <w:p w14:paraId="45060D70" w14:textId="77777777" w:rsidR="00D633F7" w:rsidRPr="00B76474" w:rsidRDefault="00D633F7" w:rsidP="00D633F7">
      <w:pPr>
        <w:pStyle w:val="Vchodzie"/>
        <w:rPr>
          <w:color w:val="auto"/>
        </w:rPr>
      </w:pPr>
    </w:p>
    <w:p w14:paraId="143E5443" w14:textId="77777777" w:rsidR="00D633F7" w:rsidRPr="00B76474" w:rsidRDefault="00D633F7" w:rsidP="00D633F7">
      <w:pPr>
        <w:pStyle w:val="Vchodzie"/>
        <w:rPr>
          <w:color w:val="auto"/>
        </w:rPr>
      </w:pPr>
      <w:r w:rsidRPr="00B76474">
        <w:rPr>
          <w:rFonts w:ascii="Calibri" w:hAnsi="Calibri"/>
          <w:b/>
          <w:color w:val="auto"/>
          <w:sz w:val="22"/>
          <w:szCs w:val="22"/>
        </w:rPr>
        <w:t>(2) Informácie o významných položkách majetku a záväzkoch zabezpečených derivátmi</w:t>
      </w:r>
    </w:p>
    <w:p w14:paraId="36334843" w14:textId="77777777" w:rsidR="00D633F7" w:rsidRPr="00B76474" w:rsidRDefault="00D633F7" w:rsidP="00D633F7">
      <w:pPr>
        <w:pStyle w:val="Vchodzie"/>
        <w:ind w:left="-142" w:right="-468" w:firstLine="142"/>
        <w:rPr>
          <w:color w:val="auto"/>
        </w:rPr>
      </w:pPr>
      <w:r w:rsidRPr="00B76474">
        <w:rPr>
          <w:rFonts w:ascii="Calibri" w:hAnsi="Calibri" w:cs="Calibri"/>
          <w:color w:val="auto"/>
          <w:sz w:val="20"/>
          <w:szCs w:val="20"/>
        </w:rPr>
        <w:t>V účtovnom období 201</w:t>
      </w:r>
      <w:r>
        <w:rPr>
          <w:rFonts w:ascii="Calibri" w:hAnsi="Calibri" w:cs="Calibri"/>
          <w:color w:val="auto"/>
          <w:sz w:val="20"/>
          <w:szCs w:val="20"/>
        </w:rPr>
        <w:t>8</w:t>
      </w:r>
      <w:r w:rsidRPr="00B76474">
        <w:rPr>
          <w:rFonts w:ascii="Calibri" w:hAnsi="Calibri" w:cs="Calibri"/>
          <w:color w:val="auto"/>
          <w:sz w:val="20"/>
          <w:szCs w:val="20"/>
        </w:rPr>
        <w:t xml:space="preserve"> účtovná jednotka nevykonala žiadne derivátové operácie. </w:t>
      </w:r>
    </w:p>
    <w:p w14:paraId="6867F579" w14:textId="77777777" w:rsidR="00D633F7" w:rsidRDefault="00D633F7" w:rsidP="00D633F7">
      <w:pPr>
        <w:pStyle w:val="Vchodzie"/>
        <w:rPr>
          <w:color w:val="auto"/>
        </w:rPr>
      </w:pPr>
    </w:p>
    <w:p w14:paraId="77411991" w14:textId="77777777" w:rsidR="00D633F7" w:rsidRDefault="00D633F7" w:rsidP="00D633F7">
      <w:pPr>
        <w:pStyle w:val="Vchodzie"/>
        <w:rPr>
          <w:color w:val="auto"/>
        </w:rPr>
      </w:pPr>
    </w:p>
    <w:p w14:paraId="177EBE1F" w14:textId="77777777" w:rsidR="00D633F7" w:rsidRDefault="00D633F7" w:rsidP="00D633F7">
      <w:pPr>
        <w:pStyle w:val="Vchodzie"/>
        <w:rPr>
          <w:color w:val="auto"/>
        </w:rPr>
      </w:pPr>
    </w:p>
    <w:p w14:paraId="74507B35" w14:textId="77777777" w:rsidR="00D633F7" w:rsidRDefault="00D633F7" w:rsidP="00D633F7">
      <w:pPr>
        <w:pStyle w:val="Vchodzie"/>
        <w:rPr>
          <w:color w:val="auto"/>
        </w:rPr>
      </w:pPr>
    </w:p>
    <w:p w14:paraId="4E939930" w14:textId="77777777" w:rsidR="00D633F7" w:rsidRDefault="00D633F7" w:rsidP="00D633F7">
      <w:pPr>
        <w:pStyle w:val="Vchodzie"/>
        <w:rPr>
          <w:color w:val="auto"/>
        </w:rPr>
      </w:pPr>
    </w:p>
    <w:p w14:paraId="0F68A6E0" w14:textId="77777777" w:rsidR="00D633F7" w:rsidRDefault="00D633F7" w:rsidP="00D633F7">
      <w:pPr>
        <w:pStyle w:val="Vchodzie"/>
        <w:rPr>
          <w:color w:val="auto"/>
        </w:rPr>
      </w:pPr>
    </w:p>
    <w:p w14:paraId="3CD68A16" w14:textId="77777777" w:rsidR="00D633F7" w:rsidRDefault="00D633F7" w:rsidP="00D633F7">
      <w:pPr>
        <w:pStyle w:val="Vchodzie"/>
        <w:rPr>
          <w:color w:val="auto"/>
        </w:rPr>
      </w:pPr>
    </w:p>
    <w:p w14:paraId="0D7C3600" w14:textId="77777777" w:rsidR="00D633F7" w:rsidRDefault="00D633F7" w:rsidP="00D633F7">
      <w:pPr>
        <w:pStyle w:val="Vchodzie"/>
        <w:rPr>
          <w:color w:val="auto"/>
        </w:rPr>
      </w:pPr>
    </w:p>
    <w:p w14:paraId="713066D4" w14:textId="77777777" w:rsidR="00D633F7" w:rsidRDefault="00D633F7" w:rsidP="00D633F7">
      <w:pPr>
        <w:pStyle w:val="Vchodzie"/>
        <w:rPr>
          <w:color w:val="auto"/>
        </w:rPr>
      </w:pPr>
    </w:p>
    <w:p w14:paraId="68E5C222" w14:textId="77777777" w:rsidR="00D633F7" w:rsidRDefault="00D633F7" w:rsidP="00D633F7">
      <w:pPr>
        <w:pStyle w:val="Vchodzie"/>
        <w:rPr>
          <w:color w:val="auto"/>
        </w:rPr>
      </w:pPr>
    </w:p>
    <w:p w14:paraId="51557A93" w14:textId="77777777" w:rsidR="00D633F7" w:rsidRPr="00B76474" w:rsidRDefault="00D633F7" w:rsidP="00D633F7">
      <w:pPr>
        <w:pStyle w:val="Vchodzie"/>
        <w:spacing w:after="14"/>
        <w:rPr>
          <w:color w:val="auto"/>
        </w:rPr>
      </w:pPr>
      <w:r w:rsidRPr="00B76474">
        <w:rPr>
          <w:rFonts w:ascii="Calibri" w:hAnsi="Calibri"/>
          <w:b/>
          <w:color w:val="auto"/>
          <w:sz w:val="22"/>
          <w:szCs w:val="22"/>
        </w:rPr>
        <w:t xml:space="preserve"> (3) Informácie o záväzkoch</w:t>
      </w:r>
    </w:p>
    <w:p w14:paraId="574C4CA4" w14:textId="77777777" w:rsidR="00D633F7" w:rsidRPr="00B76474" w:rsidRDefault="00D633F7" w:rsidP="00D633F7">
      <w:pPr>
        <w:pStyle w:val="Vchodzie"/>
        <w:spacing w:after="14"/>
        <w:rPr>
          <w:color w:val="auto"/>
        </w:rPr>
      </w:pPr>
    </w:p>
    <w:p w14:paraId="2525175B" w14:textId="77777777" w:rsidR="00D633F7" w:rsidRPr="00B76474" w:rsidRDefault="00D633F7" w:rsidP="00D633F7">
      <w:pPr>
        <w:pStyle w:val="Vchodzie"/>
        <w:spacing w:after="14"/>
        <w:rPr>
          <w:color w:val="auto"/>
        </w:rPr>
      </w:pPr>
      <w:r w:rsidRPr="00B76474">
        <w:rPr>
          <w:rFonts w:ascii="Calibri" w:hAnsi="Calibri"/>
          <w:b/>
          <w:color w:val="auto"/>
          <w:sz w:val="22"/>
          <w:szCs w:val="22"/>
        </w:rPr>
        <w:t xml:space="preserve">a) Informácie o štruktúre záväzkov podľa zostatkovej doby splatnosti </w:t>
      </w:r>
    </w:p>
    <w:tbl>
      <w:tblPr>
        <w:tblW w:w="0" w:type="auto"/>
        <w:jc w:val="center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</w:tblBorders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690"/>
        <w:gridCol w:w="3001"/>
        <w:gridCol w:w="2712"/>
      </w:tblGrid>
      <w:tr w:rsidR="00D633F7" w:rsidRPr="00B76474" w14:paraId="161786B0" w14:textId="77777777" w:rsidTr="0015223F">
        <w:trPr>
          <w:trHeight w:val="941"/>
          <w:jc w:val="center"/>
        </w:trPr>
        <w:tc>
          <w:tcPr>
            <w:tcW w:w="37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AFDC77E" w14:textId="77777777" w:rsidR="00D633F7" w:rsidRPr="00B76474" w:rsidRDefault="00D633F7" w:rsidP="0015223F">
            <w:pPr>
              <w:pStyle w:val="TopHeader"/>
              <w:rPr>
                <w:color w:val="auto"/>
              </w:rPr>
            </w:pPr>
            <w:r w:rsidRPr="00B76474">
              <w:rPr>
                <w:rFonts w:ascii="Calibri" w:hAnsi="Calibri"/>
                <w:b w:val="0"/>
                <w:color w:val="auto"/>
                <w:sz w:val="20"/>
                <w:szCs w:val="20"/>
              </w:rPr>
              <w:t>Názov položky</w:t>
            </w:r>
          </w:p>
        </w:tc>
        <w:tc>
          <w:tcPr>
            <w:tcW w:w="30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4DAE08D" w14:textId="77777777" w:rsidR="00D633F7" w:rsidRPr="00B76474" w:rsidRDefault="00D633F7" w:rsidP="0015223F">
            <w:pPr>
              <w:pStyle w:val="TopHeader"/>
              <w:rPr>
                <w:color w:val="auto"/>
              </w:rPr>
            </w:pPr>
            <w:r w:rsidRPr="00B76474">
              <w:rPr>
                <w:rFonts w:ascii="Calibri" w:hAnsi="Calibri"/>
                <w:b w:val="0"/>
                <w:color w:val="auto"/>
                <w:sz w:val="20"/>
                <w:szCs w:val="20"/>
              </w:rPr>
              <w:t>Bežné účtovné obdobie</w:t>
            </w:r>
          </w:p>
        </w:tc>
        <w:tc>
          <w:tcPr>
            <w:tcW w:w="27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BE54868" w14:textId="77777777" w:rsidR="00D633F7" w:rsidRPr="00B76474" w:rsidRDefault="00D633F7" w:rsidP="0015223F">
            <w:pPr>
              <w:pStyle w:val="TopHeader"/>
              <w:rPr>
                <w:color w:val="auto"/>
              </w:rPr>
            </w:pPr>
            <w:r w:rsidRPr="00B76474">
              <w:rPr>
                <w:rFonts w:ascii="Calibri" w:hAnsi="Calibri"/>
                <w:b w:val="0"/>
                <w:color w:val="auto"/>
                <w:sz w:val="20"/>
                <w:szCs w:val="20"/>
              </w:rPr>
              <w:t>Bezprostredne predchádzajúce účtovné obdobie</w:t>
            </w:r>
          </w:p>
        </w:tc>
      </w:tr>
      <w:tr w:rsidR="00D633F7" w:rsidRPr="00B76474" w14:paraId="78F9EF43" w14:textId="77777777" w:rsidTr="0015223F">
        <w:trPr>
          <w:trHeight w:val="407"/>
          <w:jc w:val="center"/>
        </w:trPr>
        <w:tc>
          <w:tcPr>
            <w:tcW w:w="37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F96DDAA" w14:textId="77777777" w:rsidR="00D633F7" w:rsidRPr="00B76474" w:rsidRDefault="00D633F7" w:rsidP="0015223F">
            <w:pPr>
              <w:pStyle w:val="Vchodzie"/>
              <w:rPr>
                <w:rFonts w:ascii="Calibri" w:hAnsi="Calibri" w:cs="Calibri"/>
                <w:color w:val="auto"/>
              </w:rPr>
            </w:pPr>
            <w:r w:rsidRPr="00B76474">
              <w:rPr>
                <w:rFonts w:ascii="Calibri" w:hAnsi="Calibri" w:cs="Calibri"/>
                <w:b/>
                <w:bCs/>
                <w:color w:val="auto"/>
                <w:sz w:val="20"/>
                <w:szCs w:val="20"/>
              </w:rPr>
              <w:t>Dlhodobé záväzky spolu</w:t>
            </w:r>
          </w:p>
        </w:tc>
        <w:tc>
          <w:tcPr>
            <w:tcW w:w="30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9C2806C" w14:textId="27273D25" w:rsidR="00D633F7" w:rsidRPr="00B76474" w:rsidRDefault="00C07234" w:rsidP="0015223F">
            <w:pPr>
              <w:pStyle w:val="Vchodzie"/>
              <w:jc w:val="right"/>
              <w:rPr>
                <w:rFonts w:ascii="Calibri" w:hAnsi="Calibri" w:cs="Calibri"/>
                <w:color w:val="auto"/>
                <w:sz w:val="20"/>
                <w:szCs w:val="20"/>
              </w:rPr>
            </w:pPr>
            <w:r>
              <w:rPr>
                <w:rFonts w:ascii="Calibri" w:hAnsi="Calibri" w:cs="Calibri"/>
                <w:color w:val="auto"/>
                <w:sz w:val="20"/>
                <w:szCs w:val="20"/>
              </w:rPr>
              <w:t>26495</w:t>
            </w:r>
          </w:p>
        </w:tc>
        <w:tc>
          <w:tcPr>
            <w:tcW w:w="27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5C59BE2" w14:textId="453CC08C" w:rsidR="00D633F7" w:rsidRPr="00B76474" w:rsidRDefault="0039384D" w:rsidP="0015223F">
            <w:pPr>
              <w:pStyle w:val="Vchodzie"/>
              <w:jc w:val="right"/>
              <w:rPr>
                <w:rFonts w:ascii="Calibri" w:hAnsi="Calibri" w:cs="Calibri"/>
                <w:color w:val="auto"/>
                <w:sz w:val="20"/>
                <w:szCs w:val="20"/>
              </w:rPr>
            </w:pPr>
            <w:r>
              <w:rPr>
                <w:rFonts w:ascii="Calibri" w:hAnsi="Calibri" w:cs="Calibri"/>
                <w:color w:val="auto"/>
                <w:sz w:val="20"/>
                <w:szCs w:val="20"/>
              </w:rPr>
              <w:t>7373</w:t>
            </w:r>
          </w:p>
        </w:tc>
      </w:tr>
      <w:tr w:rsidR="00D633F7" w:rsidRPr="00B76474" w14:paraId="19E1EBA2" w14:textId="77777777" w:rsidTr="0015223F">
        <w:trPr>
          <w:trHeight w:val="580"/>
          <w:jc w:val="center"/>
        </w:trPr>
        <w:tc>
          <w:tcPr>
            <w:tcW w:w="37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75CC617" w14:textId="77777777" w:rsidR="00D633F7" w:rsidRPr="00B76474" w:rsidRDefault="00D633F7" w:rsidP="0015223F">
            <w:pPr>
              <w:pStyle w:val="Vchodzie"/>
              <w:rPr>
                <w:color w:val="auto"/>
              </w:rPr>
            </w:pPr>
            <w:r w:rsidRPr="00B76474">
              <w:rPr>
                <w:rFonts w:ascii="Calibri" w:hAnsi="Calibri"/>
                <w:color w:val="auto"/>
                <w:sz w:val="20"/>
                <w:szCs w:val="20"/>
              </w:rPr>
              <w:t>Záväzky so zostatkovou dobou splatnosti nad päť rokov</w:t>
            </w:r>
          </w:p>
        </w:tc>
        <w:tc>
          <w:tcPr>
            <w:tcW w:w="30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D2837CC" w14:textId="77777777" w:rsidR="00D633F7" w:rsidRPr="00B76474" w:rsidRDefault="00D633F7" w:rsidP="0015223F">
            <w:pPr>
              <w:pStyle w:val="Vchodzie"/>
              <w:jc w:val="right"/>
              <w:rPr>
                <w:color w:val="auto"/>
              </w:rPr>
            </w:pPr>
          </w:p>
        </w:tc>
        <w:tc>
          <w:tcPr>
            <w:tcW w:w="27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AF165F9" w14:textId="77777777" w:rsidR="00D633F7" w:rsidRPr="00B76474" w:rsidRDefault="00D633F7" w:rsidP="0015223F">
            <w:pPr>
              <w:pStyle w:val="Vchodzie"/>
              <w:jc w:val="right"/>
              <w:rPr>
                <w:color w:val="auto"/>
              </w:rPr>
            </w:pPr>
          </w:p>
        </w:tc>
      </w:tr>
      <w:tr w:rsidR="00D633F7" w:rsidRPr="00B76474" w14:paraId="78B7A263" w14:textId="77777777" w:rsidTr="0015223F">
        <w:trPr>
          <w:trHeight w:val="580"/>
          <w:jc w:val="center"/>
        </w:trPr>
        <w:tc>
          <w:tcPr>
            <w:tcW w:w="37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B19682B" w14:textId="77777777" w:rsidR="00D633F7" w:rsidRPr="00B76474" w:rsidRDefault="00D633F7" w:rsidP="0015223F">
            <w:pPr>
              <w:pStyle w:val="Vchodzie"/>
              <w:rPr>
                <w:color w:val="auto"/>
              </w:rPr>
            </w:pPr>
            <w:r w:rsidRPr="00B76474">
              <w:rPr>
                <w:rFonts w:ascii="Calibri" w:hAnsi="Calibri"/>
                <w:color w:val="auto"/>
                <w:sz w:val="20"/>
                <w:szCs w:val="20"/>
              </w:rPr>
              <w:t>Záväzky so zostatkovou dobou splatnosti jeden rok až päť rokov</w:t>
            </w:r>
          </w:p>
        </w:tc>
        <w:tc>
          <w:tcPr>
            <w:tcW w:w="30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8BDE394" w14:textId="13F311CB" w:rsidR="00D633F7" w:rsidRPr="00186F87" w:rsidRDefault="00C07234" w:rsidP="0015223F">
            <w:pPr>
              <w:pStyle w:val="Vchodzie"/>
              <w:jc w:val="right"/>
              <w:rPr>
                <w:rFonts w:ascii="Calibri" w:hAnsi="Calibri" w:cs="Calibri"/>
                <w:color w:val="auto"/>
                <w:sz w:val="20"/>
                <w:szCs w:val="20"/>
              </w:rPr>
            </w:pPr>
            <w:r>
              <w:rPr>
                <w:rFonts w:ascii="Calibri" w:hAnsi="Calibri" w:cs="Calibri"/>
                <w:color w:val="auto"/>
                <w:sz w:val="20"/>
                <w:szCs w:val="20"/>
              </w:rPr>
              <w:t>26495</w:t>
            </w:r>
          </w:p>
        </w:tc>
        <w:tc>
          <w:tcPr>
            <w:tcW w:w="27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7D09A2D" w14:textId="2944E591" w:rsidR="00D633F7" w:rsidRPr="00B76474" w:rsidRDefault="0039384D" w:rsidP="00D862D2">
            <w:pPr>
              <w:pStyle w:val="Vchodzie"/>
              <w:jc w:val="right"/>
              <w:rPr>
                <w:rFonts w:ascii="Calibri" w:hAnsi="Calibri" w:cs="Calibri"/>
                <w:color w:val="auto"/>
                <w:sz w:val="20"/>
                <w:szCs w:val="20"/>
              </w:rPr>
            </w:pPr>
            <w:r>
              <w:rPr>
                <w:rFonts w:ascii="Calibri" w:hAnsi="Calibri" w:cs="Calibri"/>
                <w:color w:val="auto"/>
                <w:sz w:val="20"/>
                <w:szCs w:val="20"/>
              </w:rPr>
              <w:t>7373</w:t>
            </w:r>
          </w:p>
        </w:tc>
      </w:tr>
      <w:tr w:rsidR="00D633F7" w:rsidRPr="00B76474" w14:paraId="2FFB95F6" w14:textId="77777777" w:rsidTr="0015223F">
        <w:trPr>
          <w:trHeight w:val="407"/>
          <w:jc w:val="center"/>
        </w:trPr>
        <w:tc>
          <w:tcPr>
            <w:tcW w:w="37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7DD9B57" w14:textId="77777777" w:rsidR="00D633F7" w:rsidRPr="00B76474" w:rsidRDefault="00D633F7" w:rsidP="0015223F">
            <w:pPr>
              <w:pStyle w:val="Vchodzie"/>
              <w:rPr>
                <w:color w:val="auto"/>
              </w:rPr>
            </w:pPr>
            <w:r w:rsidRPr="00B76474">
              <w:rPr>
                <w:rFonts w:ascii="Calibri" w:hAnsi="Calibri"/>
                <w:b/>
                <w:bCs/>
                <w:color w:val="auto"/>
                <w:sz w:val="20"/>
                <w:szCs w:val="20"/>
              </w:rPr>
              <w:t>Krátkodobé záväzky spolu</w:t>
            </w:r>
          </w:p>
        </w:tc>
        <w:tc>
          <w:tcPr>
            <w:tcW w:w="30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B9D1752" w14:textId="3B9CDCB3" w:rsidR="00D633F7" w:rsidRPr="00186F87" w:rsidRDefault="00C07234" w:rsidP="0015223F">
            <w:pPr>
              <w:pStyle w:val="Vchodzie"/>
              <w:jc w:val="right"/>
              <w:rPr>
                <w:rFonts w:ascii="Calibri" w:hAnsi="Calibri" w:cs="Calibri"/>
                <w:color w:val="auto"/>
                <w:sz w:val="20"/>
                <w:szCs w:val="20"/>
              </w:rPr>
            </w:pPr>
            <w:r>
              <w:rPr>
                <w:rFonts w:ascii="Calibri" w:hAnsi="Calibri" w:cs="Calibri"/>
                <w:color w:val="auto"/>
                <w:sz w:val="20"/>
                <w:szCs w:val="20"/>
              </w:rPr>
              <w:t>87749</w:t>
            </w:r>
          </w:p>
        </w:tc>
        <w:tc>
          <w:tcPr>
            <w:tcW w:w="27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4947FE6" w14:textId="15CB91AF" w:rsidR="00D633F7" w:rsidRPr="00186F87" w:rsidRDefault="0039384D" w:rsidP="00D862D2">
            <w:pPr>
              <w:pStyle w:val="Vchodzie"/>
              <w:jc w:val="right"/>
              <w:rPr>
                <w:rFonts w:ascii="Calibri" w:hAnsi="Calibri" w:cs="Calibri"/>
                <w:color w:val="auto"/>
                <w:sz w:val="20"/>
                <w:szCs w:val="20"/>
              </w:rPr>
            </w:pPr>
            <w:r>
              <w:rPr>
                <w:rFonts w:ascii="Calibri" w:hAnsi="Calibri" w:cs="Calibri"/>
                <w:color w:val="auto"/>
                <w:sz w:val="20"/>
                <w:szCs w:val="20"/>
              </w:rPr>
              <w:t>99210</w:t>
            </w:r>
          </w:p>
        </w:tc>
      </w:tr>
      <w:tr w:rsidR="00D633F7" w:rsidRPr="00B76474" w14:paraId="490BDD77" w14:textId="77777777" w:rsidTr="0015223F">
        <w:trPr>
          <w:trHeight w:val="580"/>
          <w:jc w:val="center"/>
        </w:trPr>
        <w:tc>
          <w:tcPr>
            <w:tcW w:w="37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1B4DE6C" w14:textId="77777777" w:rsidR="00D633F7" w:rsidRPr="00B76474" w:rsidRDefault="00D633F7" w:rsidP="0015223F">
            <w:pPr>
              <w:pStyle w:val="Vchodzie"/>
              <w:rPr>
                <w:color w:val="auto"/>
              </w:rPr>
            </w:pPr>
            <w:r w:rsidRPr="00B76474">
              <w:rPr>
                <w:rFonts w:ascii="Calibri" w:hAnsi="Calibri"/>
                <w:color w:val="auto"/>
                <w:sz w:val="20"/>
                <w:szCs w:val="20"/>
              </w:rPr>
              <w:t>Záväzky so zostatkovou dobou splatnosti do jedného roka vrátane</w:t>
            </w:r>
          </w:p>
        </w:tc>
        <w:tc>
          <w:tcPr>
            <w:tcW w:w="30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2C5D030" w14:textId="05372587" w:rsidR="00D633F7" w:rsidRPr="00B76474" w:rsidRDefault="00C07234" w:rsidP="0015223F">
            <w:pPr>
              <w:pStyle w:val="Vchodzie"/>
              <w:jc w:val="right"/>
              <w:rPr>
                <w:rFonts w:ascii="Calibri" w:hAnsi="Calibri" w:cs="Calibri"/>
                <w:color w:val="auto"/>
                <w:sz w:val="20"/>
                <w:szCs w:val="20"/>
              </w:rPr>
            </w:pPr>
            <w:r>
              <w:rPr>
                <w:rFonts w:ascii="Calibri" w:hAnsi="Calibri" w:cs="Calibri"/>
                <w:color w:val="auto"/>
                <w:sz w:val="20"/>
                <w:szCs w:val="20"/>
              </w:rPr>
              <w:t>87749</w:t>
            </w:r>
          </w:p>
        </w:tc>
        <w:tc>
          <w:tcPr>
            <w:tcW w:w="27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9D0C46A" w14:textId="7E17B88D" w:rsidR="00D633F7" w:rsidRPr="00B76474" w:rsidRDefault="0039384D" w:rsidP="00D862D2">
            <w:pPr>
              <w:pStyle w:val="Vchodzie"/>
              <w:jc w:val="right"/>
              <w:rPr>
                <w:rFonts w:ascii="Calibri" w:hAnsi="Calibri" w:cs="Calibri"/>
                <w:color w:val="auto"/>
                <w:sz w:val="20"/>
                <w:szCs w:val="20"/>
                <w:highlight w:val="yellow"/>
              </w:rPr>
            </w:pPr>
            <w:r>
              <w:rPr>
                <w:rFonts w:ascii="Calibri" w:hAnsi="Calibri" w:cs="Calibri"/>
                <w:color w:val="auto"/>
                <w:sz w:val="20"/>
                <w:szCs w:val="20"/>
                <w:highlight w:val="yellow"/>
              </w:rPr>
              <w:t>99210</w:t>
            </w:r>
          </w:p>
        </w:tc>
      </w:tr>
      <w:tr w:rsidR="00D633F7" w:rsidRPr="00B76474" w14:paraId="1A135560" w14:textId="77777777" w:rsidTr="0015223F">
        <w:trPr>
          <w:trHeight w:val="407"/>
          <w:jc w:val="center"/>
        </w:trPr>
        <w:tc>
          <w:tcPr>
            <w:tcW w:w="37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73BF898" w14:textId="77777777" w:rsidR="00D633F7" w:rsidRPr="00B76474" w:rsidRDefault="00D633F7" w:rsidP="0015223F">
            <w:pPr>
              <w:pStyle w:val="Vchodzie"/>
              <w:rPr>
                <w:color w:val="auto"/>
              </w:rPr>
            </w:pPr>
            <w:r w:rsidRPr="00B76474">
              <w:rPr>
                <w:rFonts w:ascii="Calibri" w:hAnsi="Calibri"/>
                <w:color w:val="auto"/>
                <w:sz w:val="20"/>
                <w:szCs w:val="20"/>
              </w:rPr>
              <w:t>Záväzky po lehote splatnosti</w:t>
            </w:r>
          </w:p>
        </w:tc>
        <w:tc>
          <w:tcPr>
            <w:tcW w:w="30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2BCBB4F" w14:textId="77777777" w:rsidR="00D633F7" w:rsidRPr="003A29AE" w:rsidRDefault="00D633F7" w:rsidP="0015223F">
            <w:pPr>
              <w:pStyle w:val="Vchodzie"/>
              <w:jc w:val="right"/>
              <w:rPr>
                <w:rFonts w:ascii="Calibri" w:hAnsi="Calibri" w:cs="Calibri"/>
                <w:color w:val="auto"/>
                <w:sz w:val="20"/>
                <w:szCs w:val="20"/>
              </w:rPr>
            </w:pPr>
          </w:p>
        </w:tc>
        <w:tc>
          <w:tcPr>
            <w:tcW w:w="27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D6A823E" w14:textId="77777777" w:rsidR="00D633F7" w:rsidRPr="00B76474" w:rsidRDefault="00D633F7" w:rsidP="0015223F">
            <w:pPr>
              <w:pStyle w:val="Vchodzie"/>
              <w:jc w:val="right"/>
              <w:rPr>
                <w:rFonts w:ascii="Calibri" w:hAnsi="Calibri" w:cs="Calibri"/>
                <w:color w:val="auto"/>
                <w:sz w:val="20"/>
                <w:szCs w:val="20"/>
              </w:rPr>
            </w:pPr>
          </w:p>
        </w:tc>
      </w:tr>
    </w:tbl>
    <w:p w14:paraId="72BF0DFA" w14:textId="77777777" w:rsidR="00D633F7" w:rsidRPr="00B76474" w:rsidRDefault="00D633F7" w:rsidP="00D633F7">
      <w:pPr>
        <w:pStyle w:val="Vchodzie"/>
        <w:spacing w:after="14"/>
        <w:rPr>
          <w:color w:val="auto"/>
        </w:rPr>
      </w:pPr>
    </w:p>
    <w:p w14:paraId="26882250" w14:textId="77777777" w:rsidR="00D633F7" w:rsidRPr="00B76474" w:rsidRDefault="00D633F7" w:rsidP="00D633F7">
      <w:pPr>
        <w:pStyle w:val="Vchodzie"/>
        <w:spacing w:after="14"/>
        <w:rPr>
          <w:rFonts w:ascii="Calibri" w:hAnsi="Calibri"/>
          <w:b/>
          <w:color w:val="auto"/>
          <w:sz w:val="22"/>
          <w:szCs w:val="22"/>
        </w:rPr>
      </w:pPr>
    </w:p>
    <w:p w14:paraId="4F991F84" w14:textId="77777777" w:rsidR="00D633F7" w:rsidRPr="00B76474" w:rsidRDefault="00D633F7" w:rsidP="00D633F7">
      <w:pPr>
        <w:pStyle w:val="Vchodzie"/>
        <w:spacing w:after="14"/>
        <w:rPr>
          <w:color w:val="auto"/>
        </w:rPr>
      </w:pPr>
      <w:r w:rsidRPr="00B76474">
        <w:rPr>
          <w:rFonts w:ascii="Calibri" w:hAnsi="Calibri"/>
          <w:b/>
          <w:color w:val="auto"/>
          <w:sz w:val="22"/>
          <w:szCs w:val="22"/>
        </w:rPr>
        <w:t>b) Informácie o záväzkoch s obmedzeným právom  nakladania</w:t>
      </w:r>
    </w:p>
    <w:p w14:paraId="405AFD98" w14:textId="77777777" w:rsidR="00D633F7" w:rsidRPr="00B76474" w:rsidRDefault="00D633F7" w:rsidP="00D633F7">
      <w:pPr>
        <w:pStyle w:val="Vchodzie"/>
        <w:jc w:val="both"/>
        <w:rPr>
          <w:color w:val="auto"/>
        </w:rPr>
      </w:pPr>
      <w:r w:rsidRPr="00B76474">
        <w:rPr>
          <w:rFonts w:ascii="Calibri" w:hAnsi="Calibri"/>
          <w:color w:val="auto"/>
          <w:sz w:val="20"/>
          <w:szCs w:val="20"/>
        </w:rPr>
        <w:t>Účtovná jednotka nemá záväzky kryté záložným právom, nemá zriadené obmedzenie v prospech veriteľov na ich pohľadávky.</w:t>
      </w:r>
    </w:p>
    <w:p w14:paraId="7DBF869C" w14:textId="77777777" w:rsidR="00D633F7" w:rsidRPr="00B76474" w:rsidRDefault="00D633F7" w:rsidP="00D633F7">
      <w:pPr>
        <w:pStyle w:val="Vchodzie"/>
        <w:rPr>
          <w:color w:val="auto"/>
        </w:rPr>
      </w:pPr>
    </w:p>
    <w:p w14:paraId="379BF912" w14:textId="77777777" w:rsidR="00D633F7" w:rsidRPr="00B76474" w:rsidRDefault="00D633F7" w:rsidP="00D633F7">
      <w:pPr>
        <w:pStyle w:val="Vchodzie"/>
        <w:spacing w:after="14"/>
        <w:rPr>
          <w:color w:val="auto"/>
        </w:rPr>
      </w:pPr>
      <w:r w:rsidRPr="00B76474">
        <w:rPr>
          <w:rFonts w:ascii="Calibri" w:hAnsi="Calibri"/>
          <w:b/>
          <w:color w:val="auto"/>
          <w:sz w:val="22"/>
          <w:szCs w:val="22"/>
        </w:rPr>
        <w:t xml:space="preserve">(4) Informácie o vlastných akciách </w:t>
      </w:r>
    </w:p>
    <w:p w14:paraId="75AEFEAD" w14:textId="77777777" w:rsidR="00D633F7" w:rsidRPr="00B76474" w:rsidRDefault="00D633F7" w:rsidP="00D633F7">
      <w:pPr>
        <w:pStyle w:val="Vchodzie"/>
        <w:rPr>
          <w:color w:val="auto"/>
        </w:rPr>
      </w:pPr>
      <w:r w:rsidRPr="00B76474">
        <w:rPr>
          <w:rFonts w:ascii="Calibri" w:hAnsi="Calibri"/>
          <w:color w:val="auto"/>
          <w:sz w:val="20"/>
          <w:szCs w:val="20"/>
        </w:rPr>
        <w:t>Spoločnosť nevydala a nemá vlastné akcie.</w:t>
      </w:r>
    </w:p>
    <w:p w14:paraId="556D3C91" w14:textId="77777777" w:rsidR="00D633F7" w:rsidRPr="00B76474" w:rsidRDefault="00D633F7" w:rsidP="00D633F7">
      <w:pPr>
        <w:pStyle w:val="Vchodzie"/>
        <w:rPr>
          <w:color w:val="auto"/>
        </w:rPr>
      </w:pPr>
    </w:p>
    <w:p w14:paraId="5AB95B1E" w14:textId="77777777" w:rsidR="00D633F7" w:rsidRPr="00B76474" w:rsidRDefault="00D633F7" w:rsidP="00D633F7">
      <w:pPr>
        <w:pStyle w:val="Vchodzie"/>
        <w:jc w:val="both"/>
        <w:rPr>
          <w:color w:val="auto"/>
        </w:rPr>
      </w:pPr>
      <w:r w:rsidRPr="00B76474">
        <w:rPr>
          <w:rFonts w:ascii="Calibri" w:hAnsi="Calibri"/>
          <w:b/>
          <w:color w:val="auto"/>
          <w:sz w:val="22"/>
          <w:szCs w:val="22"/>
        </w:rPr>
        <w:t xml:space="preserve">(5) Informácia o sume a dôvodoch vzniku jednotlivých položiek nákladov alebo výnosov, ktoré majú výnimočný rozsah alebo výskyt </w:t>
      </w:r>
    </w:p>
    <w:p w14:paraId="13E982F0" w14:textId="77777777" w:rsidR="00D633F7" w:rsidRPr="00B76474" w:rsidRDefault="00D633F7" w:rsidP="00D633F7">
      <w:pPr>
        <w:pStyle w:val="Vchodzie"/>
        <w:rPr>
          <w:color w:val="auto"/>
        </w:rPr>
      </w:pPr>
      <w:r w:rsidRPr="00B76474">
        <w:rPr>
          <w:rFonts w:ascii="Calibri" w:hAnsi="Calibri"/>
          <w:color w:val="auto"/>
          <w:sz w:val="20"/>
          <w:szCs w:val="20"/>
        </w:rPr>
        <w:t>Účtovná jednotka neúčtovala v roku 201</w:t>
      </w:r>
      <w:r>
        <w:rPr>
          <w:rFonts w:ascii="Calibri" w:hAnsi="Calibri"/>
          <w:color w:val="auto"/>
          <w:sz w:val="20"/>
          <w:szCs w:val="20"/>
        </w:rPr>
        <w:t>8</w:t>
      </w:r>
      <w:r w:rsidRPr="00B76474">
        <w:rPr>
          <w:rFonts w:ascii="Calibri" w:hAnsi="Calibri"/>
          <w:color w:val="auto"/>
          <w:sz w:val="20"/>
          <w:szCs w:val="20"/>
        </w:rPr>
        <w:t xml:space="preserve"> o výnosoch alebo nákladoch, ktoré majú výnimočný rozsah alebo výskyt.</w:t>
      </w:r>
    </w:p>
    <w:p w14:paraId="00510064" w14:textId="77777777" w:rsidR="00D633F7" w:rsidRPr="00B76474" w:rsidRDefault="00D633F7" w:rsidP="00D633F7">
      <w:pPr>
        <w:pStyle w:val="Vchodzie"/>
        <w:rPr>
          <w:color w:val="auto"/>
        </w:rPr>
      </w:pPr>
    </w:p>
    <w:p w14:paraId="3E88AF94" w14:textId="77777777" w:rsidR="00D633F7" w:rsidRPr="00B76474" w:rsidRDefault="00D633F7" w:rsidP="00D633F7">
      <w:pPr>
        <w:pStyle w:val="Vchodzie"/>
        <w:rPr>
          <w:color w:val="auto"/>
        </w:rPr>
      </w:pPr>
    </w:p>
    <w:p w14:paraId="1CC4A3E6" w14:textId="77777777" w:rsidR="00D633F7" w:rsidRPr="00B76474" w:rsidRDefault="00D633F7" w:rsidP="00D633F7">
      <w:pPr>
        <w:pStyle w:val="Vchodzie"/>
        <w:jc w:val="center"/>
        <w:rPr>
          <w:color w:val="auto"/>
        </w:rPr>
      </w:pPr>
      <w:r w:rsidRPr="00B76474">
        <w:rPr>
          <w:rFonts w:ascii="Calibri" w:hAnsi="Calibri"/>
          <w:b/>
          <w:bCs/>
          <w:color w:val="auto"/>
          <w:sz w:val="22"/>
          <w:szCs w:val="22"/>
        </w:rPr>
        <w:t>Informácie o iných aktívach a iných pasívach</w:t>
      </w:r>
    </w:p>
    <w:p w14:paraId="3ED07C55" w14:textId="77777777" w:rsidR="00D633F7" w:rsidRPr="00B76474" w:rsidRDefault="00D633F7" w:rsidP="00D633F7">
      <w:pPr>
        <w:pStyle w:val="Vchodzie"/>
        <w:jc w:val="center"/>
        <w:rPr>
          <w:color w:val="auto"/>
        </w:rPr>
      </w:pPr>
    </w:p>
    <w:p w14:paraId="5F3E912F" w14:textId="77777777" w:rsidR="00D633F7" w:rsidRPr="00B76474" w:rsidRDefault="00D633F7" w:rsidP="00D633F7">
      <w:pPr>
        <w:pStyle w:val="Vchodzie"/>
        <w:spacing w:after="17"/>
        <w:rPr>
          <w:color w:val="auto"/>
        </w:rPr>
      </w:pPr>
      <w:r w:rsidRPr="00B76474">
        <w:rPr>
          <w:rFonts w:ascii="Calibri" w:hAnsi="Calibri"/>
          <w:b/>
          <w:color w:val="auto"/>
          <w:sz w:val="22"/>
          <w:szCs w:val="22"/>
        </w:rPr>
        <w:t xml:space="preserve">(1) Informácie o iných aktívach a iných pasívach: </w:t>
      </w:r>
    </w:p>
    <w:p w14:paraId="7E549CC6" w14:textId="77777777" w:rsidR="00D633F7" w:rsidRPr="00B76474" w:rsidRDefault="00D633F7" w:rsidP="00D633F7">
      <w:pPr>
        <w:pStyle w:val="Vchodzie"/>
        <w:spacing w:after="17"/>
        <w:rPr>
          <w:color w:val="auto"/>
        </w:rPr>
      </w:pPr>
    </w:p>
    <w:p w14:paraId="0F0F5CEE" w14:textId="77777777" w:rsidR="00D633F7" w:rsidRPr="00B76474" w:rsidRDefault="00D633F7" w:rsidP="00D633F7">
      <w:pPr>
        <w:pStyle w:val="Vchodzie"/>
        <w:spacing w:after="17"/>
        <w:rPr>
          <w:color w:val="auto"/>
        </w:rPr>
      </w:pPr>
      <w:r w:rsidRPr="00B76474">
        <w:rPr>
          <w:rFonts w:ascii="Calibri" w:hAnsi="Calibri"/>
          <w:b/>
          <w:color w:val="auto"/>
          <w:sz w:val="22"/>
          <w:szCs w:val="22"/>
        </w:rPr>
        <w:t>a) Informácie o podmienenom majetku</w:t>
      </w:r>
    </w:p>
    <w:p w14:paraId="5B6CD9D2" w14:textId="77777777" w:rsidR="00D633F7" w:rsidRPr="00B76474" w:rsidRDefault="00D633F7" w:rsidP="00D633F7">
      <w:pPr>
        <w:pStyle w:val="Vchodzie"/>
        <w:spacing w:after="17"/>
        <w:rPr>
          <w:rFonts w:ascii="Calibri" w:hAnsi="Calibri"/>
          <w:color w:val="auto"/>
          <w:sz w:val="20"/>
          <w:szCs w:val="20"/>
        </w:rPr>
      </w:pPr>
      <w:r w:rsidRPr="00B76474">
        <w:rPr>
          <w:rFonts w:ascii="Calibri" w:hAnsi="Calibri"/>
          <w:color w:val="auto"/>
          <w:sz w:val="20"/>
          <w:szCs w:val="20"/>
        </w:rPr>
        <w:t>Účtovná jednotka nemá vedomosť o  žiadnom podmienenom majetku, ktorý sa nevykazuje v súvahe.</w:t>
      </w:r>
    </w:p>
    <w:p w14:paraId="79ED3270" w14:textId="77777777" w:rsidR="00D633F7" w:rsidRPr="00B76474" w:rsidRDefault="00D633F7" w:rsidP="00D633F7">
      <w:pPr>
        <w:pStyle w:val="Vchodzie"/>
        <w:spacing w:after="17"/>
        <w:rPr>
          <w:color w:val="auto"/>
        </w:rPr>
      </w:pPr>
    </w:p>
    <w:p w14:paraId="1BB4FB22" w14:textId="77777777" w:rsidR="00D633F7" w:rsidRPr="00B76474" w:rsidRDefault="00D633F7" w:rsidP="00D633F7">
      <w:pPr>
        <w:pStyle w:val="Nzov"/>
        <w:widowControl w:val="0"/>
        <w:spacing w:after="0"/>
        <w:jc w:val="left"/>
        <w:rPr>
          <w:color w:val="auto"/>
          <w:sz w:val="22"/>
          <w:szCs w:val="22"/>
        </w:rPr>
      </w:pPr>
      <w:r w:rsidRPr="00B76474">
        <w:rPr>
          <w:rFonts w:ascii="Calibri" w:hAnsi="Calibri"/>
          <w:color w:val="auto"/>
          <w:sz w:val="22"/>
          <w:szCs w:val="22"/>
        </w:rPr>
        <w:t>b) Informácie o podmienených záväzkoch</w:t>
      </w:r>
    </w:p>
    <w:p w14:paraId="0913185A" w14:textId="77777777" w:rsidR="00D633F7" w:rsidRPr="00B76474" w:rsidRDefault="00D633F7" w:rsidP="00D633F7">
      <w:pPr>
        <w:pStyle w:val="Vchodzie"/>
        <w:spacing w:after="17"/>
        <w:jc w:val="both"/>
        <w:rPr>
          <w:color w:val="auto"/>
        </w:rPr>
      </w:pPr>
    </w:p>
    <w:p w14:paraId="3C99F5BC" w14:textId="77777777" w:rsidR="00D633F7" w:rsidRPr="00B76474" w:rsidRDefault="00D633F7" w:rsidP="00D633F7">
      <w:pPr>
        <w:pStyle w:val="Vchodzie"/>
        <w:spacing w:after="17"/>
        <w:jc w:val="both"/>
        <w:rPr>
          <w:rFonts w:ascii="Calibri" w:hAnsi="Calibri" w:cs="Calibri"/>
          <w:color w:val="auto"/>
          <w:sz w:val="20"/>
          <w:szCs w:val="20"/>
        </w:rPr>
      </w:pPr>
      <w:r w:rsidRPr="00B76474">
        <w:rPr>
          <w:rFonts w:ascii="Calibri" w:hAnsi="Calibri" w:cs="Calibri"/>
          <w:color w:val="auto"/>
          <w:sz w:val="20"/>
          <w:szCs w:val="20"/>
        </w:rPr>
        <w:t>Vzhľadom na to, že viaceré oblasti slovenského daňového práva</w:t>
      </w:r>
      <w:r w:rsidRPr="00B76474">
        <w:rPr>
          <w:color w:val="auto"/>
        </w:rPr>
        <w:t xml:space="preserve"> </w:t>
      </w:r>
      <w:r w:rsidRPr="00B76474">
        <w:rPr>
          <w:rFonts w:ascii="Calibri" w:hAnsi="Calibri" w:cs="Calibri"/>
          <w:color w:val="auto"/>
          <w:sz w:val="20"/>
          <w:szCs w:val="20"/>
        </w:rPr>
        <w:t>( napr. legislatíva ohľadom transferového oceňovania) doteraz neboli dostatočne overené praxou, existuje neistota v tom, ako ich budú daňové orgány  aplikovať. Mieru tejto neistoty nie je možné kvantifikovať a zanikne až potom, keď budú k dispozícii právne precedensy príp. oficiálne interpretácie príslušných orgánov. Vedenie Spoločnosti si nie je vedomé žiadnych okolností, v dôsledku ktorých by jej vznikol v budúcnosti významný náklad.</w:t>
      </w:r>
    </w:p>
    <w:p w14:paraId="7974FA3F" w14:textId="77777777" w:rsidR="00D633F7" w:rsidRPr="00B76474" w:rsidRDefault="00D633F7" w:rsidP="00D633F7">
      <w:pPr>
        <w:pStyle w:val="Vchodzie"/>
        <w:spacing w:after="17"/>
        <w:jc w:val="both"/>
        <w:rPr>
          <w:color w:val="auto"/>
        </w:rPr>
      </w:pPr>
    </w:p>
    <w:p w14:paraId="17B131A2" w14:textId="77777777" w:rsidR="00D633F7" w:rsidRPr="00B76474" w:rsidRDefault="00D633F7" w:rsidP="00D633F7">
      <w:pPr>
        <w:pStyle w:val="Vchodzie"/>
        <w:spacing w:after="17"/>
        <w:jc w:val="both"/>
        <w:rPr>
          <w:rFonts w:ascii="Calibri" w:hAnsi="Calibri" w:cs="Calibri"/>
          <w:color w:val="auto"/>
          <w:sz w:val="20"/>
          <w:szCs w:val="20"/>
        </w:rPr>
      </w:pPr>
    </w:p>
    <w:p w14:paraId="03C9D950" w14:textId="77777777" w:rsidR="00D633F7" w:rsidRPr="00B76474" w:rsidRDefault="00D633F7" w:rsidP="00D633F7">
      <w:pPr>
        <w:pStyle w:val="Vchodzie"/>
        <w:spacing w:after="17"/>
        <w:jc w:val="both"/>
        <w:rPr>
          <w:rFonts w:ascii="Calibri" w:hAnsi="Calibri" w:cs="Calibri"/>
          <w:color w:val="auto"/>
          <w:sz w:val="20"/>
          <w:szCs w:val="20"/>
        </w:rPr>
      </w:pPr>
      <w:r w:rsidRPr="00B76474">
        <w:rPr>
          <w:rFonts w:ascii="Calibri" w:hAnsi="Calibri" w:cs="Calibri"/>
          <w:color w:val="auto"/>
          <w:sz w:val="20"/>
          <w:szCs w:val="20"/>
        </w:rPr>
        <w:t>Okrem vyššie uvedeného, nemá Spoločnosť vedomosť o inom podmienenom majetku alebo podmienených záväzkoch, ktoré sa nevykazujú v súvahe.</w:t>
      </w:r>
    </w:p>
    <w:p w14:paraId="71A29426" w14:textId="77777777" w:rsidR="00D633F7" w:rsidRPr="00B76474" w:rsidRDefault="00D633F7" w:rsidP="00D633F7">
      <w:pPr>
        <w:pStyle w:val="Vchodzie"/>
        <w:spacing w:after="17"/>
        <w:rPr>
          <w:color w:val="auto"/>
          <w:sz w:val="20"/>
          <w:szCs w:val="20"/>
        </w:rPr>
      </w:pPr>
    </w:p>
    <w:p w14:paraId="051A5797" w14:textId="77777777" w:rsidR="00D633F7" w:rsidRPr="00B76474" w:rsidRDefault="00D633F7" w:rsidP="00D633F7">
      <w:pPr>
        <w:pStyle w:val="Vchodzie"/>
        <w:spacing w:after="17"/>
        <w:rPr>
          <w:color w:val="auto"/>
        </w:rPr>
      </w:pPr>
    </w:p>
    <w:p w14:paraId="5E9EF0FA" w14:textId="77777777" w:rsidR="00D633F7" w:rsidRPr="00B76474" w:rsidRDefault="00D633F7" w:rsidP="00D633F7">
      <w:pPr>
        <w:pStyle w:val="Vchodzie"/>
        <w:rPr>
          <w:color w:val="auto"/>
        </w:rPr>
      </w:pPr>
      <w:r w:rsidRPr="00B76474">
        <w:rPr>
          <w:rFonts w:ascii="Calibri" w:hAnsi="Calibri"/>
          <w:b/>
          <w:color w:val="auto"/>
          <w:sz w:val="22"/>
          <w:szCs w:val="22"/>
        </w:rPr>
        <w:t xml:space="preserve"> (2) Informácia o ostatných finančných povinnostiach, ktoré sa nevykazujú v účtovných výkazoch</w:t>
      </w:r>
    </w:p>
    <w:p w14:paraId="128F9EB5" w14:textId="77777777" w:rsidR="00D633F7" w:rsidRPr="00B76474" w:rsidRDefault="00D633F7" w:rsidP="00D633F7">
      <w:pPr>
        <w:pStyle w:val="Vchodzie"/>
        <w:jc w:val="both"/>
        <w:rPr>
          <w:color w:val="auto"/>
        </w:rPr>
      </w:pPr>
      <w:r w:rsidRPr="00B76474">
        <w:rPr>
          <w:rFonts w:ascii="Calibri" w:hAnsi="Calibri"/>
          <w:color w:val="auto"/>
          <w:sz w:val="20"/>
          <w:szCs w:val="20"/>
        </w:rPr>
        <w:t>Spoločnosti nebolo udelené výlučné právo alebo osobitné právo poskytovať služby vo verejnom záujme. Na spoločnosť sa rovnako nevzťahuje § 23d ods. 6 zákona o účtovníctve.</w:t>
      </w:r>
    </w:p>
    <w:p w14:paraId="2AC85135" w14:textId="77777777" w:rsidR="00D633F7" w:rsidRPr="00B76474" w:rsidRDefault="00D633F7" w:rsidP="00D633F7">
      <w:pPr>
        <w:pStyle w:val="Vchodzie"/>
        <w:rPr>
          <w:color w:val="auto"/>
        </w:rPr>
      </w:pPr>
    </w:p>
    <w:p w14:paraId="61E034B8" w14:textId="77777777" w:rsidR="00D633F7" w:rsidRPr="00B76474" w:rsidRDefault="00D633F7" w:rsidP="00D633F7">
      <w:pPr>
        <w:pStyle w:val="Vchodzie"/>
        <w:rPr>
          <w:color w:val="auto"/>
        </w:rPr>
      </w:pPr>
    </w:p>
    <w:p w14:paraId="71536835" w14:textId="77777777" w:rsidR="00D633F7" w:rsidRPr="00B76474" w:rsidRDefault="00D633F7" w:rsidP="00D633F7">
      <w:pPr>
        <w:pStyle w:val="Vchodzie"/>
        <w:rPr>
          <w:color w:val="auto"/>
        </w:rPr>
      </w:pPr>
      <w:r w:rsidRPr="00B76474">
        <w:rPr>
          <w:rFonts w:ascii="Calibri" w:hAnsi="Calibri"/>
          <w:b/>
          <w:color w:val="auto"/>
          <w:sz w:val="22"/>
          <w:szCs w:val="22"/>
        </w:rPr>
        <w:t xml:space="preserve">(3) Informácie ku skutočnostiam sledovaným na podsúvahových účtoch  </w:t>
      </w:r>
    </w:p>
    <w:p w14:paraId="27D1B2A4" w14:textId="77777777" w:rsidR="00D633F7" w:rsidRPr="00B76474" w:rsidRDefault="00D633F7" w:rsidP="00D633F7">
      <w:pPr>
        <w:pStyle w:val="Vchodzie"/>
        <w:rPr>
          <w:color w:val="auto"/>
        </w:rPr>
      </w:pPr>
    </w:p>
    <w:p w14:paraId="32BEFAF2" w14:textId="77777777" w:rsidR="00D633F7" w:rsidRPr="00B76474" w:rsidRDefault="00D633F7" w:rsidP="00D633F7">
      <w:pPr>
        <w:pStyle w:val="Vchodzie"/>
        <w:rPr>
          <w:rFonts w:ascii="Calibri" w:hAnsi="Calibri" w:cs="Calibri"/>
          <w:color w:val="auto"/>
          <w:sz w:val="20"/>
          <w:szCs w:val="20"/>
        </w:rPr>
      </w:pPr>
      <w:r w:rsidRPr="00B76474">
        <w:rPr>
          <w:rFonts w:ascii="Calibri" w:hAnsi="Calibri" w:cs="Calibri"/>
          <w:color w:val="auto"/>
          <w:sz w:val="20"/>
          <w:szCs w:val="20"/>
        </w:rPr>
        <w:t xml:space="preserve"> Spoločnosť nemá vedomosť o inom podmienenom majetku alebo podmienených záväzkoch, ktoré sa nevykazujú v súvahe. </w:t>
      </w:r>
    </w:p>
    <w:p w14:paraId="63ADE6AF" w14:textId="77777777" w:rsidR="00D633F7" w:rsidRPr="00B76474" w:rsidRDefault="00D633F7" w:rsidP="00D633F7">
      <w:pPr>
        <w:pStyle w:val="Vchodzie"/>
        <w:jc w:val="center"/>
        <w:rPr>
          <w:color w:val="auto"/>
        </w:rPr>
      </w:pPr>
    </w:p>
    <w:p w14:paraId="2177C070" w14:textId="77777777" w:rsidR="00D633F7" w:rsidRPr="00B76474" w:rsidRDefault="00D633F7" w:rsidP="00D633F7">
      <w:pPr>
        <w:pStyle w:val="Vchodzie"/>
        <w:jc w:val="center"/>
        <w:rPr>
          <w:color w:val="auto"/>
        </w:rPr>
      </w:pPr>
      <w:r w:rsidRPr="00B76474">
        <w:rPr>
          <w:rFonts w:ascii="Calibri" w:hAnsi="Calibri"/>
          <w:b/>
          <w:bCs/>
          <w:color w:val="auto"/>
          <w:sz w:val="22"/>
          <w:szCs w:val="22"/>
        </w:rPr>
        <w:t>Udalosti, ktoré nastali po dni, ku ktorému sa zostavuje účtovná závierka</w:t>
      </w:r>
    </w:p>
    <w:p w14:paraId="0A1E3BA4" w14:textId="77777777" w:rsidR="00D633F7" w:rsidRPr="00B76474" w:rsidRDefault="00D633F7" w:rsidP="00D633F7">
      <w:pPr>
        <w:pStyle w:val="Vchodzie"/>
        <w:jc w:val="center"/>
        <w:rPr>
          <w:color w:val="auto"/>
        </w:rPr>
      </w:pPr>
    </w:p>
    <w:p w14:paraId="44E2C9D6" w14:textId="6B73C5B1" w:rsidR="00D633F7" w:rsidRPr="00B76474" w:rsidRDefault="00D633F7" w:rsidP="00D633F7">
      <w:pPr>
        <w:pStyle w:val="Vchodzie"/>
        <w:jc w:val="both"/>
        <w:rPr>
          <w:color w:val="auto"/>
        </w:rPr>
      </w:pPr>
      <w:r w:rsidRPr="00B76474">
        <w:rPr>
          <w:rFonts w:ascii="Calibri" w:hAnsi="Calibri"/>
          <w:bCs/>
          <w:color w:val="auto"/>
          <w:sz w:val="20"/>
          <w:szCs w:val="20"/>
        </w:rPr>
        <w:t>Po 31. decembri 20 do dňa zostavenia účtovnej závierky spoločnosti nenastali také udalosti, ktoré by si vyžadovali zverejnenie alebo vykázanie v účtovnej závierke za rok 20</w:t>
      </w:r>
      <w:r w:rsidR="0039384D">
        <w:rPr>
          <w:rFonts w:ascii="Calibri" w:hAnsi="Calibri"/>
          <w:bCs/>
          <w:color w:val="auto"/>
          <w:sz w:val="20"/>
          <w:szCs w:val="20"/>
        </w:rPr>
        <w:t>20</w:t>
      </w:r>
      <w:r w:rsidRPr="00B76474">
        <w:rPr>
          <w:rFonts w:ascii="Calibri" w:hAnsi="Calibri"/>
          <w:bCs/>
          <w:color w:val="auto"/>
          <w:sz w:val="20"/>
          <w:szCs w:val="20"/>
        </w:rPr>
        <w:t>.</w:t>
      </w:r>
    </w:p>
    <w:p w14:paraId="4B65E69E" w14:textId="77777777" w:rsidR="00D633F7" w:rsidRPr="00B76474" w:rsidRDefault="00D633F7" w:rsidP="00D633F7">
      <w:pPr>
        <w:pStyle w:val="Vchodzie"/>
        <w:jc w:val="both"/>
        <w:rPr>
          <w:color w:val="auto"/>
        </w:rPr>
      </w:pPr>
    </w:p>
    <w:p w14:paraId="344C090F" w14:textId="0AF0166D" w:rsidR="0039384D" w:rsidRDefault="0039384D" w:rsidP="0039384D">
      <w:r>
        <w:t xml:space="preserve">                               </w:t>
      </w:r>
      <w:proofErr w:type="spellStart"/>
      <w:r>
        <w:t>Ososbitné</w:t>
      </w:r>
      <w:proofErr w:type="spellEnd"/>
      <w:r>
        <w:t xml:space="preserve"> záznamy</w:t>
      </w:r>
    </w:p>
    <w:p w14:paraId="1C7AB89D" w14:textId="4B025A39" w:rsidR="0039384D" w:rsidRDefault="0039384D" w:rsidP="0039384D">
      <w:r>
        <w:t xml:space="preserve">Mimoriadne udalosti v súvislosti s pandémiou </w:t>
      </w:r>
      <w:proofErr w:type="spellStart"/>
      <w:r>
        <w:t>koronavírusu</w:t>
      </w:r>
      <w:proofErr w:type="spellEnd"/>
      <w:r>
        <w:t xml:space="preserve"> COVID-19 podľa nášho posúdenia neovplyvnia podnikateľskú činnosť Spoločnosti do takej miery, dôsledkom ktorých by došlo k ohrozeniu nepretržitého pokračovania v činnosti spoločnosti. Opatrenia vlády SR na zamedzenie šírenia </w:t>
      </w:r>
      <w:proofErr w:type="spellStart"/>
      <w:r>
        <w:t>koronavírusu</w:t>
      </w:r>
      <w:proofErr w:type="spellEnd"/>
      <w:r>
        <w:t xml:space="preserve"> sa tak v prvej vlne ako aj v druhej vlne pandémie významne neovplyvnili našu činnosť.  Analýzou vývoja Spoločnosti v čase od 13.3.2020 do spracovania účtovnej závierky  sme dospeli k názoru, že aj napriek tomu, že došlo k miernemu  obmedzeniu činnosti Spoločnosti, nedochádza:</w:t>
      </w:r>
    </w:p>
    <w:p w14:paraId="6AF4C3A4" w14:textId="1F09CBA5" w:rsidR="0039384D" w:rsidRDefault="0039384D" w:rsidP="0039384D">
      <w:r>
        <w:lastRenderedPageBreak/>
        <w:t xml:space="preserve">- k nadmernému a významnému znehodnoteniu finančných a nefinančných aktív z titulu nepriaznivej ekonomickej situácie, - k takému významnému prerušeniu dodávateľsko-odberateľských vzťahov alebo k inému narušeniu podnikateľskej činnosti, ktoré by mohli viesť k úplnému zastaveniu činnosti Spoločnosti,- k nadmernému prerušeniu súčasných a budúcich peňažných tokov s negatívnym dopadom na likviditu a finančnú situáciu spoločnosti, a k možnému zvýšeniu </w:t>
      </w:r>
      <w:proofErr w:type="spellStart"/>
      <w:r>
        <w:t>zadĺženosti</w:t>
      </w:r>
      <w:proofErr w:type="spellEnd"/>
      <w:r>
        <w:t>, ktoré by znamenalo ohrozenie existencie Spoločnosti,- prijali sme organizačné a finančné opatrenia na zabezpečenie chodu spoločnosti tak, aby nedošlo k ohrozeniu nepretržitého pokračovania v činnosti</w:t>
      </w:r>
    </w:p>
    <w:p w14:paraId="1F4D0701" w14:textId="77777777" w:rsidR="00170FA2" w:rsidRDefault="00170FA2"/>
    <w:sectPr w:rsidR="00170FA2" w:rsidSect="00101961">
      <w:headerReference w:type="default" r:id="rId6"/>
      <w:pgSz w:w="11906" w:h="16838" w:code="9"/>
      <w:pgMar w:top="1717" w:right="1156" w:bottom="879" w:left="1337" w:header="708" w:footer="0" w:gutter="0"/>
      <w:cols w:space="708"/>
      <w:formProt w:val="0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569872E" w14:textId="77777777" w:rsidR="00A4395B" w:rsidRDefault="00A4395B">
      <w:pPr>
        <w:spacing w:after="0" w:line="240" w:lineRule="auto"/>
      </w:pPr>
      <w:r>
        <w:separator/>
      </w:r>
    </w:p>
  </w:endnote>
  <w:endnote w:type="continuationSeparator" w:id="0">
    <w:p w14:paraId="5D5C022F" w14:textId="77777777" w:rsidR="00A4395B" w:rsidRDefault="00A4395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ArialNarrow">
    <w:panose1 w:val="00000000000000000000"/>
    <w:charset w:val="00"/>
    <w:family w:val="roman"/>
    <w:notTrueType/>
    <w:pitch w:val="default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729AE24" w14:textId="77777777" w:rsidR="00A4395B" w:rsidRDefault="00A4395B">
      <w:pPr>
        <w:spacing w:after="0" w:line="240" w:lineRule="auto"/>
      </w:pPr>
      <w:r>
        <w:separator/>
      </w:r>
    </w:p>
  </w:footnote>
  <w:footnote w:type="continuationSeparator" w:id="0">
    <w:p w14:paraId="7C093A7D" w14:textId="77777777" w:rsidR="00A4395B" w:rsidRDefault="00A4395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D7D6F69" w14:textId="77777777" w:rsidR="00BD32F9" w:rsidRDefault="00D633F7">
    <w:pPr>
      <w:pStyle w:val="Hlavika"/>
    </w:pPr>
    <w:r>
      <w:rPr>
        <w:sz w:val="21"/>
        <w:szCs w:val="21"/>
      </w:rPr>
      <w:t xml:space="preserve">Poznámky </w:t>
    </w:r>
    <w:proofErr w:type="spellStart"/>
    <w:r>
      <w:rPr>
        <w:sz w:val="21"/>
        <w:szCs w:val="21"/>
      </w:rPr>
      <w:t>Úč</w:t>
    </w:r>
    <w:proofErr w:type="spellEnd"/>
    <w:r>
      <w:rPr>
        <w:sz w:val="21"/>
        <w:szCs w:val="21"/>
      </w:rPr>
      <w:t xml:space="preserve"> POD 3-01                 </w:t>
    </w:r>
    <w:r>
      <w:rPr>
        <w:sz w:val="21"/>
        <w:szCs w:val="21"/>
      </w:rPr>
      <w:tab/>
    </w:r>
    <w:r>
      <w:rPr>
        <w:sz w:val="21"/>
        <w:szCs w:val="21"/>
      </w:rPr>
      <w:tab/>
      <w:t>IČO:36765431</w:t>
    </w:r>
  </w:p>
  <w:p w14:paraId="502814F7" w14:textId="77777777" w:rsidR="00BD32F9" w:rsidRDefault="00D633F7">
    <w:pPr>
      <w:pStyle w:val="Hlavika"/>
    </w:pPr>
    <w:r>
      <w:rPr>
        <w:sz w:val="21"/>
        <w:szCs w:val="21"/>
      </w:rPr>
      <w:t xml:space="preserve">                                                                              </w:t>
    </w:r>
    <w:r>
      <w:rPr>
        <w:sz w:val="21"/>
        <w:szCs w:val="21"/>
      </w:rPr>
      <w:tab/>
    </w:r>
    <w:r>
      <w:rPr>
        <w:sz w:val="21"/>
        <w:szCs w:val="21"/>
      </w:rPr>
      <w:tab/>
      <w:t xml:space="preserve">   DIČ:2022370306  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2646D"/>
    <w:rsid w:val="00170FA2"/>
    <w:rsid w:val="0039384D"/>
    <w:rsid w:val="00551218"/>
    <w:rsid w:val="0062646D"/>
    <w:rsid w:val="006E1F1A"/>
    <w:rsid w:val="00902ED1"/>
    <w:rsid w:val="0099780D"/>
    <w:rsid w:val="00A4395B"/>
    <w:rsid w:val="00C07234"/>
    <w:rsid w:val="00D633F7"/>
    <w:rsid w:val="00D862D2"/>
    <w:rsid w:val="00DC3E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68D5E71"/>
  <w15:docId w15:val="{36FABF6F-413A-469F-AC53-BA0F72EF586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D633F7"/>
    <w:rPr>
      <w:rFonts w:eastAsiaTheme="minorEastAsia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Vchodzie">
    <w:name w:val="Východzie"/>
    <w:rsid w:val="00D633F7"/>
    <w:pPr>
      <w:suppressAutoHyphens/>
      <w:spacing w:after="0" w:line="100" w:lineRule="atLeast"/>
    </w:pPr>
    <w:rPr>
      <w:rFonts w:ascii="Arial" w:eastAsia="Arial Unicode MS" w:hAnsi="Arial" w:cs="Arial"/>
      <w:color w:val="000000"/>
      <w:sz w:val="24"/>
      <w:szCs w:val="24"/>
    </w:rPr>
  </w:style>
  <w:style w:type="paragraph" w:customStyle="1" w:styleId="Telotextu">
    <w:name w:val="Telo textu"/>
    <w:basedOn w:val="Vchodzie"/>
    <w:rsid w:val="00D633F7"/>
    <w:pPr>
      <w:spacing w:after="120"/>
      <w:jc w:val="both"/>
    </w:pPr>
    <w:rPr>
      <w:rFonts w:ascii="Times New Roman" w:hAnsi="Times New Roman"/>
      <w:b/>
      <w:bCs/>
      <w:lang w:eastAsia="cs-CZ"/>
    </w:rPr>
  </w:style>
  <w:style w:type="paragraph" w:styleId="Hlavika">
    <w:name w:val="header"/>
    <w:basedOn w:val="Vchodzie"/>
    <w:link w:val="HlavikaChar"/>
    <w:rsid w:val="00D633F7"/>
    <w:pPr>
      <w:suppressLineNumbers/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D633F7"/>
    <w:rPr>
      <w:rFonts w:ascii="Arial" w:eastAsia="Arial Unicode MS" w:hAnsi="Arial" w:cs="Arial"/>
      <w:color w:val="000000"/>
      <w:sz w:val="24"/>
      <w:szCs w:val="24"/>
    </w:rPr>
  </w:style>
  <w:style w:type="paragraph" w:styleId="Odsekzoznamu">
    <w:name w:val="List Paragraph"/>
    <w:basedOn w:val="Vchodzie"/>
    <w:rsid w:val="00D633F7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</w:rPr>
  </w:style>
  <w:style w:type="paragraph" w:customStyle="1" w:styleId="TopHeader">
    <w:name w:val="Top Header"/>
    <w:basedOn w:val="Vchodzie"/>
    <w:rsid w:val="00D633F7"/>
    <w:pPr>
      <w:jc w:val="center"/>
    </w:pPr>
    <w:rPr>
      <w:b/>
      <w:bCs/>
      <w:sz w:val="22"/>
      <w:szCs w:val="22"/>
    </w:rPr>
  </w:style>
  <w:style w:type="paragraph" w:styleId="Nzov">
    <w:name w:val="Title"/>
    <w:basedOn w:val="Vchodzie"/>
    <w:next w:val="Normlny"/>
    <w:link w:val="NzovChar"/>
    <w:rsid w:val="00D633F7"/>
    <w:pPr>
      <w:keepNext/>
      <w:spacing w:before="28" w:after="220"/>
      <w:jc w:val="center"/>
    </w:pPr>
    <w:rPr>
      <w:b/>
      <w:bCs/>
      <w:sz w:val="32"/>
      <w:szCs w:val="32"/>
    </w:rPr>
  </w:style>
  <w:style w:type="character" w:customStyle="1" w:styleId="NzovChar">
    <w:name w:val="Názov Char"/>
    <w:basedOn w:val="Predvolenpsmoodseku"/>
    <w:link w:val="Nzov"/>
    <w:rsid w:val="00D633F7"/>
    <w:rPr>
      <w:rFonts w:ascii="Arial" w:eastAsia="Arial Unicode MS" w:hAnsi="Arial" w:cs="Arial"/>
      <w:b/>
      <w:bCs/>
      <w:color w:val="000000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1</Pages>
  <Words>2502</Words>
  <Characters>14267</Characters>
  <Application>Microsoft Office Word</Application>
  <DocSecurity>0</DocSecurity>
  <Lines>118</Lines>
  <Paragraphs>33</Paragraphs>
  <ScaleCrop>false</ScaleCrop>
  <Company/>
  <LinksUpToDate>false</LinksUpToDate>
  <CharactersWithSpaces>16736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HPSERV</dc:creator>
  <cp:keywords/>
  <dc:description/>
  <cp:lastModifiedBy>Zuzana Bednarikova</cp:lastModifiedBy>
  <cp:revision>4</cp:revision>
  <dcterms:created xsi:type="dcterms:W3CDTF">2021-06-30T20:35:00Z</dcterms:created>
  <dcterms:modified xsi:type="dcterms:W3CDTF">2021-06-30T21:25:00Z</dcterms:modified>
</cp:coreProperties>
</file>