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7A5" w:rsidRDefault="00AC3E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31.12.2020</w:t>
      </w:r>
    </w:p>
    <w:p w:rsidR="00C107A5" w:rsidRDefault="00AC3E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 w:rsidR="00C107A5" w:rsidRDefault="00C107A5">
      <w:pPr>
        <w:rPr>
          <w:rFonts w:cs="Arial"/>
          <w:szCs w:val="22"/>
        </w:rPr>
      </w:pPr>
    </w:p>
    <w:p w:rsidR="00C107A5" w:rsidRDefault="00AC3EC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C107A5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C107A5" w:rsidRDefault="00AC3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C107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AC3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AC3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LUCCA KM, s.r.o.</w:t>
            </w:r>
          </w:p>
        </w:tc>
      </w:tr>
      <w:tr w:rsidR="00C107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AC3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AC3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52/A, Bratislava</w:t>
            </w:r>
          </w:p>
        </w:tc>
      </w:tr>
      <w:tr w:rsidR="00C107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AC3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AC3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50666746</w:t>
            </w:r>
            <w:r>
              <w:rPr>
                <w:rFonts w:cs="Arial"/>
                <w:szCs w:val="22"/>
              </w:rPr>
              <w:t xml:space="preserve">          DIČ:  2120429080</w:t>
            </w:r>
          </w:p>
        </w:tc>
      </w:tr>
      <w:tr w:rsidR="00C107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AC3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C107A5">
            <w:pPr>
              <w:jc w:val="both"/>
              <w:rPr>
                <w:rFonts w:cs="Arial"/>
                <w:szCs w:val="22"/>
              </w:rPr>
            </w:pPr>
          </w:p>
        </w:tc>
      </w:tr>
      <w:tr w:rsidR="00C107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107A5" w:rsidRDefault="00AC3E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C107A5" w:rsidRDefault="00C107A5">
      <w:pPr>
        <w:jc w:val="both"/>
        <w:rPr>
          <w:rFonts w:cs="Arial"/>
          <w:b/>
          <w:bCs/>
          <w:szCs w:val="22"/>
        </w:rPr>
      </w:pPr>
    </w:p>
    <w:p w:rsidR="00C107A5" w:rsidRDefault="00AC3E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:rsidR="00C107A5" w:rsidRDefault="00C107A5">
      <w:pPr>
        <w:jc w:val="both"/>
        <w:rPr>
          <w:rFonts w:cs="Arial"/>
          <w:szCs w:val="22"/>
        </w:rPr>
      </w:pPr>
    </w:p>
    <w:p w:rsidR="00C107A5" w:rsidRDefault="00AC3EC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C107A5" w:rsidRDefault="00AC3EC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C107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szCs w:val="22"/>
        </w:rPr>
      </w:pPr>
    </w:p>
    <w:p w:rsidR="00C107A5" w:rsidRDefault="00C107A5">
      <w:pPr>
        <w:jc w:val="both"/>
        <w:rPr>
          <w:rFonts w:cs="Arial"/>
          <w:szCs w:val="22"/>
        </w:rPr>
      </w:pP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</w:t>
      </w:r>
      <w:r>
        <w:rPr>
          <w:rFonts w:cs="Arial"/>
          <w:szCs w:val="22"/>
        </w:rPr>
        <w:t>očnostiach</w:t>
      </w:r>
    </w:p>
    <w:p w:rsidR="00C107A5" w:rsidRDefault="00C107A5">
      <w:pPr>
        <w:ind w:right="-468"/>
        <w:jc w:val="both"/>
        <w:rPr>
          <w:rFonts w:cs="Arial"/>
          <w:szCs w:val="22"/>
        </w:rPr>
      </w:pP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107A5" w:rsidRDefault="00C107A5">
      <w:pPr>
        <w:ind w:right="-468"/>
        <w:jc w:val="both"/>
        <w:rPr>
          <w:rFonts w:cs="Arial"/>
          <w:b/>
          <w:szCs w:val="22"/>
        </w:rPr>
      </w:pPr>
    </w:p>
    <w:p w:rsidR="00C107A5" w:rsidRDefault="00AC3EC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C107A5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C107A5" w:rsidRDefault="00AC3EC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</w:t>
            </w:r>
            <w:r>
              <w:rPr>
                <w:b/>
                <w:bCs/>
                <w:szCs w:val="22"/>
                <w:lang w:val="en-US"/>
              </w:rPr>
              <w:t xml:space="preserve"> k časti B. písm. b) prílohy č. 3 o štruktúre spoločníkov, akcionárov ku dňu, ku ktorému sa zostavuje</w:t>
            </w:r>
          </w:p>
          <w:p w:rsidR="00C107A5" w:rsidRDefault="00AC3EC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C107A5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C107A5" w:rsidRDefault="00C107A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C107A5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one" w:sz="4" w:space="0" w:color="000000"/>
              <w:left w:val="single" w:sz="4" w:space="0" w:color="auto"/>
              <w:bottom w:val="none" w:sz="4" w:space="0" w:color="000000"/>
              <w:right w:val="none" w:sz="4" w:space="0" w:color="000000"/>
            </w:tcBorders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</w:tr>
      <w:tr w:rsidR="00C107A5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A5" w:rsidRDefault="00C107A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A5" w:rsidRDefault="00C107A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one" w:sz="4" w:space="0" w:color="000000"/>
              <w:left w:val="single" w:sz="4" w:space="0" w:color="auto"/>
              <w:bottom w:val="none" w:sz="4" w:space="0" w:color="000000"/>
              <w:right w:val="none" w:sz="4" w:space="0" w:color="000000"/>
            </w:tcBorders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</w:tr>
      <w:tr w:rsidR="00C107A5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A5" w:rsidRDefault="00AC3E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A5" w:rsidRDefault="00AC3E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AC3E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07A5" w:rsidRDefault="00AC3E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C107A5" w:rsidRDefault="00AC3E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8" w:space="0" w:color="auto"/>
            </w:tcBorders>
          </w:tcPr>
          <w:p w:rsidR="00C107A5" w:rsidRDefault="00AC3E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</w:tr>
      <w:tr w:rsidR="00C107A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AC3E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AC3E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</w:tr>
      <w:tr w:rsidR="00C107A5">
        <w:trPr>
          <w:trHeight w:val="280"/>
        </w:trPr>
        <w:tc>
          <w:tcPr>
            <w:tcW w:w="2860" w:type="dxa"/>
            <w:tcBorders>
              <w:top w:val="none" w:sz="4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</w:tr>
      <w:tr w:rsidR="00C107A5">
        <w:trPr>
          <w:trHeight w:val="280"/>
        </w:trPr>
        <w:tc>
          <w:tcPr>
            <w:tcW w:w="2860" w:type="dxa"/>
            <w:tcBorders>
              <w:top w:val="none" w:sz="4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</w:tr>
      <w:tr w:rsidR="00C107A5">
        <w:trPr>
          <w:trHeight w:val="280"/>
        </w:trPr>
        <w:tc>
          <w:tcPr>
            <w:tcW w:w="2860" w:type="dxa"/>
            <w:tcBorders>
              <w:top w:val="none" w:sz="4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</w:tr>
      <w:tr w:rsidR="00C107A5">
        <w:trPr>
          <w:trHeight w:val="300"/>
        </w:trPr>
        <w:tc>
          <w:tcPr>
            <w:tcW w:w="2860" w:type="dxa"/>
            <w:tcBorders>
              <w:top w:val="non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107A5" w:rsidRDefault="00AC3EC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vAlign w:val="bottom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vAlign w:val="bottom"/>
          </w:tcPr>
          <w:p w:rsidR="00C107A5" w:rsidRDefault="00C107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vAlign w:val="bottom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vAlign w:val="bottom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one" w:sz="4" w:space="0" w:color="000000"/>
              <w:left w:val="none" w:sz="4" w:space="0" w:color="000000"/>
              <w:bottom w:val="single" w:sz="8" w:space="0" w:color="auto"/>
              <w:right w:val="single" w:sz="8" w:space="0" w:color="auto"/>
            </w:tcBorders>
            <w:vAlign w:val="bottom"/>
          </w:tcPr>
          <w:p w:rsidR="00C107A5" w:rsidRDefault="00AC3E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107A5" w:rsidRDefault="00C107A5">
            <w:pPr>
              <w:rPr>
                <w:sz w:val="20"/>
                <w:szCs w:val="20"/>
              </w:rPr>
            </w:pPr>
          </w:p>
        </w:tc>
      </w:tr>
    </w:tbl>
    <w:p w:rsidR="00C107A5" w:rsidRDefault="00C107A5">
      <w:pPr>
        <w:ind w:right="-468"/>
        <w:jc w:val="both"/>
        <w:rPr>
          <w:rFonts w:cs="Arial"/>
          <w:szCs w:val="22"/>
        </w:rPr>
      </w:pPr>
    </w:p>
    <w:p w:rsidR="00C107A5" w:rsidRDefault="00AC3E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C107A5" w:rsidRDefault="00AC3E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C107A5" w:rsidRDefault="00AC3E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C107A5" w:rsidRDefault="00AC3E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C107A5" w:rsidRDefault="00AC3E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C107A5" w:rsidRDefault="00AC3E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C107A5" w:rsidRDefault="00AC3E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C107A5" w:rsidRDefault="00C107A5">
      <w:pPr>
        <w:ind w:right="-468"/>
        <w:jc w:val="both"/>
        <w:rPr>
          <w:rFonts w:cs="Arial"/>
          <w:b/>
          <w:bCs/>
          <w:szCs w:val="22"/>
        </w:rPr>
      </w:pPr>
    </w:p>
    <w:p w:rsidR="00C107A5" w:rsidRDefault="00AC3E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</w:t>
      </w:r>
      <w:r>
        <w:rPr>
          <w:rFonts w:cs="Arial"/>
          <w:b/>
          <w:bCs/>
          <w:szCs w:val="22"/>
        </w:rPr>
        <w:t>itých účtovných zásadách a účtovných metódach: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</w:t>
      </w:r>
      <w:r>
        <w:rPr>
          <w:rFonts w:cs="Arial"/>
          <w:szCs w:val="22"/>
        </w:rPr>
        <w:t xml:space="preserve">etód, s uvedením dôvodu ich uplatnenia a ich vplyvu na hodnotu majetku, záväzkov, vlastného imania a výsledku hospodárenia účtovnej jednotky:  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</w:t>
      </w:r>
      <w:r>
        <w:rPr>
          <w:rFonts w:cs="Arial"/>
          <w:szCs w:val="22"/>
        </w:rPr>
        <w:t xml:space="preserve">žiek majetku a záväzkov v členení na:  </w:t>
      </w:r>
    </w:p>
    <w:p w:rsidR="00C107A5" w:rsidRDefault="00C107A5">
      <w:pPr>
        <w:jc w:val="both"/>
        <w:rPr>
          <w:rFonts w:cs="Arial"/>
          <w:szCs w:val="22"/>
        </w:rPr>
      </w:pPr>
    </w:p>
    <w:p w:rsidR="00C107A5" w:rsidRDefault="00AC3E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C107A5" w:rsidRDefault="00AC3E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C107A5" w:rsidRDefault="00AC3E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C107A5" w:rsidRDefault="00AC3E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C107A5" w:rsidRDefault="00AC3E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C107A5" w:rsidRDefault="00AC3E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6. Časové rozlíšenie na strane </w:t>
      </w:r>
      <w:r>
        <w:rPr>
          <w:rFonts w:cs="Arial"/>
          <w:szCs w:val="22"/>
        </w:rPr>
        <w:t>aktív a pasív súvahy: menovitou hodnotou pri ich vzniku</w:t>
      </w:r>
    </w:p>
    <w:p w:rsidR="00C107A5" w:rsidRDefault="00AC3E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C107A5" w:rsidRDefault="00AC3E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</w:t>
      </w:r>
      <w:r>
        <w:rPr>
          <w:rFonts w:cs="Arial"/>
          <w:szCs w:val="22"/>
        </w:rPr>
        <w:t>u</w:t>
      </w:r>
    </w:p>
    <w:p w:rsidR="00C107A5" w:rsidRDefault="00C107A5">
      <w:pPr>
        <w:jc w:val="both"/>
        <w:rPr>
          <w:rFonts w:cs="Arial"/>
          <w:szCs w:val="22"/>
        </w:rPr>
      </w:pPr>
    </w:p>
    <w:p w:rsidR="00C107A5" w:rsidRDefault="00AC3EC8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107A5" w:rsidRDefault="00AC3EC8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C107A5" w:rsidRDefault="00AC3EC8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</w:t>
      </w:r>
      <w:r>
        <w:rPr>
          <w:rFonts w:cs="Arial"/>
          <w:szCs w:val="22"/>
        </w:rPr>
        <w:t>hmotného majetku - položky pod 2 400 eur jednotkovej ceny (§ 13/2 PU).</w:t>
      </w:r>
    </w:p>
    <w:p w:rsidR="00C107A5" w:rsidRDefault="00AC3EC8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C107A5" w:rsidRDefault="00AC3EC8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C107A5" w:rsidRDefault="00AC3EC8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C107A5" w:rsidRDefault="00AC3EC8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skytnuté na obstaranie majetku s uvedením zložky majetku a ich ocenenia: 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C107A5" w:rsidRDefault="00AC3EC8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na neuhradenú stratu minulých rokov; súčasne </w:t>
      </w: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</w:t>
      </w:r>
      <w:r>
        <w:rPr>
          <w:rFonts w:cs="Arial"/>
          <w:szCs w:val="22"/>
        </w:rPr>
        <w:t>účtovnom období nebolo účtované o oprave minulých chýb</w:t>
      </w:r>
    </w:p>
    <w:p w:rsidR="00C107A5" w:rsidRDefault="00AC3EC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C107A5" w:rsidRDefault="00C107A5"/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C107A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C107A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107A5">
        <w:trPr>
          <w:trHeight w:val="80"/>
          <w:jc w:val="center"/>
        </w:trPr>
        <w:tc>
          <w:tcPr>
            <w:tcW w:w="186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C107A5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107A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107A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107A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C107A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107A5" w:rsidRDefault="00AC3EC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C107A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107A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107A5">
        <w:trPr>
          <w:trHeight w:val="80"/>
          <w:jc w:val="center"/>
        </w:trPr>
        <w:tc>
          <w:tcPr>
            <w:tcW w:w="186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C107A5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107A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107A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107A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C107A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107A5" w:rsidRDefault="00C107A5"/>
    <w:p w:rsidR="00C107A5" w:rsidRDefault="00AC3EC8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C107A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Hodnota za bežné účtovné obdobie</w:t>
            </w:r>
          </w:p>
        </w:tc>
      </w:tr>
      <w:tr w:rsidR="00C107A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/>
    <w:p w:rsidR="00C107A5" w:rsidRDefault="00C107A5"/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</w:t>
      </w:r>
      <w:r>
        <w:rPr>
          <w:szCs w:val="22"/>
        </w:rPr>
        <w:t xml:space="preserve"> o dlhodobom hmotnom majetku</w:t>
      </w:r>
      <w:r>
        <w:rPr>
          <w:szCs w:val="22"/>
        </w:rPr>
        <w:tab/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C107A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107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</w:t>
            </w:r>
            <w:r>
              <w:rPr>
                <w:b/>
                <w:bCs/>
                <w:szCs w:val="22"/>
              </w:rPr>
              <w:t>-né veci a </w:t>
            </w:r>
          </w:p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107A5">
        <w:trPr>
          <w:trHeight w:val="155"/>
          <w:tblHeader/>
          <w:jc w:val="center"/>
        </w:trPr>
        <w:tc>
          <w:tcPr>
            <w:tcW w:w="154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  <w:tr w:rsidR="00C107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C107A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107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Pestova-teľské </w:t>
            </w:r>
            <w:r>
              <w:rPr>
                <w:b/>
                <w:bCs/>
                <w:szCs w:val="22"/>
              </w:rPr>
              <w:t>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C107A5">
        <w:trPr>
          <w:trHeight w:val="155"/>
          <w:tblHeader/>
          <w:jc w:val="center"/>
        </w:trPr>
        <w:tc>
          <w:tcPr>
            <w:tcW w:w="154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C107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>Informácie k </w:t>
      </w:r>
      <w:r>
        <w:rPr>
          <w:b/>
          <w:szCs w:val="22"/>
        </w:rPr>
        <w:t xml:space="preserve">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C107A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Hodnota za bežné účtovné obdobie</w:t>
            </w:r>
          </w:p>
        </w:tc>
      </w:tr>
      <w:tr w:rsidR="00C107A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107A5" w:rsidRDefault="00C107A5">
      <w:pPr>
        <w:spacing w:after="0"/>
      </w:pPr>
    </w:p>
    <w:p w:rsidR="00C107A5" w:rsidRDefault="00AC3EC8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C107A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107A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Poskyt-nuté pred-davky na </w:t>
            </w:r>
          </w:p>
          <w:p w:rsidR="00C107A5" w:rsidRDefault="00AC3EC8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Spolu</w:t>
            </w:r>
          </w:p>
        </w:tc>
      </w:tr>
      <w:tr w:rsidR="00C107A5">
        <w:trPr>
          <w:trHeight w:val="195"/>
          <w:jc w:val="center"/>
        </w:trPr>
        <w:tc>
          <w:tcPr>
            <w:tcW w:w="130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C107A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C107A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107A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Podielové </w:t>
            </w:r>
            <w:r>
              <w:br/>
              <w:t>CP a </w:t>
            </w:r>
            <w:r>
              <w:t xml:space="preserve">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Poskyt-nuté pred-davky na </w:t>
            </w:r>
          </w:p>
          <w:p w:rsidR="00C107A5" w:rsidRDefault="00AC3EC8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Spolu</w:t>
            </w:r>
          </w:p>
        </w:tc>
      </w:tr>
      <w:tr w:rsidR="00C107A5">
        <w:trPr>
          <w:trHeight w:val="195"/>
          <w:jc w:val="center"/>
        </w:trPr>
        <w:tc>
          <w:tcPr>
            <w:tcW w:w="130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C107A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C107A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szCs w:val="22"/>
        </w:rPr>
      </w:pPr>
      <w:r>
        <w:rPr>
          <w:bCs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C107A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C107A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C107A5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Bežné účtovné obdobie </w:t>
            </w:r>
          </w:p>
        </w:tc>
      </w:tr>
      <w:tr w:rsidR="00C107A5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Podiel ÚJ na ZI</w:t>
            </w:r>
          </w:p>
          <w:p w:rsidR="00C107A5" w:rsidRDefault="00AC3EC8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Podiel ÚJ na hlasovacích právach </w:t>
            </w:r>
          </w:p>
          <w:p w:rsidR="00C107A5" w:rsidRDefault="00AC3EC8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C107A5">
        <w:trPr>
          <w:trHeight w:hRule="exact" w:val="227"/>
          <w:jc w:val="center"/>
        </w:trPr>
        <w:tc>
          <w:tcPr>
            <w:tcW w:w="1923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107A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C107A5" w:rsidRDefault="00C107A5"/>
    <w:p w:rsidR="00C107A5" w:rsidRDefault="00C107A5"/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C107A5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Vyradenie dlhového CP z účtovníctva </w:t>
            </w:r>
          </w:p>
          <w:p w:rsidR="00C107A5" w:rsidRDefault="00AC3EC8">
            <w:pPr>
              <w:pStyle w:val="TopHeader"/>
            </w:pPr>
            <w:r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lastRenderedPageBreak/>
              <w:t>Stav </w:t>
            </w:r>
            <w:r>
              <w:br/>
              <w:t>na konci účtov-</w:t>
            </w:r>
            <w:r>
              <w:lastRenderedPageBreak/>
              <w:t>ného obdobia</w:t>
            </w:r>
          </w:p>
        </w:tc>
      </w:tr>
      <w:tr w:rsidR="00C107A5">
        <w:trPr>
          <w:trHeight w:hRule="exact" w:val="227"/>
          <w:jc w:val="center"/>
        </w:trPr>
        <w:tc>
          <w:tcPr>
            <w:tcW w:w="2461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C107A5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07A5" w:rsidRDefault="00C107A5">
      <w:pPr>
        <w:spacing w:after="120" w:line="240" w:lineRule="auto"/>
        <w:rPr>
          <w:szCs w:val="22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C107A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C107A5">
        <w:trPr>
          <w:trHeight w:hRule="exact" w:val="227"/>
          <w:jc w:val="center"/>
        </w:trPr>
        <w:tc>
          <w:tcPr>
            <w:tcW w:w="2778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107A5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07A5" w:rsidRDefault="00C107A5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107A5" w:rsidRDefault="00AC3EC8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C107A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</w:tr>
      <w:tr w:rsidR="00C107A5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Tvorba </w:t>
            </w:r>
          </w:p>
          <w:p w:rsidR="00C107A5" w:rsidRDefault="00AC3EC8">
            <w:pPr>
              <w:pStyle w:val="TopHeader"/>
            </w:pPr>
            <w:r>
              <w:t>OP</w:t>
            </w:r>
          </w:p>
          <w:p w:rsidR="00C107A5" w:rsidRDefault="00C107A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Stav OP na konci účtovného obdobia</w:t>
            </w:r>
          </w:p>
        </w:tc>
      </w:tr>
      <w:tr w:rsidR="00C107A5">
        <w:trPr>
          <w:trHeight w:hRule="exact" w:val="277"/>
          <w:jc w:val="center"/>
        </w:trPr>
        <w:tc>
          <w:tcPr>
            <w:tcW w:w="2349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107A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Nedokončená výroba a </w:t>
            </w:r>
            <w:r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C107A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Hodnota</w:t>
            </w:r>
          </w:p>
        </w:tc>
      </w:tr>
      <w:tr w:rsidR="00C107A5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jc w:val="both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C107A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Hodnota za bežné účtovné obdobie</w:t>
            </w:r>
          </w:p>
        </w:tc>
      </w:tr>
      <w:tr w:rsidR="00C107A5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C107A5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107A5">
        <w:trPr>
          <w:jc w:val="center"/>
        </w:trPr>
        <w:tc>
          <w:tcPr>
            <w:tcW w:w="32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C107A5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C107A5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C107A5" w:rsidRDefault="00C107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107A5">
        <w:trPr>
          <w:jc w:val="center"/>
        </w:trPr>
        <w:tc>
          <w:tcPr>
            <w:tcW w:w="407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C107A5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C107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107A5">
        <w:trPr>
          <w:trHeight w:val="98"/>
          <w:jc w:val="center"/>
        </w:trPr>
        <w:tc>
          <w:tcPr>
            <w:tcW w:w="280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C107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107A5" w:rsidRDefault="00AC3EC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C107A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107A5">
        <w:trPr>
          <w:jc w:val="center"/>
        </w:trPr>
        <w:tc>
          <w:tcPr>
            <w:tcW w:w="436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C107A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C107A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</w:tr>
      <w:tr w:rsidR="00C107A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Tvorba</w:t>
            </w:r>
          </w:p>
          <w:p w:rsidR="00C107A5" w:rsidRDefault="00AC3EC8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Stav OP na konci účtovného obdobia</w:t>
            </w:r>
          </w:p>
        </w:tc>
      </w:tr>
      <w:tr w:rsidR="00C107A5">
        <w:trPr>
          <w:jc w:val="center"/>
        </w:trPr>
        <w:tc>
          <w:tcPr>
            <w:tcW w:w="2055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107A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07A5" w:rsidRDefault="00C107A5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C107A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Pohľadávky spolu</w:t>
            </w:r>
          </w:p>
        </w:tc>
      </w:tr>
      <w:tr w:rsidR="00C107A5">
        <w:trPr>
          <w:trHeight w:hRule="exact" w:val="227"/>
          <w:jc w:val="center"/>
        </w:trPr>
        <w:tc>
          <w:tcPr>
            <w:tcW w:w="3510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C107A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843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</w:t>
            </w:r>
          </w:p>
        </w:tc>
      </w:tr>
    </w:tbl>
    <w:p w:rsidR="00C107A5" w:rsidRDefault="00C107A5">
      <w:pPr>
        <w:spacing w:after="0" w:line="240" w:lineRule="auto"/>
        <w:jc w:val="both"/>
        <w:rPr>
          <w:szCs w:val="22"/>
        </w:rPr>
      </w:pPr>
    </w:p>
    <w:p w:rsidR="00C107A5" w:rsidRDefault="00C107A5">
      <w:pPr>
        <w:spacing w:after="0" w:line="240" w:lineRule="auto"/>
        <w:jc w:val="both"/>
        <w:rPr>
          <w:szCs w:val="22"/>
        </w:rPr>
      </w:pPr>
    </w:p>
    <w:p w:rsidR="00C107A5" w:rsidRDefault="00AC3EC8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C107A5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</w:tr>
      <w:tr w:rsidR="00C107A5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C107A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szCs w:val="22"/>
        </w:rPr>
      </w:pPr>
    </w:p>
    <w:p w:rsidR="00C107A5" w:rsidRDefault="00C107A5"/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C107A5" w:rsidRDefault="00AC3EC8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C107A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107A5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1092</w:t>
            </w:r>
          </w:p>
        </w:tc>
        <w:tc>
          <w:tcPr>
            <w:tcW w:w="2405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107A5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107A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107A5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C107A5" w:rsidRDefault="00C107A5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107A5" w:rsidRDefault="00AC3EC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C107A5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one" w:sz="4" w:space="0" w:color="000000"/>
            </w:tcBorders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</w:tr>
      <w:tr w:rsidR="00C107A5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Prírastky</w:t>
            </w:r>
          </w:p>
          <w:p w:rsidR="00C107A5" w:rsidRDefault="00C107A5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Úbytky</w:t>
            </w:r>
          </w:p>
          <w:p w:rsidR="00C107A5" w:rsidRDefault="00C107A5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Presuny</w:t>
            </w:r>
          </w:p>
          <w:p w:rsidR="00C107A5" w:rsidRDefault="00C107A5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Stav na konci účtovného obdobia</w:t>
            </w:r>
          </w:p>
        </w:tc>
      </w:tr>
      <w:tr w:rsidR="00C107A5">
        <w:trPr>
          <w:trHeight w:val="74"/>
          <w:jc w:val="center"/>
        </w:trPr>
        <w:tc>
          <w:tcPr>
            <w:tcW w:w="2828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107A5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07A5" w:rsidRDefault="00C107A5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 xml:space="preserve"> časti  F. písm. x) </w:t>
      </w:r>
      <w:r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C107A5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Stav OP</w:t>
            </w:r>
          </w:p>
          <w:p w:rsidR="00C107A5" w:rsidRDefault="00AC3EC8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C107A5" w:rsidRDefault="00C107A5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Zúčtovanie OP z dôvodu zániku opodstatne-nosti</w:t>
            </w:r>
          </w:p>
          <w:p w:rsidR="00C107A5" w:rsidRDefault="00C107A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Zúčtovanie OP z dôvodu vyradenia majetku z účtovníctva</w:t>
            </w:r>
          </w:p>
          <w:p w:rsidR="00C107A5" w:rsidRDefault="00C107A5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Stav  OP na konci účtovného obdobia</w:t>
            </w:r>
          </w:p>
        </w:tc>
      </w:tr>
      <w:tr w:rsidR="00C107A5">
        <w:trPr>
          <w:jc w:val="center"/>
        </w:trPr>
        <w:tc>
          <w:tcPr>
            <w:tcW w:w="2744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107A5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</w:t>
      </w:r>
      <w:r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C107A5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Hodnota za bežné účtovné obdobie</w:t>
            </w:r>
          </w:p>
        </w:tc>
      </w:tr>
      <w:tr w:rsidR="00C107A5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107A5" w:rsidRDefault="00C107A5">
      <w:pPr>
        <w:spacing w:after="0"/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 za) </w:t>
      </w:r>
      <w:r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C107A5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Zvýšenie/ zníženie hodnoty</w:t>
            </w:r>
          </w:p>
          <w:p w:rsidR="00C107A5" w:rsidRDefault="00AC3EC8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Vplyv ocenenia</w:t>
            </w:r>
            <w:r>
              <w:br/>
              <w:t>na výsledok hospodá-</w:t>
            </w:r>
            <w:r>
              <w:lastRenderedPageBreak/>
              <w:t>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lastRenderedPageBreak/>
              <w:t>Vplyv </w:t>
            </w:r>
          </w:p>
          <w:p w:rsidR="00C107A5" w:rsidRDefault="00AC3EC8">
            <w:pPr>
              <w:pStyle w:val="TopHeader"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 w:rsidR="00C107A5">
        <w:trPr>
          <w:jc w:val="center"/>
        </w:trPr>
        <w:tc>
          <w:tcPr>
            <w:tcW w:w="3400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C107A5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zc)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C107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Splatnosť</w:t>
            </w:r>
          </w:p>
        </w:tc>
      </w:tr>
      <w:tr w:rsidR="00C107A5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viac ako päť rokov</w:t>
            </w:r>
          </w:p>
        </w:tc>
      </w:tr>
      <w:tr w:rsidR="00C107A5">
        <w:trPr>
          <w:trHeight w:val="74"/>
          <w:jc w:val="center"/>
        </w:trPr>
        <w:tc>
          <w:tcPr>
            <w:tcW w:w="1526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107A5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107A5" w:rsidRDefault="00C107A5">
      <w:pPr>
        <w:pStyle w:val="Nzov"/>
        <w:spacing w:before="0" w:beforeAutospacing="0" w:after="0"/>
        <w:jc w:val="both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</w:t>
      </w:r>
      <w:r>
        <w:rPr>
          <w:szCs w:val="22"/>
        </w:rPr>
        <w:t xml:space="preserve">o rozdelení účtovného zisku alebo o vysporiadaní účtovnej straty </w:t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C107A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C107A5">
      <w:pPr>
        <w:spacing w:after="0" w:line="240" w:lineRule="auto"/>
        <w:rPr>
          <w:szCs w:val="22"/>
        </w:rPr>
      </w:pPr>
    </w:p>
    <w:p w:rsidR="00C107A5" w:rsidRDefault="00C107A5">
      <w:pPr>
        <w:spacing w:after="0" w:line="240" w:lineRule="auto"/>
        <w:rPr>
          <w:szCs w:val="22"/>
        </w:rPr>
      </w:pPr>
    </w:p>
    <w:p w:rsidR="00C107A5" w:rsidRDefault="00C107A5">
      <w:pPr>
        <w:spacing w:after="0" w:line="240" w:lineRule="auto"/>
        <w:rPr>
          <w:szCs w:val="22"/>
        </w:rPr>
      </w:pPr>
    </w:p>
    <w:p w:rsidR="00C107A5" w:rsidRDefault="00C107A5">
      <w:pPr>
        <w:spacing w:after="0" w:line="240" w:lineRule="auto"/>
        <w:rPr>
          <w:szCs w:val="22"/>
        </w:rPr>
      </w:pPr>
    </w:p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C107A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C107A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</w:tr>
      <w:tr w:rsidR="00C107A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C107A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</w:tr>
      <w:tr w:rsidR="00C107A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C107A5">
        <w:trPr>
          <w:trHeight w:val="330"/>
          <w:jc w:val="center"/>
        </w:trPr>
        <w:tc>
          <w:tcPr>
            <w:tcW w:w="1356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C107A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none" w:sz="4" w:space="0" w:color="000000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07A5" w:rsidRDefault="00AC3EC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C107A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Stav</w:t>
            </w:r>
            <w:r>
              <w:br/>
              <w:t xml:space="preserve">na konci </w:t>
            </w:r>
            <w:r>
              <w:lastRenderedPageBreak/>
              <w:t>účtovného obdobia</w:t>
            </w:r>
          </w:p>
        </w:tc>
      </w:tr>
      <w:tr w:rsidR="00C107A5">
        <w:trPr>
          <w:trHeight w:val="330"/>
          <w:jc w:val="center"/>
        </w:trPr>
        <w:tc>
          <w:tcPr>
            <w:tcW w:w="1356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C107A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none" w:sz="4" w:space="0" w:color="000000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C107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21543</w:t>
            </w:r>
          </w:p>
        </w:tc>
        <w:tc>
          <w:tcPr>
            <w:tcW w:w="140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C107A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one" w:sz="4" w:space="0" w:color="000000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405" w:type="pct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one" w:sz="4" w:space="0" w:color="000000"/>
              <w:bottom w:val="single" w:sz="8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C107A5" w:rsidRDefault="00C107A5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C107A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</w:trPr>
        <w:tc>
          <w:tcPr>
            <w:tcW w:w="268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C107A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C107A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Splatnosť</w:t>
            </w:r>
          </w:p>
        </w:tc>
      </w:tr>
      <w:tr w:rsidR="00C107A5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18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107A5" w:rsidRDefault="00C107A5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C107A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C107A5" w:rsidRDefault="00AC3EC8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Suma istiny v príslušnej mene</w:t>
            </w:r>
            <w:r>
              <w:br/>
              <w:t xml:space="preserve"> za bežné </w:t>
            </w:r>
            <w: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</w:tcPr>
          <w:p w:rsidR="00C107A5" w:rsidRDefault="00AC3EC8">
            <w:pPr>
              <w:pStyle w:val="TopHeader"/>
            </w:pPr>
            <w:r>
              <w:lastRenderedPageBreak/>
              <w:t>Suma istiny v eurách</w:t>
            </w:r>
          </w:p>
          <w:p w:rsidR="00C107A5" w:rsidRDefault="00AC3EC8">
            <w:pPr>
              <w:pStyle w:val="TopHeader"/>
            </w:pPr>
            <w: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lastRenderedPageBreak/>
              <w:t>Suma istiny v príslušnej mene za bezprostred-ne predchá-</w:t>
            </w:r>
            <w:r>
              <w:lastRenderedPageBreak/>
              <w:t>dzajúce účtovné obdobie</w:t>
            </w:r>
          </w:p>
        </w:tc>
      </w:tr>
      <w:tr w:rsidR="00C107A5">
        <w:trPr>
          <w:trHeight w:val="330"/>
          <w:jc w:val="center"/>
        </w:trPr>
        <w:tc>
          <w:tcPr>
            <w:tcW w:w="2235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107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C107A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C107A5" w:rsidRDefault="00AC3EC8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</w:tcPr>
          <w:p w:rsidR="00C107A5" w:rsidRDefault="00AC3EC8">
            <w:pPr>
              <w:pStyle w:val="TopHeader"/>
            </w:pPr>
            <w:r>
              <w:t>Suma istiny v eurách</w:t>
            </w:r>
          </w:p>
          <w:p w:rsidR="00C107A5" w:rsidRDefault="00AC3EC8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</w:tcBorders>
            <w:vAlign w:val="center"/>
          </w:tcPr>
          <w:p w:rsidR="00C107A5" w:rsidRDefault="00AC3EC8">
            <w:pPr>
              <w:pStyle w:val="TopHeader"/>
            </w:pPr>
            <w:r>
              <w:t>Suma istiny v príslušnej mene za bezprostredne predchádzajú-</w:t>
            </w:r>
            <w:r>
              <w:t>ce účtovné obdobie</w:t>
            </w:r>
          </w:p>
        </w:tc>
      </w:tr>
      <w:tr w:rsidR="00C107A5">
        <w:trPr>
          <w:trHeight w:val="330"/>
          <w:jc w:val="center"/>
        </w:trPr>
        <w:tc>
          <w:tcPr>
            <w:tcW w:w="2235" w:type="dxa"/>
            <w:tcBorders>
              <w:top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107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 G. písm. k)</w:t>
      </w:r>
      <w:r>
        <w:rPr>
          <w:szCs w:val="22"/>
        </w:rPr>
        <w:t xml:space="preserve"> o významných položkách derivátov za bežné účtovné obdobie </w:t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C107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Dohodnutá cena podkladového nástroja</w:t>
            </w:r>
          </w:p>
        </w:tc>
      </w:tr>
      <w:tr w:rsidR="00C107A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107A5">
        <w:trPr>
          <w:trHeight w:val="106"/>
          <w:jc w:val="center"/>
        </w:trPr>
        <w:tc>
          <w:tcPr>
            <w:tcW w:w="394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C107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C107A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Zmena reálnej hodnoty (+/-) s vplyvom na</w:t>
            </w:r>
          </w:p>
        </w:tc>
      </w:tr>
      <w:tr w:rsidR="00C107A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vlastné imanie</w:t>
            </w:r>
          </w:p>
        </w:tc>
      </w:tr>
      <w:tr w:rsidR="00C107A5">
        <w:trPr>
          <w:trHeight w:val="149"/>
          <w:jc w:val="center"/>
        </w:trPr>
        <w:tc>
          <w:tcPr>
            <w:tcW w:w="395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C107A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G. písm. l) </w:t>
      </w:r>
      <w:r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C107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Reálna hodnota</w:t>
            </w:r>
          </w:p>
        </w:tc>
      </w:tr>
      <w:tr w:rsidR="00C107A5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167"/>
          <w:jc w:val="center"/>
        </w:trPr>
        <w:tc>
          <w:tcPr>
            <w:tcW w:w="2853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C107A5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one" w:sz="4" w:space="0" w:color="000000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one" w:sz="4" w:space="0" w:color="000000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107A5" w:rsidRDefault="00C107A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107A5" w:rsidRDefault="00C107A5"/>
    <w:p w:rsidR="00C107A5" w:rsidRDefault="00C107A5"/>
    <w:p w:rsidR="00C107A5" w:rsidRDefault="00C107A5"/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C107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Splatnosť</w:t>
            </w:r>
          </w:p>
        </w:tc>
      </w:tr>
      <w:tr w:rsidR="00C107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viac ako päť rokov</w:t>
            </w:r>
          </w:p>
        </w:tc>
      </w:tr>
      <w:tr w:rsidR="00C107A5">
        <w:trPr>
          <w:trHeight w:val="151"/>
          <w:jc w:val="center"/>
        </w:trPr>
        <w:tc>
          <w:tcPr>
            <w:tcW w:w="159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107A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C107A5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 xml:space="preserve">Zmena stavu vnútroorganizačných </w:t>
            </w:r>
          </w:p>
          <w:p w:rsidR="00C107A5" w:rsidRDefault="00AC3EC8">
            <w:pPr>
              <w:pStyle w:val="TopHeader"/>
            </w:pPr>
            <w:r>
              <w:t xml:space="preserve">zásob </w:t>
            </w:r>
          </w:p>
        </w:tc>
      </w:tr>
      <w:tr w:rsidR="00C107A5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144"/>
          <w:jc w:val="center"/>
        </w:trPr>
        <w:tc>
          <w:tcPr>
            <w:tcW w:w="253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C107A5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C107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C107A5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369"/>
          <w:jc w:val="center"/>
        </w:trPr>
        <w:tc>
          <w:tcPr>
            <w:tcW w:w="2958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2958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2958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2958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C107A5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</w:t>
            </w:r>
            <w:r>
              <w:rPr>
                <w:szCs w:val="22"/>
              </w:rPr>
              <w:t>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daňovej pohľadávky týkajúca sa umorenia daňovej straty, nevyužitých daňových odpočtov a iných nárokov, ako aj dočasných rozdielov </w:t>
            </w:r>
            <w:r>
              <w:rPr>
                <w:szCs w:val="22"/>
              </w:rPr>
              <w:t>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</w:t>
            </w:r>
            <w:r>
              <w:rPr>
                <w:szCs w:val="22"/>
              </w:rPr>
              <w:t>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107A5" w:rsidRDefault="00C107A5">
      <w:pPr>
        <w:pStyle w:val="Nzov"/>
        <w:spacing w:before="0" w:beforeAutospacing="0" w:after="0"/>
        <w:jc w:val="left"/>
        <w:rPr>
          <w:szCs w:val="22"/>
        </w:rPr>
      </w:pPr>
    </w:p>
    <w:p w:rsidR="00C107A5" w:rsidRDefault="00AC3EC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C107A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</w:t>
            </w:r>
          </w:p>
          <w:p w:rsidR="00C107A5" w:rsidRDefault="00AC3EC8">
            <w:pPr>
              <w:pStyle w:val="TopHeader"/>
            </w:pPr>
            <w:r>
              <w:t xml:space="preserve"> účtovné obdobie</w:t>
            </w:r>
          </w:p>
        </w:tc>
      </w:tr>
      <w:tr w:rsidR="00C107A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Daň v %</w:t>
            </w:r>
          </w:p>
        </w:tc>
      </w:tr>
      <w:tr w:rsidR="00C107A5">
        <w:trPr>
          <w:trHeight w:val="330"/>
          <w:jc w:val="center"/>
        </w:trPr>
        <w:tc>
          <w:tcPr>
            <w:tcW w:w="280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80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one" w:sz="4" w:space="0" w:color="000000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</w:tr>
    </w:tbl>
    <w:p w:rsidR="00C107A5" w:rsidRDefault="00C107A5">
      <w:pPr>
        <w:spacing w:after="0" w:line="240" w:lineRule="auto"/>
        <w:rPr>
          <w:szCs w:val="22"/>
        </w:rPr>
      </w:pPr>
    </w:p>
    <w:p w:rsidR="00C107A5" w:rsidRDefault="00AC3EC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C107A5" w:rsidRDefault="00AC3EC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C107A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Bežné účtovné obdobie</w:t>
            </w:r>
          </w:p>
        </w:tc>
      </w:tr>
      <w:tr w:rsidR="00C107A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Stav na konci účtovného obdobia</w:t>
            </w: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107A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26862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26862</w:t>
            </w: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</w:t>
            </w:r>
            <w:r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none" w:sz="4" w:space="0" w:color="000000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</w:tr>
      <w:tr w:rsidR="00C107A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7A5">
        <w:trPr>
          <w:trHeight w:val="345"/>
          <w:jc w:val="center"/>
        </w:trPr>
        <w:tc>
          <w:tcPr>
            <w:tcW w:w="2154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107A5" w:rsidRDefault="00C107A5">
      <w:pPr>
        <w:tabs>
          <w:tab w:val="left" w:pos="1276"/>
        </w:tabs>
        <w:spacing w:after="0" w:line="240" w:lineRule="auto"/>
        <w:rPr>
          <w:szCs w:val="22"/>
        </w:rPr>
      </w:pPr>
    </w:p>
    <w:p w:rsidR="00C107A5" w:rsidRDefault="00AC3EC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C107A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Bezprostredne predchádzajúce účtovné obdobie</w:t>
            </w:r>
          </w:p>
        </w:tc>
      </w:tr>
      <w:tr w:rsidR="00C107A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C107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one" w:sz="4" w:space="0" w:color="000000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</w:pPr>
            <w:r>
              <w:t>Stav na konci účtovného obdobia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107A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C10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none" w:sz="4" w:space="0" w:color="000000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660"/>
          <w:jc w:val="center"/>
        </w:trPr>
        <w:tc>
          <w:tcPr>
            <w:tcW w:w="2153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</w:t>
            </w:r>
            <w:r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non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none" w:sz="4" w:space="0" w:color="000000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</w:t>
            </w:r>
            <w:r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one" w:sz="4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107A5">
        <w:trPr>
          <w:trHeight w:val="345"/>
          <w:jc w:val="center"/>
        </w:trPr>
        <w:tc>
          <w:tcPr>
            <w:tcW w:w="2153" w:type="dxa"/>
            <w:tcBorders>
              <w:top w:val="non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one" w:sz="4" w:space="0" w:color="000000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07A5" w:rsidRDefault="00AC3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107A5" w:rsidRDefault="00C107A5">
      <w:pPr>
        <w:tabs>
          <w:tab w:val="left" w:pos="1525"/>
        </w:tabs>
        <w:spacing w:after="0" w:line="240" w:lineRule="auto"/>
        <w:rPr>
          <w:b/>
          <w:szCs w:val="22"/>
        </w:rPr>
        <w:sectPr w:rsidR="00C107A5">
          <w:headerReference w:type="default" r:id="rId7"/>
          <w:footerReference w:type="default" r:id="rId8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C107A5" w:rsidRDefault="00C107A5">
      <w:pPr>
        <w:spacing w:after="0" w:line="240" w:lineRule="auto"/>
        <w:rPr>
          <w:szCs w:val="22"/>
        </w:rPr>
      </w:pPr>
    </w:p>
    <w:sectPr w:rsidR="00C107A5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EC8" w:rsidRDefault="00AC3EC8">
      <w:pPr>
        <w:spacing w:after="0" w:line="240" w:lineRule="auto"/>
      </w:pPr>
      <w:r>
        <w:separator/>
      </w:r>
    </w:p>
  </w:endnote>
  <w:endnote w:type="continuationSeparator" w:id="0">
    <w:p w:rsidR="00AC3EC8" w:rsidRDefault="00AC3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default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07A5" w:rsidRDefault="00AC3EC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E79F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EC8" w:rsidRDefault="00AC3EC8">
      <w:pPr>
        <w:spacing w:after="0" w:line="240" w:lineRule="auto"/>
      </w:pPr>
      <w:r>
        <w:separator/>
      </w:r>
    </w:p>
  </w:footnote>
  <w:footnote w:type="continuationSeparator" w:id="0">
    <w:p w:rsidR="00AC3EC8" w:rsidRDefault="00AC3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107A5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107A5" w:rsidRDefault="00AC3EC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noWrap/>
          <w:vAlign w:val="bottom"/>
        </w:tcPr>
        <w:p w:rsidR="00C107A5" w:rsidRDefault="00AC3EC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50666746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2120429080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107A5" w:rsidRDefault="00C107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07A5" w:rsidRDefault="00C107A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8544A"/>
    <w:multiLevelType w:val="hybridMultilevel"/>
    <w:tmpl w:val="AB043808"/>
    <w:lvl w:ilvl="0" w:tplc="EAE4B438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5C4AEA8A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390E384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D5C8EBF8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E4E609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6B983D5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816292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7BA4D7E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4420A5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C47A89"/>
    <w:multiLevelType w:val="hybridMultilevel"/>
    <w:tmpl w:val="55AAB9FC"/>
    <w:lvl w:ilvl="0" w:tplc="868C2B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9F32CA2A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502B0F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2B00BC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838406C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43A423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C2E69BB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34E09E4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D8B06E6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527671A"/>
    <w:multiLevelType w:val="hybridMultilevel"/>
    <w:tmpl w:val="294EFB3A"/>
    <w:lvl w:ilvl="0" w:tplc="68BA0B1E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D09C8EAE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1D1C29A8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75E4346C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5ACA887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B8BC98E8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640240C8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9B6A9A38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0F2FEBA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D145BBD"/>
    <w:multiLevelType w:val="hybridMultilevel"/>
    <w:tmpl w:val="43E4ECFC"/>
    <w:lvl w:ilvl="0" w:tplc="441A167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A66E03E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plc="6156B4DA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plc="BF303E08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plc="21B46C72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plc="B2E6AF0C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plc="FAB6C914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plc="79A2CD0E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plc="11540DA6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4">
    <w:nsid w:val="120A3C04"/>
    <w:multiLevelType w:val="hybridMultilevel"/>
    <w:tmpl w:val="548A8DBA"/>
    <w:lvl w:ilvl="0" w:tplc="82A464E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9B6FC5A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B4467A3A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8DA8F938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6DD62DF6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A81E2DDE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E4FACF3E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924A57C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D2E8C4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ACB2448"/>
    <w:multiLevelType w:val="hybridMultilevel"/>
    <w:tmpl w:val="477EF96E"/>
    <w:lvl w:ilvl="0" w:tplc="9B64DB5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6302ABC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7A4C2D5A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475C0104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418E337A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1522139A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58369B2C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7A2C8B1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73DC4FC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C964C24"/>
    <w:multiLevelType w:val="hybridMultilevel"/>
    <w:tmpl w:val="8D2EA672"/>
    <w:lvl w:ilvl="0" w:tplc="D7A43A0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5D8C21B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86A3AB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D407762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8EA24D0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1B6CB1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5E00B89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7660DB2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A3839F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2363B0A"/>
    <w:multiLevelType w:val="hybridMultilevel"/>
    <w:tmpl w:val="79787EF6"/>
    <w:lvl w:ilvl="0" w:tplc="1A4077C4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3AFC2C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4E7C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B40A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80BA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D4C0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F2D6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D4637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F027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3A4A00"/>
    <w:multiLevelType w:val="hybridMultilevel"/>
    <w:tmpl w:val="4C360FFC"/>
    <w:lvl w:ilvl="0" w:tplc="7966CC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C1D4937A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5308C3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FD054B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7E6A998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59ED3F6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5C0DFC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EDEC353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D8EF65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6AE1169"/>
    <w:multiLevelType w:val="hybridMultilevel"/>
    <w:tmpl w:val="4F72495E"/>
    <w:lvl w:ilvl="0" w:tplc="27AE8064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DB1428D6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B6B79C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728A9E82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4796A5D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9AC6276C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A75CF314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082C06C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61D8282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38234449"/>
    <w:multiLevelType w:val="hybridMultilevel"/>
    <w:tmpl w:val="E1EEEFC6"/>
    <w:lvl w:ilvl="0" w:tplc="18F61F2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5FA6C2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D6D2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6687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F619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A836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9A1C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BCD1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6CE62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9E37BB"/>
    <w:multiLevelType w:val="hybridMultilevel"/>
    <w:tmpl w:val="6D420376"/>
    <w:lvl w:ilvl="0" w:tplc="389C43C4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16CE8A8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F02D8F0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CC6E98E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6CC82C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A99AEA36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A10E1E5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7D22ED3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50A430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BB2D3F"/>
    <w:multiLevelType w:val="hybridMultilevel"/>
    <w:tmpl w:val="FE42E214"/>
    <w:lvl w:ilvl="0" w:tplc="B9FC6A54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7D9A0D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22CD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D401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D44A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6A3D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66B2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E636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30C21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E24333"/>
    <w:multiLevelType w:val="hybridMultilevel"/>
    <w:tmpl w:val="7F2AFD06"/>
    <w:lvl w:ilvl="0" w:tplc="92DA237A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4F5E30E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1A45D30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E44879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9B6D776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4D788792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720443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6ACAD3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18617B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8"/>
  </w:num>
  <w:num w:numId="3">
    <w:abstractNumId w:val="5"/>
  </w:num>
  <w:num w:numId="4">
    <w:abstractNumId w:val="4"/>
  </w:num>
  <w:num w:numId="5">
    <w:abstractNumId w:val="13"/>
  </w:num>
  <w:num w:numId="6">
    <w:abstractNumId w:val="11"/>
  </w:num>
  <w:num w:numId="7">
    <w:abstractNumId w:val="2"/>
  </w:num>
  <w:num w:numId="8">
    <w:abstractNumId w:val="9"/>
  </w:num>
  <w:num w:numId="9">
    <w:abstractNumId w:val="1"/>
  </w:num>
  <w:num w:numId="10">
    <w:abstractNumId w:val="0"/>
  </w:num>
  <w:num w:numId="11">
    <w:abstractNumId w:val="12"/>
  </w:num>
  <w:num w:numId="12">
    <w:abstractNumId w:val="7"/>
  </w:num>
  <w:num w:numId="13">
    <w:abstractNumId w:val="10"/>
  </w:num>
  <w:num w:numId="14">
    <w:abstractNumId w:val="3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7A5"/>
    <w:rsid w:val="00AC3EC8"/>
    <w:rsid w:val="00C107A5"/>
    <w:rsid w:val="00EE7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E7A7AA-7FC4-48BF-85EC-9FB0A7C57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redvolenpsmoodseku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Predvolenpsmoodseku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Predvolenpsmoodseku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Predvolenpsmoodseku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Predvolenpsmoodseku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Predvolenpsmoodseku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Predvolenpsmoodseku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Predvolenpsmoodseku"/>
    <w:uiPriority w:val="9"/>
    <w:rPr>
      <w:rFonts w:ascii="Arial" w:eastAsia="Arial" w:hAnsi="Arial" w:cs="Arial"/>
      <w:i/>
      <w:iCs/>
      <w:sz w:val="21"/>
      <w:szCs w:val="21"/>
    </w:rPr>
  </w:style>
  <w:style w:type="paragraph" w:styleId="Bezriadkovania">
    <w:name w:val="No Spacing"/>
    <w:uiPriority w:val="1"/>
    <w:qFormat/>
    <w:pPr>
      <w:spacing w:after="0" w:line="240" w:lineRule="auto"/>
    </w:pPr>
  </w:style>
  <w:style w:type="character" w:customStyle="1" w:styleId="TitleChar">
    <w:name w:val="Title Char"/>
    <w:basedOn w:val="Predvolenpsmoodseku"/>
    <w:uiPriority w:val="10"/>
    <w:rPr>
      <w:sz w:val="48"/>
      <w:szCs w:val="48"/>
    </w:rPr>
  </w:style>
  <w:style w:type="character" w:customStyle="1" w:styleId="SubtitleChar">
    <w:name w:val="Subtitle Char"/>
    <w:basedOn w:val="Predvolenpsmoodseku"/>
    <w:uiPriority w:val="11"/>
    <w:rPr>
      <w:sz w:val="24"/>
      <w:szCs w:val="24"/>
    </w:rPr>
  </w:style>
  <w:style w:type="paragraph" w:styleId="Citcia">
    <w:name w:val="Quote"/>
    <w:basedOn w:val="Normlny"/>
    <w:next w:val="Normlny"/>
    <w:link w:val="CitciaChar"/>
    <w:uiPriority w:val="29"/>
    <w:qFormat/>
    <w:pPr>
      <w:ind w:left="720" w:right="720"/>
    </w:pPr>
    <w:rPr>
      <w:i/>
    </w:rPr>
  </w:style>
  <w:style w:type="character" w:customStyle="1" w:styleId="CitciaChar">
    <w:name w:val="Citácia Char"/>
    <w:link w:val="Citcia"/>
    <w:uiPriority w:val="29"/>
    <w:rPr>
      <w:i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ZvraznencitciaChar">
    <w:name w:val="Zvýraznená citácia Char"/>
    <w:link w:val="Zvraznencitcia"/>
    <w:uiPriority w:val="30"/>
    <w:rPr>
      <w:i/>
    </w:rPr>
  </w:style>
  <w:style w:type="character" w:customStyle="1" w:styleId="HeaderChar">
    <w:name w:val="Header Char"/>
    <w:basedOn w:val="Predvolenpsmoodseku"/>
    <w:uiPriority w:val="99"/>
  </w:style>
  <w:style w:type="character" w:customStyle="1" w:styleId="FooterChar">
    <w:name w:val="Footer Char"/>
    <w:basedOn w:val="Predvolenpsmoodseku"/>
    <w:uiPriority w:val="99"/>
  </w:style>
  <w:style w:type="table" w:customStyle="1" w:styleId="TableGridLight">
    <w:name w:val="Table Grid Light"/>
    <w:basedOn w:val="Normlnatabu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Obyajntabuka1">
    <w:name w:val="Plain Table 1"/>
    <w:basedOn w:val="Normlnatabu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Obyajntabuka2">
    <w:name w:val="Plain Table 2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Obyajntabuka3">
    <w:name w:val="Plain Table 3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Obyajntabuka4">
    <w:name w:val="Plain Table 4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Obyajntabuka5">
    <w:name w:val="Plain Table 5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ukasmriekou1svetl">
    <w:name w:val="Grid Table 1 Light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ukasmriekou2">
    <w:name w:val="Grid Table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ukasmriekou3">
    <w:name w:val="Grid Table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ukasmriekou4">
    <w:name w:val="Grid Table 4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ukasmriekou5tmav">
    <w:name w:val="Grid Table 5 Dark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ukasmriekou6farebn">
    <w:name w:val="Grid Table 6 Colorful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ukasmriekou7farebn">
    <w:name w:val="Grid Table 7 Colorful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ukasozoznamom1svetl">
    <w:name w:val="List Table 1 Light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ukasozoznamom2">
    <w:name w:val="List Table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ukasozoznamom3">
    <w:name w:val="List Table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ukasozoznamom4">
    <w:name w:val="List Table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ukasozoznamom5tmav">
    <w:name w:val="List Table 5 Dark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ukasozoznamom6farebn">
    <w:name w:val="List Table 6 Colorful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ukasozoznamom7farebn">
    <w:name w:val="List Table 7 Colorful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Hypertextovprepojenie">
    <w:name w:val="Hyperlink"/>
    <w:uiPriority w:val="99"/>
    <w:unhideWhenUsed/>
    <w:rPr>
      <w:color w:val="0000FF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character" w:styleId="Odkaznapoznmkupodiarou">
    <w:name w:val="footnote reference"/>
    <w:basedOn w:val="Predvolenpsmoodseku"/>
    <w:uiPriority w:val="99"/>
    <w:unhideWhenUsed/>
    <w:rPr>
      <w:vertAlign w:val="superscript"/>
    </w:rPr>
  </w:style>
  <w:style w:type="paragraph" w:styleId="Obsah1">
    <w:name w:val="toc 1"/>
    <w:basedOn w:val="Normlny"/>
    <w:next w:val="Normlny"/>
    <w:uiPriority w:val="39"/>
    <w:unhideWhenUsed/>
    <w:pPr>
      <w:spacing w:after="57"/>
    </w:pPr>
  </w:style>
  <w:style w:type="paragraph" w:styleId="Obsah2">
    <w:name w:val="toc 2"/>
    <w:basedOn w:val="Normlny"/>
    <w:next w:val="Normlny"/>
    <w:uiPriority w:val="39"/>
    <w:unhideWhenUsed/>
    <w:pPr>
      <w:spacing w:after="57"/>
      <w:ind w:left="283"/>
    </w:pPr>
  </w:style>
  <w:style w:type="paragraph" w:styleId="Obsah3">
    <w:name w:val="toc 3"/>
    <w:basedOn w:val="Normlny"/>
    <w:next w:val="Normlny"/>
    <w:uiPriority w:val="39"/>
    <w:unhideWhenUsed/>
    <w:pPr>
      <w:spacing w:after="57"/>
      <w:ind w:left="567"/>
    </w:pPr>
  </w:style>
  <w:style w:type="paragraph" w:styleId="Obsah4">
    <w:name w:val="toc 4"/>
    <w:basedOn w:val="Normlny"/>
    <w:next w:val="Normlny"/>
    <w:uiPriority w:val="39"/>
    <w:unhideWhenUsed/>
    <w:pPr>
      <w:spacing w:after="57"/>
      <w:ind w:left="850"/>
    </w:pPr>
  </w:style>
  <w:style w:type="paragraph" w:styleId="Obsah5">
    <w:name w:val="toc 5"/>
    <w:basedOn w:val="Normlny"/>
    <w:next w:val="Normlny"/>
    <w:uiPriority w:val="39"/>
    <w:unhideWhenUsed/>
    <w:pPr>
      <w:spacing w:after="57"/>
      <w:ind w:left="1134"/>
    </w:pPr>
  </w:style>
  <w:style w:type="paragraph" w:styleId="Obsah6">
    <w:name w:val="toc 6"/>
    <w:basedOn w:val="Normlny"/>
    <w:next w:val="Normlny"/>
    <w:uiPriority w:val="39"/>
    <w:unhideWhenUsed/>
    <w:pPr>
      <w:spacing w:after="57"/>
      <w:ind w:left="1417"/>
    </w:pPr>
  </w:style>
  <w:style w:type="paragraph" w:styleId="Obsah7">
    <w:name w:val="toc 7"/>
    <w:basedOn w:val="Normlny"/>
    <w:next w:val="Normlny"/>
    <w:uiPriority w:val="39"/>
    <w:unhideWhenUsed/>
    <w:pPr>
      <w:spacing w:after="57"/>
      <w:ind w:left="1701"/>
    </w:pPr>
  </w:style>
  <w:style w:type="paragraph" w:styleId="Obsah8">
    <w:name w:val="toc 8"/>
    <w:basedOn w:val="Normlny"/>
    <w:next w:val="Normlny"/>
    <w:uiPriority w:val="39"/>
    <w:unhideWhenUsed/>
    <w:pPr>
      <w:spacing w:after="57"/>
      <w:ind w:left="1984"/>
    </w:pPr>
  </w:style>
  <w:style w:type="paragraph" w:styleId="Obsah9">
    <w:name w:val="toc 9"/>
    <w:basedOn w:val="Normlny"/>
    <w:next w:val="Normlny"/>
    <w:uiPriority w:val="39"/>
    <w:unhideWhenUsed/>
    <w:pPr>
      <w:spacing w:after="57"/>
      <w:ind w:left="2268"/>
    </w:pPr>
  </w:style>
  <w:style w:type="paragraph" w:styleId="Hlavikaobsahu">
    <w:name w:val="TOC Heading"/>
    <w:uiPriority w:val="39"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Times New Roman"/>
      <w:b/>
      <w:bCs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="Cambria" w:eastAsia="Cambria" w:hAnsi="Cambria" w:cs="Cambria"/>
      <w:b/>
      <w:bCs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szCs w:val="32"/>
    </w:rPr>
  </w:style>
  <w:style w:type="character" w:customStyle="1" w:styleId="NzovChar">
    <w:name w:val="Názov Char"/>
    <w:basedOn w:val="Predvolenpsmoodseku"/>
    <w:link w:val="Nzov"/>
    <w:uiPriority w:val="10"/>
    <w:rPr>
      <w:rFonts w:ascii="Cambria" w:eastAsia="Cambria" w:hAnsi="Cambria" w:cs="Cambria"/>
      <w:b/>
      <w:bCs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Cambria" w:hAnsi="Cambria" w:cs="Times New Roman"/>
      <w:b/>
      <w:bCs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4611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dcterms:created xsi:type="dcterms:W3CDTF">2021-06-30T17:05:00Z</dcterms:created>
  <dcterms:modified xsi:type="dcterms:W3CDTF">2021-06-30T17:05:00Z</dcterms:modified>
</cp:coreProperties>
</file>