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0F84" w:rsidRDefault="009E0F84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Poznámky konsolidovanej účtovnej závierky obce KLASOV</w:t>
      </w:r>
    </w:p>
    <w:p w:rsidR="00ED0BAA" w:rsidRDefault="00ED0BAA" w:rsidP="00ED0BAA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</w:t>
      </w:r>
      <w:r w:rsidR="001513D0">
        <w:rPr>
          <w:rFonts w:ascii="Arial" w:hAnsi="Arial" w:cs="Arial"/>
          <w:b/>
          <w:iCs/>
          <w:sz w:val="28"/>
          <w:szCs w:val="28"/>
        </w:rPr>
        <w:t>20</w:t>
      </w:r>
    </w:p>
    <w:p w:rsidR="00ED0BAA" w:rsidRDefault="00ED0BAA" w:rsidP="00ED0BAA">
      <w:pPr>
        <w:rPr>
          <w:rFonts w:ascii="Arial" w:hAnsi="Arial" w:cs="Arial"/>
          <w:sz w:val="20"/>
          <w:szCs w:val="20"/>
        </w:rPr>
      </w:pPr>
    </w:p>
    <w:p w:rsidR="00ED0BAA" w:rsidRDefault="00ED0BAA" w:rsidP="00ED0BAA">
      <w:pPr>
        <w:rPr>
          <w:rFonts w:ascii="Arial" w:hAnsi="Arial" w:cs="Arial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</w:t>
      </w:r>
    </w:p>
    <w:p w:rsidR="00ED0BAA" w:rsidRDefault="00ED0BAA" w:rsidP="00ED0BA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:rsidR="00ED0BAA" w:rsidRDefault="00ED0BAA" w:rsidP="00ED0BAA">
      <w:pPr>
        <w:jc w:val="center"/>
        <w:rPr>
          <w:rFonts w:ascii="Arial" w:hAnsi="Arial" w:cs="Arial"/>
          <w:b/>
          <w:sz w:val="24"/>
          <w:szCs w:val="24"/>
        </w:rPr>
      </w:pPr>
    </w:p>
    <w:p w:rsidR="00ED0BAA" w:rsidRDefault="00ED0BAA" w:rsidP="00ED0BAA">
      <w:pPr>
        <w:numPr>
          <w:ilvl w:val="0"/>
          <w:numId w:val="3"/>
        </w:numPr>
        <w:spacing w:before="120"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Identifikačné údaje o konsolidujúcej účtovnej jednotke</w:t>
      </w:r>
    </w:p>
    <w:p w:rsidR="00ED0BAA" w:rsidRDefault="00ED0BAA" w:rsidP="00ED0BAA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ED0BAA" w:rsidTr="00ED0B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KLASOV</w:t>
            </w:r>
          </w:p>
        </w:tc>
      </w:tr>
      <w:tr w:rsidR="00ED0BAA" w:rsidTr="00ED0B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00308102</w:t>
            </w:r>
          </w:p>
        </w:tc>
      </w:tr>
      <w:tr w:rsidR="00ED0BAA" w:rsidTr="00ED0B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951 53 Klasov 108</w:t>
            </w:r>
          </w:p>
        </w:tc>
      </w:tr>
      <w:tr w:rsidR="00ED0BAA" w:rsidTr="00ED0BA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01.01.1991</w:t>
            </w:r>
          </w:p>
        </w:tc>
      </w:tr>
    </w:tbl>
    <w:p w:rsidR="00ED0BAA" w:rsidRDefault="00ED0BAA" w:rsidP="00ED0BAA">
      <w:pPr>
        <w:spacing w:before="120" w:after="12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</w:rPr>
        <w:t xml:space="preserve">Konsolidovaná účtovná závierka konsolidovaného celku OBCE </w:t>
      </w:r>
      <w:r w:rsidR="001513D0">
        <w:rPr>
          <w:rFonts w:ascii="Arial" w:hAnsi="Arial" w:cs="Arial"/>
          <w:bCs/>
        </w:rPr>
        <w:t xml:space="preserve">KLASOV  bola zostavená v súlade so zákonom </w:t>
      </w:r>
      <w:r>
        <w:rPr>
          <w:rFonts w:ascii="Arial" w:hAnsi="Arial" w:cs="Arial"/>
          <w:bCs/>
        </w:rPr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ED0BAA" w:rsidRDefault="00ED0BAA" w:rsidP="00ED0BAA">
      <w:pPr>
        <w:spacing w:before="120" w:after="120"/>
        <w:jc w:val="both"/>
        <w:rPr>
          <w:rFonts w:ascii="Arial" w:hAnsi="Arial" w:cs="Arial"/>
          <w:bCs/>
        </w:rPr>
      </w:pPr>
    </w:p>
    <w:p w:rsidR="00ED0BAA" w:rsidRDefault="00ED0BAA" w:rsidP="00ED0BAA">
      <w:pPr>
        <w:numPr>
          <w:ilvl w:val="0"/>
          <w:numId w:val="3"/>
        </w:numPr>
        <w:spacing w:before="120" w:after="120" w:line="240" w:lineRule="auto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bCs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781"/>
        <w:gridCol w:w="5284"/>
      </w:tblGrid>
      <w:tr w:rsidR="00ED0BAA" w:rsidTr="00ED0BAA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D0BAA" w:rsidRDefault="00ED0BA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D0BAA" w:rsidRDefault="00ED0BA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Ján B a l á z s </w:t>
            </w:r>
          </w:p>
        </w:tc>
      </w:tr>
      <w:tr w:rsidR="00ED0BAA" w:rsidTr="00ED0BAA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D0BAA" w:rsidRDefault="00ED0BA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Zástupca starostu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D0BAA" w:rsidRDefault="00ED0BA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Lajos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Gyepes</w:t>
            </w:r>
            <w:proofErr w:type="spellEnd"/>
          </w:p>
        </w:tc>
      </w:tr>
      <w:tr w:rsidR="00ED0BAA" w:rsidTr="00ED0BAA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D0BAA" w:rsidRDefault="00ED0BA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Prednosta obecného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0BAA" w:rsidRDefault="00ED0BA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D0BAA" w:rsidTr="00ED0BAA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D0BAA" w:rsidRDefault="00ED0BA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Hlavný kontrolór 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D0BAA" w:rsidRDefault="00ED0BA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Ladislav Varga, Ing.</w:t>
            </w:r>
          </w:p>
        </w:tc>
      </w:tr>
    </w:tbl>
    <w:p w:rsidR="00ED0BAA" w:rsidRDefault="00ED0BAA" w:rsidP="00ED0BAA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konsolidovanom celku</w:t>
      </w:r>
    </w:p>
    <w:p w:rsidR="00ED0BAA" w:rsidRDefault="00ED0BAA" w:rsidP="00ED0BAA">
      <w:pPr>
        <w:spacing w:before="120"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 xml:space="preserve">Identifikačné údaje všetkých účtovných jednotiek konsolidovaného celku OBCE KLASOV sú uvedené v tabuľkovej časti </w:t>
      </w:r>
      <w:r>
        <w:rPr>
          <w:rFonts w:ascii="Arial" w:hAnsi="Arial" w:cs="Arial"/>
          <w:color w:val="0000CC"/>
        </w:rPr>
        <w:t>(tabuľka  č. 1)</w:t>
      </w:r>
      <w:r>
        <w:rPr>
          <w:rFonts w:ascii="Arial" w:hAnsi="Arial" w:cs="Arial"/>
        </w:rPr>
        <w:t xml:space="preserve"> poznámok konsolidovanej účtovnej závierky.</w:t>
      </w:r>
    </w:p>
    <w:p w:rsidR="00ED0BAA" w:rsidRDefault="00ED0BAA" w:rsidP="00ED0BAA">
      <w:pPr>
        <w:spacing w:before="120" w:after="120"/>
        <w:jc w:val="both"/>
        <w:rPr>
          <w:rFonts w:ascii="Arial" w:hAnsi="Arial" w:cs="Arial"/>
        </w:rPr>
      </w:pPr>
    </w:p>
    <w:p w:rsidR="00ED0BAA" w:rsidRDefault="00ED0BAA" w:rsidP="00ED0BAA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Identifikačné údaje o konsolidovaných účtovných jednotkách – rozpočtových organizáciách </w:t>
      </w:r>
    </w:p>
    <w:p w:rsidR="00ED0BAA" w:rsidRDefault="00ED0BAA" w:rsidP="00ED0BAA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5"/>
        <w:gridCol w:w="4500"/>
        <w:gridCol w:w="1041"/>
        <w:gridCol w:w="1839"/>
      </w:tblGrid>
      <w:tr w:rsidR="00ED0BAA" w:rsidTr="00ED0BAA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  <w:p w:rsidR="00ED0BAA" w:rsidRDefault="00ED0B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  <w:p w:rsidR="00ED0BAA" w:rsidRDefault="00ED0B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  <w:p w:rsidR="00ED0BAA" w:rsidRDefault="00ED0B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ED0BAA" w:rsidTr="00ED0BA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951 53 Klasov 20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37865561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01.07.2002</w:t>
            </w:r>
          </w:p>
        </w:tc>
      </w:tr>
      <w:tr w:rsidR="00ED0BAA" w:rsidTr="00ED0BA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ED0BAA" w:rsidTr="00ED0BA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ED0BAA" w:rsidTr="00ED0BA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ED0BAA" w:rsidRDefault="00ED0BAA" w:rsidP="00ED0BAA">
      <w:pPr>
        <w:spacing w:before="120" w:after="120"/>
        <w:rPr>
          <w:rFonts w:ascii="Arial" w:hAnsi="Arial" w:cs="Arial"/>
          <w:b/>
          <w:i/>
          <w:sz w:val="20"/>
          <w:szCs w:val="20"/>
          <w:lang w:eastAsia="sk-SK"/>
        </w:rPr>
      </w:pPr>
    </w:p>
    <w:p w:rsidR="00ED0BAA" w:rsidRDefault="00ED0BAA" w:rsidP="00ED0BAA">
      <w:pPr>
        <w:numPr>
          <w:ilvl w:val="0"/>
          <w:numId w:val="3"/>
        </w:num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Informácie o zamestnancoch konsolidovaného celku </w:t>
      </w:r>
    </w:p>
    <w:p w:rsidR="00ED0BAA" w:rsidRDefault="00ED0BAA" w:rsidP="00ED0BAA">
      <w:pPr>
        <w:rPr>
          <w:rFonts w:ascii="Arial" w:hAnsi="Arial" w:cs="Arial"/>
          <w:b/>
          <w:i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1"/>
        <w:gridCol w:w="1989"/>
        <w:gridCol w:w="1989"/>
      </w:tblGrid>
      <w:tr w:rsidR="00ED0BAA" w:rsidTr="00ED0BAA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D0BAA" w:rsidRDefault="00ED0BAA">
            <w:pPr>
              <w:pStyle w:val="odstavec"/>
              <w:rPr>
                <w:color w:val="auto"/>
              </w:rPr>
            </w:pPr>
            <w:r>
              <w:rPr>
                <w:color w:val="auto"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BAA" w:rsidRDefault="00ED0BAA" w:rsidP="000971DC">
            <w:pPr>
              <w:pStyle w:val="odstavec"/>
              <w:rPr>
                <w:color w:val="auto"/>
              </w:rPr>
            </w:pPr>
            <w:r>
              <w:rPr>
                <w:color w:val="auto"/>
              </w:rPr>
              <w:t>201</w:t>
            </w:r>
            <w:r w:rsidR="000971DC">
              <w:rPr>
                <w:color w:val="auto"/>
              </w:rPr>
              <w:t>9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ED0BAA" w:rsidRDefault="00ED0BAA" w:rsidP="000971DC">
            <w:pPr>
              <w:pStyle w:val="odstavec"/>
              <w:rPr>
                <w:color w:val="auto"/>
              </w:rPr>
            </w:pPr>
            <w:r>
              <w:rPr>
                <w:color w:val="auto"/>
              </w:rPr>
              <w:t>20</w:t>
            </w:r>
            <w:r w:rsidR="000971DC">
              <w:rPr>
                <w:color w:val="auto"/>
              </w:rPr>
              <w:t>20</w:t>
            </w:r>
          </w:p>
        </w:tc>
      </w:tr>
      <w:tr w:rsidR="00ED0BAA" w:rsidTr="00ED0BAA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D0BAA" w:rsidRDefault="00ED0BAA">
            <w:pPr>
              <w:pStyle w:val="odstavec"/>
              <w:rPr>
                <w:color w:val="auto"/>
              </w:rPr>
            </w:pPr>
            <w:r>
              <w:rPr>
                <w:color w:val="auto"/>
              </w:rPr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BAA" w:rsidRDefault="00ED0BAA">
            <w:pPr>
              <w:pStyle w:val="odstavec"/>
              <w:rPr>
                <w:color w:val="auto"/>
              </w:rPr>
            </w:pPr>
            <w:r>
              <w:rPr>
                <w:color w:val="auto"/>
              </w:rPr>
              <w:t>31,18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ED0BAA" w:rsidRDefault="00ED0BAA" w:rsidP="000971DC">
            <w:pPr>
              <w:pStyle w:val="odstavec"/>
              <w:rPr>
                <w:color w:val="auto"/>
              </w:rPr>
            </w:pPr>
            <w:r>
              <w:rPr>
                <w:color w:val="auto"/>
              </w:rPr>
              <w:t>31,</w:t>
            </w:r>
            <w:r w:rsidR="000971DC">
              <w:rPr>
                <w:color w:val="auto"/>
              </w:rPr>
              <w:t>18</w:t>
            </w:r>
          </w:p>
        </w:tc>
      </w:tr>
      <w:tr w:rsidR="00ED0BAA" w:rsidTr="00ED0BAA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D0BAA" w:rsidRDefault="00ED0BAA">
            <w:pPr>
              <w:pStyle w:val="odstavec"/>
              <w:rPr>
                <w:color w:val="auto"/>
              </w:rPr>
            </w:pPr>
            <w:r>
              <w:rPr>
                <w:color w:val="auto"/>
              </w:rPr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BAA" w:rsidRDefault="00ED0BAA">
            <w:pPr>
              <w:pStyle w:val="odstavec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ED0BAA" w:rsidRDefault="00ED0BAA">
            <w:pPr>
              <w:pStyle w:val="odstavec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</w:tr>
    </w:tbl>
    <w:p w:rsidR="00ED0BAA" w:rsidRDefault="00ED0BAA" w:rsidP="00ED0BAA">
      <w:pPr>
        <w:spacing w:before="120" w:after="120"/>
        <w:rPr>
          <w:rFonts w:ascii="Arial" w:hAnsi="Arial" w:cs="Arial"/>
          <w:b/>
          <w:i/>
        </w:rPr>
      </w:pPr>
    </w:p>
    <w:p w:rsidR="00ED0BAA" w:rsidRDefault="00ED0BAA" w:rsidP="00ED0BAA">
      <w:pPr>
        <w:pStyle w:val="Nadpis2"/>
      </w:pPr>
      <w:r>
        <w:t xml:space="preserve">Informácie o výsledku hospodárenia z dôvodu predaja majetku medzi účtovnými   jednotkami konsolidovaného celku </w:t>
      </w:r>
    </w:p>
    <w:p w:rsidR="00ED0BAA" w:rsidRDefault="00ED0BAA" w:rsidP="00ED0BAA">
      <w:pPr>
        <w:spacing w:before="120"/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V priebehu účtovného obdobia roku 20</w:t>
      </w:r>
      <w:r w:rsidR="000971DC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sa medzi účtovnými jednotkami konsolidovaného celku obce Klasov neuskutočnil nákup resp. predaj majetku.</w:t>
      </w:r>
    </w:p>
    <w:p w:rsidR="00ED0BAA" w:rsidRDefault="00ED0BAA" w:rsidP="00ED0BAA">
      <w:pPr>
        <w:spacing w:before="120"/>
        <w:ind w:left="426"/>
        <w:jc w:val="both"/>
        <w:rPr>
          <w:rFonts w:ascii="Arial" w:hAnsi="Arial" w:cs="Arial"/>
        </w:rPr>
      </w:pPr>
    </w:p>
    <w:p w:rsidR="00ED0BAA" w:rsidRDefault="00ED0BAA" w:rsidP="00ED0BAA">
      <w:pPr>
        <w:pStyle w:val="Nadpis2"/>
      </w:pPr>
      <w:r>
        <w:t>Informácie o účtovných zásadách a účtovných metódach</w:t>
      </w:r>
    </w:p>
    <w:p w:rsidR="00ED0BAA" w:rsidRDefault="00ED0BAA" w:rsidP="00ED0BAA">
      <w:pPr>
        <w:pStyle w:val="abc"/>
      </w:pPr>
      <w:r>
        <w:t>Dlhodobý nehmotný a dlhodobý hmotný majetok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úverov. Zľava z ceny, ktorú poskytol dodávateľ k majetku sa účtuje ako zníženie nákladov na predaný alebo spotrebovaný majetok.</w:t>
      </w:r>
    </w:p>
    <w:p w:rsidR="00ED0BAA" w:rsidRDefault="00ED0BAA" w:rsidP="00ED0BAA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 xml:space="preserve">Hodnota obstarávaného dlhodobého hmotného majetku, ktorý sa používa, sa trvalo zníži o oprávky, ktoré zodpovedajú výške opotrebenia majetku. </w:t>
      </w:r>
    </w:p>
    <w:p w:rsidR="00ED0BAA" w:rsidRDefault="00ED0BAA" w:rsidP="00ED0BAA">
      <w:pPr>
        <w:pStyle w:val="odstavec"/>
        <w:rPr>
          <w:color w:val="auto"/>
        </w:rPr>
      </w:pP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 xml:space="preserve">O opravných položkách sa účtuje v prípade prechodného zníženia hodnoty majetku ku dňu, ku ktorému sa zostavuje účtovná závierka. </w:t>
      </w:r>
    </w:p>
    <w:p w:rsidR="00ED0BAA" w:rsidRDefault="00ED0BAA" w:rsidP="00ED0BAA">
      <w:pPr>
        <w:pStyle w:val="odstavec"/>
        <w:rPr>
          <w:color w:val="auto"/>
        </w:rPr>
      </w:pP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ED0BAA" w:rsidRDefault="00ED0BAA" w:rsidP="00ED0BAA">
      <w:pPr>
        <w:pStyle w:val="odstavec"/>
        <w:rPr>
          <w:color w:val="auto"/>
        </w:rPr>
      </w:pP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 xml:space="preserve">reprodukčnou obstarávacou cenou. Dlhodobý nehmotný a hmotný majetok obstaraný iným spôsobom (napr. bezodplatne nadobudnutý majetok, delimitovaný, novo zistený majetok pri inventarizácii) sa </w:t>
      </w:r>
      <w:r>
        <w:rPr>
          <w:color w:val="auto"/>
        </w:rPr>
        <w:lastRenderedPageBreak/>
        <w:t xml:space="preserve">oceňuje reprodukčnou obstarávacou cenou, </w:t>
      </w:r>
      <w:proofErr w:type="spellStart"/>
      <w:r>
        <w:rPr>
          <w:color w:val="auto"/>
        </w:rPr>
        <w:t>t.j</w:t>
      </w:r>
      <w:proofErr w:type="spellEnd"/>
      <w:r>
        <w:rPr>
          <w:color w:val="auto"/>
        </w:rPr>
        <w:t>. cenou, za ktorú by sa majetok obstaral v čase, keď sa o ňom účtuje.</w:t>
      </w:r>
    </w:p>
    <w:p w:rsidR="00ED0BAA" w:rsidRDefault="00ED0BAA" w:rsidP="00ED0BAA">
      <w:pPr>
        <w:pStyle w:val="odstavec"/>
        <w:rPr>
          <w:color w:val="auto"/>
        </w:rPr>
      </w:pP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</w:p>
    <w:p w:rsidR="00ED0BAA" w:rsidRDefault="00ED0BAA" w:rsidP="00ED0BAA">
      <w:pPr>
        <w:pStyle w:val="abc"/>
      </w:pPr>
      <w:r>
        <w:t>Dlhodobý finančný majetok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 xml:space="preserve">Finančné investície, cenné papiere a majetkové účasti sa oceňujú obstarávacou cenou, vrátane nákladov súvisiacich s obstaraním (provízie maklérom, poplatky burze). </w:t>
      </w:r>
    </w:p>
    <w:p w:rsidR="00ED0BAA" w:rsidRDefault="00ED0BAA" w:rsidP="00ED0BAA">
      <w:pPr>
        <w:pStyle w:val="odstavec"/>
        <w:rPr>
          <w:color w:val="auto"/>
        </w:rPr>
      </w:pPr>
    </w:p>
    <w:p w:rsidR="00ED0BAA" w:rsidRDefault="00ED0BAA" w:rsidP="00ED0BAA">
      <w:pPr>
        <w:pStyle w:val="abc"/>
      </w:pPr>
      <w:r>
        <w:t>Zásoby</w:t>
      </w:r>
    </w:p>
    <w:p w:rsidR="00ED0BAA" w:rsidRDefault="00ED0BAA" w:rsidP="00ED0BAA">
      <w:pPr>
        <w:pStyle w:val="abc"/>
        <w:numPr>
          <w:ilvl w:val="0"/>
          <w:numId w:val="0"/>
        </w:numPr>
        <w:rPr>
          <w:b w:val="0"/>
        </w:rPr>
      </w:pPr>
      <w:r>
        <w:rPr>
          <w:b w:val="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ED0BAA" w:rsidRDefault="00ED0BAA" w:rsidP="00ED0BAA">
      <w:pPr>
        <w:pStyle w:val="abc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Zásoby vytvorené vlastnou činnosťou sa oceňujú vlastnými nákladmi. </w:t>
      </w:r>
    </w:p>
    <w:p w:rsidR="00ED0BAA" w:rsidRDefault="00ED0BAA" w:rsidP="00ED0BAA">
      <w:pPr>
        <w:pStyle w:val="abc"/>
        <w:numPr>
          <w:ilvl w:val="0"/>
          <w:numId w:val="0"/>
        </w:numPr>
      </w:pPr>
      <w:r>
        <w:rPr>
          <w:b w:val="0"/>
        </w:rPr>
        <w:t>Toto ocenenie sa upravuje o zníženie</w:t>
      </w:r>
      <w:r>
        <w:t xml:space="preserve"> hodnoty zásob.</w:t>
      </w:r>
    </w:p>
    <w:p w:rsidR="00ED0BAA" w:rsidRDefault="00ED0BAA" w:rsidP="00ED0BAA">
      <w:pPr>
        <w:pStyle w:val="abc"/>
      </w:pPr>
      <w:r>
        <w:t>Pohľadávky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>
        <w:rPr>
          <w:color w:val="auto"/>
        </w:rPr>
        <w:t>t.j</w:t>
      </w:r>
      <w:proofErr w:type="spellEnd"/>
      <w:r>
        <w:rPr>
          <w:color w:val="auto"/>
        </w:rPr>
        <w:t>. vrátane nákladov súvisiacich s obstaraním.</w:t>
      </w:r>
    </w:p>
    <w:p w:rsidR="00ED0BAA" w:rsidRDefault="00ED0BAA" w:rsidP="00ED0BAA">
      <w:pPr>
        <w:pStyle w:val="odstavec"/>
        <w:rPr>
          <w:color w:val="auto"/>
        </w:rPr>
      </w:pP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 xml:space="preserve">Opravná položka sa vytvára napr. k pohľadávkam po splatnosti a nedobytným pohľadávkam, kde existuje riziko nevymožiteľnosti pohľadávok. </w:t>
      </w:r>
    </w:p>
    <w:p w:rsidR="00ED0BAA" w:rsidRDefault="00ED0BAA" w:rsidP="00ED0BAA">
      <w:pPr>
        <w:pStyle w:val="odstavec"/>
        <w:rPr>
          <w:color w:val="auto"/>
        </w:rPr>
      </w:pPr>
    </w:p>
    <w:p w:rsidR="00ED0BAA" w:rsidRDefault="00ED0BAA" w:rsidP="00ED0BAA">
      <w:pPr>
        <w:pStyle w:val="abc"/>
      </w:pPr>
      <w:r>
        <w:t>Finančné účty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>Peňažné prostriedky a ceniny sa oceňujú menovitou hodnotou.</w:t>
      </w:r>
    </w:p>
    <w:p w:rsidR="00ED0BAA" w:rsidRDefault="00ED0BAA" w:rsidP="00ED0BAA">
      <w:pPr>
        <w:pStyle w:val="odstavec"/>
        <w:rPr>
          <w:color w:val="auto"/>
        </w:rPr>
      </w:pPr>
    </w:p>
    <w:p w:rsidR="00ED0BAA" w:rsidRDefault="00ED0BAA" w:rsidP="00ED0BAA">
      <w:pPr>
        <w:pStyle w:val="abc"/>
      </w:pPr>
      <w:r>
        <w:t>Náklady budúcich období a príjmy budúcich období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>Náklady budúcich období a príjmy budúcich období sú vykázané vo výške, ktorá je potrebná na dodržanie zásady vecnej a časovej súvislosti s účtovným obdobím.</w:t>
      </w:r>
    </w:p>
    <w:p w:rsidR="00ED0BAA" w:rsidRDefault="00ED0BAA" w:rsidP="00ED0BAA">
      <w:pPr>
        <w:pStyle w:val="odstavec"/>
        <w:rPr>
          <w:color w:val="auto"/>
        </w:rPr>
      </w:pPr>
    </w:p>
    <w:p w:rsidR="00ED0BAA" w:rsidRDefault="00ED0BAA" w:rsidP="00ED0BAA">
      <w:pPr>
        <w:pStyle w:val="abc"/>
      </w:pPr>
      <w:r>
        <w:t>Rezervy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ED0BAA" w:rsidRDefault="00ED0BAA" w:rsidP="00ED0BAA">
      <w:pPr>
        <w:pStyle w:val="odstavec"/>
        <w:rPr>
          <w:color w:val="auto"/>
        </w:rPr>
      </w:pPr>
    </w:p>
    <w:p w:rsidR="00ED0BAA" w:rsidRDefault="00ED0BAA" w:rsidP="00ED0BAA">
      <w:pPr>
        <w:pStyle w:val="abc"/>
      </w:pPr>
      <w:r>
        <w:t>Záväzky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 xml:space="preserve">Záväzky sa pri ich vzniku oceňujú menovitou hodnotou a pri ich prevzatí sa oceňujú obstarávacou cenou. 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>Ak sa pri inventarizácii zistí, že suma záväzkov je iná ako ich výška v účtovníctve, uvedú sa záväzky v účtovníctve a v účtovnej závierke v tomto zistenom ocenení.</w:t>
      </w:r>
    </w:p>
    <w:p w:rsidR="00ED0BAA" w:rsidRDefault="00ED0BAA" w:rsidP="00ED0BAA">
      <w:pPr>
        <w:pStyle w:val="odstavec"/>
        <w:rPr>
          <w:color w:val="auto"/>
        </w:rPr>
      </w:pPr>
    </w:p>
    <w:p w:rsidR="00ED0BAA" w:rsidRDefault="00ED0BAA" w:rsidP="00ED0BAA">
      <w:pPr>
        <w:pStyle w:val="abc"/>
      </w:pPr>
      <w:r>
        <w:t>Výdavky budúcich období a výnosy budúcich období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>Výdavky budúcich období a výnosy budúcich období sú vykázané vo výške, ktorá je potrebná na dodržanie zásady vecnej a časovej súvislosti s účtovným obdobím.</w:t>
      </w:r>
    </w:p>
    <w:p w:rsidR="00ED0BAA" w:rsidRDefault="00ED0BAA" w:rsidP="00ED0BAA">
      <w:pPr>
        <w:pStyle w:val="odstavec"/>
        <w:rPr>
          <w:color w:val="auto"/>
        </w:rPr>
      </w:pPr>
    </w:p>
    <w:p w:rsidR="00ED0BAA" w:rsidRDefault="00ED0BAA" w:rsidP="00ED0BAA">
      <w:pPr>
        <w:pStyle w:val="abc"/>
      </w:pPr>
      <w:r>
        <w:t>Cudzia mena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 xml:space="preserve">Majetok a záväzky vyjadrené v cudzej mene sa prepočítavajú na slovenskú menu euro referenčným výmenným kurzom určeným a vyhláseným Európskou centrálnou bankou alebo Národnou bankou </w:t>
      </w:r>
      <w:r>
        <w:rPr>
          <w:color w:val="auto"/>
        </w:rPr>
        <w:lastRenderedPageBreak/>
        <w:t>Slovenska v deň predchádzajúci dňu uskutočnenia účtovného prípadu alebo v iný deň, ak to ustanovuje osobitný predpis, resp. v deň, ku ktorému sa zostavuje účtovná závierka.</w:t>
      </w:r>
    </w:p>
    <w:p w:rsidR="00ED0BAA" w:rsidRDefault="00ED0BAA" w:rsidP="00ED0BAA">
      <w:pPr>
        <w:pStyle w:val="odstavec"/>
        <w:rPr>
          <w:color w:val="auto"/>
        </w:rPr>
      </w:pPr>
    </w:p>
    <w:p w:rsidR="00ED0BAA" w:rsidRDefault="00ED0BAA" w:rsidP="00ED0BAA">
      <w:pPr>
        <w:pStyle w:val="Zkladntext"/>
        <w:numPr>
          <w:ilvl w:val="0"/>
          <w:numId w:val="4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Zásady pre vykazovanie transferov.</w:t>
      </w:r>
    </w:p>
    <w:p w:rsidR="00ED0BAA" w:rsidRDefault="00ED0BAA" w:rsidP="00ED0BAA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D0BAA" w:rsidRDefault="00ED0BAA" w:rsidP="00ED0BAA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Bežný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cudzích subjektov</w:t>
      </w:r>
      <w:r>
        <w:rPr>
          <w:rFonts w:ascii="Arial" w:hAnsi="Arial" w:cs="Arial"/>
        </w:rPr>
        <w:t xml:space="preserve"> - sa  zúčtuje do výnosov  vo vecnej a časovej súvislosti s nákladmi. </w:t>
      </w:r>
    </w:p>
    <w:p w:rsidR="00ED0BAA" w:rsidRDefault="00ED0BAA" w:rsidP="00ED0BAA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Bežný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zriaďovateľa</w:t>
      </w:r>
      <w:r>
        <w:rPr>
          <w:rFonts w:ascii="Arial" w:hAnsi="Arial" w:cs="Arial"/>
        </w:rPr>
        <w:t xml:space="preserve"> - sa  zúčtuje do výnosov  vo vecnej a časovej súvislosti s výdavkami. </w:t>
      </w:r>
    </w:p>
    <w:p w:rsidR="00ED0BAA" w:rsidRDefault="00ED0BAA" w:rsidP="00ED0BAA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Kapitálový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cudzích subjektov</w:t>
      </w:r>
      <w:r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D0BAA" w:rsidRDefault="00ED0BAA" w:rsidP="00ED0BAA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Kapitálový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zriaďovateľa</w:t>
      </w:r>
      <w:r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D0BAA" w:rsidRDefault="00ED0BAA" w:rsidP="00ED0BAA">
      <w:pPr>
        <w:pStyle w:val="odstavec"/>
        <w:rPr>
          <w:color w:val="auto"/>
        </w:rPr>
      </w:pPr>
    </w:p>
    <w:p w:rsidR="00ED0BAA" w:rsidRDefault="00ED0BAA" w:rsidP="00ED0BAA">
      <w:pPr>
        <w:pStyle w:val="abc"/>
      </w:pPr>
      <w:r>
        <w:t xml:space="preserve">Výnosy 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ED0BAA" w:rsidRDefault="00ED0BAA" w:rsidP="00ED0BAA">
      <w:pPr>
        <w:pStyle w:val="odstavec"/>
        <w:rPr>
          <w:color w:val="auto"/>
        </w:rPr>
      </w:pP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>O výnosoch z  poplatkov sa účtuje v časovej a vecnej súvislosti s vyrubením poplatkov (ak je účtovná jednotka výbercom poplatkov).</w:t>
      </w:r>
    </w:p>
    <w:p w:rsidR="00ED0BAA" w:rsidRDefault="00ED0BAA" w:rsidP="00ED0BA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</w:t>
      </w:r>
    </w:p>
    <w:p w:rsidR="00ED0BAA" w:rsidRDefault="00ED0BAA" w:rsidP="00ED0BA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ED0BAA" w:rsidRDefault="00ED0BAA" w:rsidP="00ED0BAA">
      <w:pPr>
        <w:jc w:val="both"/>
        <w:rPr>
          <w:rFonts w:ascii="Arial" w:hAnsi="Arial" w:cs="Arial"/>
          <w:sz w:val="20"/>
          <w:szCs w:val="20"/>
        </w:rPr>
      </w:pPr>
    </w:p>
    <w:p w:rsidR="00ED0BAA" w:rsidRDefault="00ED0BAA" w:rsidP="00ED0BAA">
      <w:pPr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Informácie o použitých metódach konsolidácie</w:t>
      </w:r>
    </w:p>
    <w:p w:rsidR="00ED0BAA" w:rsidRDefault="00ED0BAA" w:rsidP="00ED0BAA">
      <w:pPr>
        <w:jc w:val="both"/>
        <w:rPr>
          <w:rFonts w:ascii="Arial" w:hAnsi="Arial" w:cs="Arial"/>
          <w:sz w:val="20"/>
          <w:szCs w:val="20"/>
        </w:rPr>
      </w:pPr>
    </w:p>
    <w:p w:rsidR="00ED0BAA" w:rsidRDefault="00ED0BAA" w:rsidP="00ED0BA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Účtovné jednotky konsolidovaného celku OBCE KLASOV boli zahrnuté do konsolidovanej účtovnej závierky metódou konsolidácie uvedenou v nasledujúcom prehľade:. </w:t>
      </w:r>
    </w:p>
    <w:p w:rsidR="00ED0BAA" w:rsidRDefault="00ED0BAA" w:rsidP="00ED0BAA">
      <w:pPr>
        <w:jc w:val="both"/>
        <w:rPr>
          <w:rFonts w:ascii="Arial" w:hAnsi="Arial" w:cs="Arial"/>
        </w:rPr>
      </w:pPr>
    </w:p>
    <w:tbl>
      <w:tblPr>
        <w:tblW w:w="993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9"/>
        <w:gridCol w:w="1302"/>
        <w:gridCol w:w="1560"/>
        <w:gridCol w:w="1629"/>
      </w:tblGrid>
      <w:tr w:rsidR="00ED0BAA" w:rsidTr="00ED0BAA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ED0BAA" w:rsidRDefault="00ED0BA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ED0BAA" w:rsidRDefault="00ED0BA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ED0BAA" w:rsidRDefault="00ED0BA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ED0BAA" w:rsidRDefault="00ED0BA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ED0BAA" w:rsidTr="00ED0BAA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BAA" w:rsidRDefault="00ED0BAA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BAA" w:rsidRDefault="00ED0BAA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ED0BAA" w:rsidRDefault="00ED0BAA" w:rsidP="00ED0BAA">
      <w:pPr>
        <w:spacing w:before="120" w:after="60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</w:rPr>
        <w:t xml:space="preserve">Metóda úplnej konsolidácie bola použitá pri dcérskej účtovnej jednotke.  </w:t>
      </w:r>
    </w:p>
    <w:p w:rsidR="00ED0BAA" w:rsidRDefault="00ED0BAA" w:rsidP="00ED0BAA">
      <w:pPr>
        <w:autoSpaceDE w:val="0"/>
        <w:autoSpaceDN w:val="0"/>
        <w:adjustRightInd w:val="0"/>
        <w:rPr>
          <w:rFonts w:ascii="Arial" w:hAnsi="Arial" w:cs="Arial"/>
        </w:rPr>
      </w:pPr>
    </w:p>
    <w:p w:rsidR="00ED0BAA" w:rsidRDefault="00ED0BAA" w:rsidP="00ED0BAA">
      <w:pPr>
        <w:numPr>
          <w:ilvl w:val="0"/>
          <w:numId w:val="5"/>
        </w:numPr>
        <w:spacing w:before="60"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Konsolidácia medzivýsledku</w:t>
      </w:r>
    </w:p>
    <w:p w:rsidR="00ED0BAA" w:rsidRDefault="00ED0BAA" w:rsidP="00ED0BAA">
      <w:pPr>
        <w:spacing w:before="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>Konsolidácia medzivýsledku na úrovni obce nebola vykonaná, nakoľko nebol realizovaný žiadny predaj majetku a zásob medzi účtovnými jednotkami KC.</w:t>
      </w:r>
    </w:p>
    <w:p w:rsidR="00ED0BAA" w:rsidRDefault="00ED0BAA" w:rsidP="00ED0BAA">
      <w:pPr>
        <w:rPr>
          <w:rFonts w:ascii="Arial" w:hAnsi="Arial" w:cs="Arial"/>
          <w:b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:rsidR="00ED0BAA" w:rsidRDefault="00ED0BAA" w:rsidP="00ED0BA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ED0BAA" w:rsidRDefault="00ED0BAA" w:rsidP="00ED0BAA">
      <w:pPr>
        <w:numPr>
          <w:ilvl w:val="0"/>
          <w:numId w:val="6"/>
        </w:numPr>
        <w:spacing w:after="6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Údaje po konsolidovanom celku </w:t>
      </w:r>
    </w:p>
    <w:p w:rsidR="00ED0BAA" w:rsidRDefault="00ED0BAA" w:rsidP="00ED0BAA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</w:rPr>
        <w:lastRenderedPageBreak/>
        <w:t>Konsolidovaný celok OBEC KLASOV zahŕňa  jednu</w:t>
      </w:r>
      <w:r>
        <w:rPr>
          <w:rFonts w:ascii="Arial" w:hAnsi="Arial" w:cs="Arial"/>
          <w:iCs/>
          <w:color w:val="0000CC"/>
        </w:rPr>
        <w:t xml:space="preserve"> </w:t>
      </w:r>
      <w:r>
        <w:rPr>
          <w:rFonts w:ascii="Arial" w:hAnsi="Arial" w:cs="Arial"/>
          <w:iCs/>
          <w:color w:val="C00000"/>
        </w:rPr>
        <w:t xml:space="preserve"> </w:t>
      </w:r>
      <w:r>
        <w:rPr>
          <w:rFonts w:ascii="Arial" w:hAnsi="Arial" w:cs="Arial"/>
          <w:iCs/>
        </w:rPr>
        <w:t xml:space="preserve">rozpočtovú organizáciu. Identifikačné údaje o účtovných jednotkách konsolidovaného celku sú uvedené v tabuľkovej časti </w:t>
      </w:r>
      <w:r>
        <w:rPr>
          <w:rFonts w:ascii="Arial" w:hAnsi="Arial" w:cs="Arial"/>
          <w:iCs/>
          <w:color w:val="0000CC"/>
        </w:rPr>
        <w:t>(tabuľka č. 1).</w:t>
      </w:r>
    </w:p>
    <w:p w:rsidR="00ED0BAA" w:rsidRDefault="00ED0BAA" w:rsidP="00ED0BAA">
      <w:pPr>
        <w:numPr>
          <w:ilvl w:val="0"/>
          <w:numId w:val="6"/>
        </w:numPr>
        <w:spacing w:before="120" w:after="12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Prehľad o pohybe dlhodobého majetku</w:t>
      </w:r>
    </w:p>
    <w:p w:rsidR="00ED0BAA" w:rsidRDefault="00ED0BAA" w:rsidP="00ED0BAA">
      <w:pPr>
        <w:pStyle w:val="odstavec"/>
        <w:rPr>
          <w:color w:val="auto"/>
        </w:rPr>
      </w:pPr>
      <w:r>
        <w:rPr>
          <w:b/>
          <w:color w:val="auto"/>
        </w:rPr>
        <w:t>a</w:t>
      </w:r>
      <w:r>
        <w:rPr>
          <w:b/>
          <w:color w:val="auto"/>
          <w:u w:val="single"/>
        </w:rPr>
        <w:t>) Prehľad o pohybe dlhodobého nehmotného a dlhodobého hmotného majetku</w:t>
      </w:r>
      <w:r>
        <w:rPr>
          <w:color w:val="auto"/>
        </w:rPr>
        <w:t xml:space="preserve"> od 1. januára 20</w:t>
      </w:r>
      <w:r w:rsidR="000971DC">
        <w:rPr>
          <w:color w:val="auto"/>
        </w:rPr>
        <w:t>20</w:t>
      </w:r>
      <w:r>
        <w:rPr>
          <w:color w:val="auto"/>
        </w:rPr>
        <w:t>do 31. decembra 20</w:t>
      </w:r>
      <w:r w:rsidR="000971DC">
        <w:rPr>
          <w:color w:val="auto"/>
        </w:rPr>
        <w:t>20</w:t>
      </w:r>
      <w:r>
        <w:rPr>
          <w:color w:val="auto"/>
        </w:rPr>
        <w:t xml:space="preserve">je uvedený  v tabuľkovej časti  konsolidovaných poznámok (tabuľka č. 2). </w:t>
      </w:r>
    </w:p>
    <w:p w:rsidR="00ED0BAA" w:rsidRDefault="00ED0BAA" w:rsidP="00ED0BAA">
      <w:pPr>
        <w:pStyle w:val="odstavec"/>
        <w:rPr>
          <w:color w:val="auto"/>
        </w:rPr>
      </w:pPr>
    </w:p>
    <w:p w:rsidR="00ED0BAA" w:rsidRDefault="00ED0BAA" w:rsidP="00ED0BAA">
      <w:pPr>
        <w:pStyle w:val="odstavec"/>
        <w:rPr>
          <w:color w:val="auto"/>
        </w:rPr>
      </w:pPr>
      <w:r>
        <w:rPr>
          <w:b/>
          <w:color w:val="auto"/>
        </w:rPr>
        <w:t>Najvýznamnejší prírastok</w:t>
      </w:r>
      <w:r>
        <w:rPr>
          <w:color w:val="auto"/>
        </w:rPr>
        <w:t xml:space="preserve"> dlhodobého majetku  bolo zaradenie rekonštrukcia </w:t>
      </w:r>
      <w:r w:rsidR="001513D0">
        <w:rPr>
          <w:color w:val="auto"/>
        </w:rPr>
        <w:t>chodníka ZŠ,</w:t>
      </w:r>
      <w:r>
        <w:rPr>
          <w:color w:val="auto"/>
        </w:rPr>
        <w:t xml:space="preserve"> </w:t>
      </w:r>
      <w:proofErr w:type="spellStart"/>
      <w:r w:rsidR="001513D0">
        <w:rPr>
          <w:color w:val="auto"/>
        </w:rPr>
        <w:t>kanal</w:t>
      </w:r>
      <w:proofErr w:type="spellEnd"/>
      <w:r w:rsidR="001513D0">
        <w:rPr>
          <w:color w:val="auto"/>
        </w:rPr>
        <w:t xml:space="preserve">. a vodovod Zóna II., </w:t>
      </w:r>
    </w:p>
    <w:p w:rsidR="00A575B7" w:rsidRDefault="00A575B7" w:rsidP="00ED0BAA">
      <w:pPr>
        <w:pStyle w:val="odstavec"/>
        <w:rPr>
          <w:color w:val="auto"/>
        </w:rPr>
      </w:pPr>
    </w:p>
    <w:p w:rsidR="00ED0BAA" w:rsidRDefault="00ED0BAA" w:rsidP="00ED0BAA">
      <w:pPr>
        <w:spacing w:before="6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</w:rPr>
        <w:t>b</w:t>
      </w:r>
      <w:r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ED0BAA" w:rsidRDefault="00ED0BAA" w:rsidP="00ED0BAA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9"/>
        <w:gridCol w:w="3148"/>
        <w:gridCol w:w="1785"/>
      </w:tblGrid>
      <w:tr w:rsidR="00ED0BAA" w:rsidTr="00ED0BAA">
        <w:tc>
          <w:tcPr>
            <w:tcW w:w="2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ED0BAA" w:rsidTr="00ED0BAA">
        <w:tc>
          <w:tcPr>
            <w:tcW w:w="2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Poškodenie a živelná pohroma </w:t>
            </w:r>
          </w:p>
        </w:tc>
        <w:tc>
          <w:tcPr>
            <w:tcW w:w="1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8960E3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1870,16</w:t>
            </w:r>
          </w:p>
        </w:tc>
      </w:tr>
      <w:tr w:rsidR="00ED0BAA" w:rsidTr="00ED0BAA">
        <w:tc>
          <w:tcPr>
            <w:tcW w:w="2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Ukradnutie a zničenie</w:t>
            </w:r>
          </w:p>
        </w:tc>
        <w:tc>
          <w:tcPr>
            <w:tcW w:w="1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150</w:t>
            </w:r>
          </w:p>
        </w:tc>
      </w:tr>
      <w:tr w:rsidR="00ED0BAA" w:rsidTr="00ED0BAA">
        <w:tc>
          <w:tcPr>
            <w:tcW w:w="2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BAA" w:rsidRDefault="00ED0BAA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BAA" w:rsidRDefault="00ED0BAA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bCs/>
              </w:rPr>
            </w:pPr>
          </w:p>
        </w:tc>
      </w:tr>
    </w:tbl>
    <w:p w:rsidR="00ED0BAA" w:rsidRDefault="00ED0BAA" w:rsidP="00ED0BAA">
      <w:pPr>
        <w:spacing w:before="120"/>
        <w:jc w:val="both"/>
        <w:rPr>
          <w:rFonts w:ascii="Arial" w:hAnsi="Arial" w:cs="Arial"/>
          <w:b/>
          <w:sz w:val="2"/>
          <w:szCs w:val="20"/>
        </w:rPr>
      </w:pPr>
    </w:p>
    <w:p w:rsidR="00ED0BAA" w:rsidRDefault="00ED0BAA" w:rsidP="00ED0BAA">
      <w:pPr>
        <w:pStyle w:val="odstavec"/>
        <w:rPr>
          <w:i/>
          <w:color w:val="auto"/>
        </w:rPr>
      </w:pPr>
      <w:r>
        <w:rPr>
          <w:color w:val="auto"/>
        </w:rPr>
        <w:t>Dlhodobý  hmotný majetok je poistený pre prípad škôd spôsobených krádežou a živelnou pohromou až do výšky obstarávacej ceny.</w:t>
      </w:r>
    </w:p>
    <w:p w:rsidR="00ED0BAA" w:rsidRDefault="00ED0BAA" w:rsidP="00ED0BAA">
      <w:pPr>
        <w:spacing w:before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c) </w:t>
      </w:r>
      <w:r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>
        <w:rPr>
          <w:rFonts w:ascii="Arial" w:hAnsi="Arial" w:cs="Arial"/>
          <w:b/>
        </w:rPr>
        <w:t xml:space="preserve"> </w:t>
      </w:r>
    </w:p>
    <w:p w:rsidR="00ED0BAA" w:rsidRDefault="00ED0BAA" w:rsidP="00ED0BAA">
      <w:pPr>
        <w:spacing w:before="6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Záložné právo je zriadené na tieto nehnuteľnosti: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 xml:space="preserve">Nájomný bytový dom 20 </w:t>
      </w:r>
      <w:proofErr w:type="spellStart"/>
      <w:r>
        <w:rPr>
          <w:color w:val="auto"/>
        </w:rPr>
        <w:t>bj</w:t>
      </w:r>
      <w:proofErr w:type="spellEnd"/>
      <w:r>
        <w:rPr>
          <w:color w:val="auto"/>
        </w:rPr>
        <w:t xml:space="preserve"> v prospech ŠFRB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 xml:space="preserve">Nájomný bytový dom 21 </w:t>
      </w:r>
      <w:proofErr w:type="spellStart"/>
      <w:r>
        <w:rPr>
          <w:color w:val="auto"/>
        </w:rPr>
        <w:t>bj</w:t>
      </w:r>
      <w:proofErr w:type="spellEnd"/>
      <w:r>
        <w:rPr>
          <w:color w:val="auto"/>
        </w:rPr>
        <w:t>. v prospech ŠFRB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 xml:space="preserve">Nájomný bytový dom 20 </w:t>
      </w:r>
      <w:proofErr w:type="spellStart"/>
      <w:r>
        <w:rPr>
          <w:color w:val="auto"/>
        </w:rPr>
        <w:t>bj</w:t>
      </w:r>
      <w:proofErr w:type="spellEnd"/>
      <w:r>
        <w:rPr>
          <w:color w:val="auto"/>
        </w:rPr>
        <w:t xml:space="preserve"> v ZÓNE NOVÝ KLASOV I. v prospech MV SR</w:t>
      </w:r>
    </w:p>
    <w:p w:rsidR="00ED0BAA" w:rsidRDefault="00ED0BAA" w:rsidP="00ED0BAA">
      <w:pPr>
        <w:pStyle w:val="odstavec"/>
        <w:rPr>
          <w:color w:val="auto"/>
        </w:rPr>
      </w:pPr>
      <w:r>
        <w:rPr>
          <w:color w:val="auto"/>
        </w:rPr>
        <w:t xml:space="preserve">Nájomný bytový dom 21 </w:t>
      </w:r>
      <w:proofErr w:type="spellStart"/>
      <w:r>
        <w:rPr>
          <w:color w:val="auto"/>
        </w:rPr>
        <w:t>bj</w:t>
      </w:r>
      <w:proofErr w:type="spellEnd"/>
      <w:r>
        <w:rPr>
          <w:color w:val="auto"/>
        </w:rPr>
        <w:t xml:space="preserve"> v ZÓNE NOVÝ KLASOV II. v prospech MV SR</w:t>
      </w:r>
    </w:p>
    <w:p w:rsidR="00ED0BAA" w:rsidRDefault="00ED0BAA" w:rsidP="00ED0BAA">
      <w:pPr>
        <w:numPr>
          <w:ilvl w:val="0"/>
          <w:numId w:val="7"/>
        </w:numPr>
        <w:spacing w:before="120"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Prehľad o pohybe dlhodobého finančného majetku</w:t>
      </w:r>
    </w:p>
    <w:p w:rsidR="00ED0BAA" w:rsidRDefault="00ED0BAA" w:rsidP="00ED0BAA">
      <w:pPr>
        <w:spacing w:before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>Detailnejšie informácie o dlhodobom finančnom majetku  k 31. decembru 20</w:t>
      </w:r>
      <w:r w:rsidR="008960E3">
        <w:rPr>
          <w:rFonts w:ascii="Arial" w:hAnsi="Arial" w:cs="Arial"/>
        </w:rPr>
        <w:t xml:space="preserve">20 </w:t>
      </w:r>
      <w:r>
        <w:rPr>
          <w:rFonts w:ascii="Arial" w:hAnsi="Arial" w:cs="Arial"/>
        </w:rPr>
        <w:t xml:space="preserve">sú uvedené v tabuľkovej časti </w:t>
      </w:r>
    </w:p>
    <w:p w:rsidR="00ED0BAA" w:rsidRDefault="00ED0BAA" w:rsidP="00ED0BAA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(tabuľky č. 2 až č. 6)</w:t>
      </w:r>
    </w:p>
    <w:p w:rsidR="00ED0BAA" w:rsidRDefault="00ED0BAA" w:rsidP="00ED0BAA">
      <w:pPr>
        <w:spacing w:before="120" w:after="120"/>
        <w:jc w:val="both"/>
        <w:rPr>
          <w:rFonts w:ascii="Arial" w:hAnsi="Arial" w:cs="Arial"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Realizovateľné cenné papiere v sume 240 660,69  € - tabuľka č. 4</w:t>
      </w:r>
    </w:p>
    <w:p w:rsidR="00ED0BAA" w:rsidRDefault="00ED0BAA" w:rsidP="00ED0BAA">
      <w:pPr>
        <w:numPr>
          <w:ilvl w:val="0"/>
          <w:numId w:val="7"/>
        </w:numPr>
        <w:spacing w:before="120" w:after="12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zásobám</w:t>
      </w:r>
    </w:p>
    <w:p w:rsidR="00ED0BAA" w:rsidRDefault="00ED0BAA" w:rsidP="00ED0BAA">
      <w:pPr>
        <w:spacing w:before="120" w:after="120"/>
        <w:ind w:left="3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Konsolidovaný celok v roku 20</w:t>
      </w:r>
      <w:r w:rsidR="008960E3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netvoril opravné položky, nebol dôvod.</w:t>
      </w:r>
    </w:p>
    <w:p w:rsidR="00ED0BAA" w:rsidRDefault="00ED0BAA" w:rsidP="00ED0BAA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Transfery</w:t>
      </w:r>
    </w:p>
    <w:p w:rsidR="00ED0BAA" w:rsidRDefault="00ED0BAA" w:rsidP="00ED0BAA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zúčtovacích vzťahov medzi subjektmi verejnej správy konsolidovaný celok vykazuje v aktívach na účte 357 – ostatné zúčtovanie rozpočtu obce a VÚC hodnotu </w:t>
      </w:r>
      <w:r w:rsidR="008960E3">
        <w:rPr>
          <w:rFonts w:ascii="Arial" w:hAnsi="Arial" w:cs="Arial"/>
        </w:rPr>
        <w:t>535,20</w:t>
      </w:r>
      <w:r>
        <w:rPr>
          <w:rFonts w:ascii="Arial" w:hAnsi="Arial" w:cs="Arial"/>
        </w:rPr>
        <w:t xml:space="preserve"> € ako saldo pohľadávok a záväzkov zúčtovacích vzťahov medzi subjektmi verejnej správy. Jedná sa o:</w:t>
      </w:r>
    </w:p>
    <w:p w:rsidR="00ED0BAA" w:rsidRDefault="00ED0BAA" w:rsidP="00ED0BAA">
      <w:pPr>
        <w:spacing w:before="120"/>
        <w:jc w:val="both"/>
        <w:rPr>
          <w:rFonts w:ascii="Arial" w:hAnsi="Arial" w:cs="Arial"/>
          <w:u w:val="single"/>
          <w:lang w:eastAsia="cs-CZ"/>
        </w:rPr>
      </w:pPr>
      <w:r>
        <w:rPr>
          <w:rFonts w:ascii="Arial" w:hAnsi="Arial" w:cs="Arial"/>
          <w:u w:val="single"/>
          <w:lang w:eastAsia="cs-CZ"/>
        </w:rPr>
        <w:lastRenderedPageBreak/>
        <w:t>Záväzky</w:t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</w:r>
      <w:r>
        <w:rPr>
          <w:rFonts w:ascii="Arial" w:hAnsi="Arial" w:cs="Arial"/>
          <w:u w:val="single"/>
          <w:lang w:eastAsia="cs-CZ"/>
        </w:rPr>
        <w:tab/>
        <w:t xml:space="preserve"> </w:t>
      </w:r>
    </w:p>
    <w:p w:rsidR="00ED0BAA" w:rsidRDefault="00ED0BAA" w:rsidP="00ED0BAA">
      <w:pPr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 xml:space="preserve">nevyčerpané prostriedky zo štátneho rozpočtu </w:t>
      </w:r>
    </w:p>
    <w:p w:rsidR="00ED0BAA" w:rsidRDefault="00ED0BAA" w:rsidP="00ED0BAA">
      <w:pPr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 xml:space="preserve">ZŠ – dopravné                                                      </w:t>
      </w:r>
      <w:r w:rsidR="008960E3">
        <w:rPr>
          <w:rFonts w:ascii="Arial" w:hAnsi="Arial" w:cs="Arial"/>
          <w:lang w:eastAsia="cs-CZ"/>
        </w:rPr>
        <w:t>535,20</w:t>
      </w:r>
      <w:r>
        <w:rPr>
          <w:rFonts w:ascii="Arial" w:hAnsi="Arial" w:cs="Arial"/>
          <w:lang w:eastAsia="cs-CZ"/>
        </w:rPr>
        <w:t xml:space="preserve">  €</w:t>
      </w:r>
    </w:p>
    <w:p w:rsidR="00ED0BAA" w:rsidRDefault="00ED0BAA" w:rsidP="00ED0BAA">
      <w:pPr>
        <w:jc w:val="both"/>
        <w:rPr>
          <w:rFonts w:ascii="Arial" w:hAnsi="Arial" w:cs="Arial"/>
          <w:lang w:eastAsia="cs-CZ"/>
        </w:rPr>
      </w:pPr>
    </w:p>
    <w:p w:rsidR="00ED0BAA" w:rsidRDefault="00ED0BAA" w:rsidP="008960E3">
      <w:p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6. Pohľadávky konsolidovaného celku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4"/>
        <w:gridCol w:w="1353"/>
        <w:gridCol w:w="1786"/>
        <w:gridCol w:w="2539"/>
      </w:tblGrid>
      <w:tr w:rsidR="00ED0BAA" w:rsidTr="00ED0BAA">
        <w:trPr>
          <w:trHeight w:val="225"/>
        </w:trPr>
        <w:tc>
          <w:tcPr>
            <w:tcW w:w="3371" w:type="pct"/>
            <w:gridSpan w:val="3"/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a) významné pohľadávky podľa jednotlivých položiek súvahy </w:t>
            </w:r>
          </w:p>
        </w:tc>
        <w:tc>
          <w:tcPr>
            <w:tcW w:w="1629" w:type="pct"/>
            <w:vAlign w:val="center"/>
          </w:tcPr>
          <w:p w:rsidR="00ED0BAA" w:rsidRDefault="00ED0BAA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ED0BAA" w:rsidTr="00ED0BAA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ED0BAA" w:rsidTr="00ED0BAA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ED0BAA" w:rsidTr="008960E3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noWrap/>
          </w:tcPr>
          <w:p w:rsidR="00ED0BAA" w:rsidRDefault="00ED0BAA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ED0BAA" w:rsidRDefault="00ED0BAA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Z 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ED0BAA" w:rsidRDefault="00FA47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69</w:t>
            </w:r>
          </w:p>
        </w:tc>
        <w:tc>
          <w:tcPr>
            <w:tcW w:w="922" w:type="pct"/>
          </w:tcPr>
          <w:p w:rsidR="00ED0BAA" w:rsidRDefault="00FA476A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2287,61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ED0BAA" w:rsidRDefault="00ED0BAA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ED0BAA" w:rsidTr="008960E3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hideMark/>
          </w:tcPr>
          <w:p w:rsidR="00ED0BAA" w:rsidRDefault="00ED0BAA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Za vývoz TKO a prenájom 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kuka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 xml:space="preserve"> nádob</w:t>
            </w:r>
          </w:p>
          <w:p w:rsidR="00ED0BAA" w:rsidRDefault="00ED0BAA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Nedoplatok na nájomnom</w:t>
            </w:r>
            <w:r w:rsidR="00FA476A">
              <w:rPr>
                <w:rFonts w:ascii="Arial" w:hAnsi="Arial" w:cs="Arial"/>
                <w:sz w:val="18"/>
                <w:lang w:eastAsia="cs-CZ"/>
              </w:rPr>
              <w:t xml:space="preserve">                              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ED0BAA" w:rsidRDefault="00FA47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68</w:t>
            </w:r>
          </w:p>
          <w:p w:rsidR="00FA476A" w:rsidRDefault="00FA476A" w:rsidP="00FA47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68</w:t>
            </w:r>
          </w:p>
        </w:tc>
        <w:tc>
          <w:tcPr>
            <w:tcW w:w="922" w:type="pct"/>
          </w:tcPr>
          <w:p w:rsidR="00ED0BAA" w:rsidRDefault="00FA476A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2435,15</w:t>
            </w:r>
          </w:p>
          <w:p w:rsidR="00FA476A" w:rsidRDefault="00FA476A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2761,75</w:t>
            </w:r>
          </w:p>
          <w:p w:rsidR="00FA476A" w:rsidRDefault="00FA476A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FA476A" w:rsidRDefault="00FA476A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ED0BAA" w:rsidRDefault="00ED0BAA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ED0BAA" w:rsidTr="008960E3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hideMark/>
          </w:tcPr>
          <w:p w:rsidR="00FA476A" w:rsidRDefault="00FA476A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Poplatok z 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nedaň.prijmov</w:t>
            </w:r>
            <w:proofErr w:type="spellEnd"/>
          </w:p>
          <w:p w:rsidR="00ED0BAA" w:rsidRDefault="00ED0BAA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Preplatky 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el.energia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 xml:space="preserve"> a plyn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ED0BAA" w:rsidRDefault="00FA47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68</w:t>
            </w:r>
          </w:p>
          <w:p w:rsidR="00FA476A" w:rsidRDefault="00FA476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68</w:t>
            </w:r>
          </w:p>
        </w:tc>
        <w:tc>
          <w:tcPr>
            <w:tcW w:w="922" w:type="pct"/>
          </w:tcPr>
          <w:p w:rsidR="00ED0BAA" w:rsidRDefault="00FA476A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1181,80</w:t>
            </w:r>
          </w:p>
          <w:p w:rsidR="00FA476A" w:rsidRDefault="00FA476A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2276,25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ED0BAA" w:rsidRDefault="00ED0BAA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ED0BAA" w:rsidTr="008960E3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ED0BAA" w:rsidRDefault="00ED0BAA" w:rsidP="00ED0BAA">
      <w:pPr>
        <w:spacing w:before="12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</w:rPr>
        <w:t xml:space="preserve"> Podiel na vykázaných krátkodobých pohľadávkach má materská účtovná jednotka – OBEC KLASOV a to hlavne:</w:t>
      </w:r>
    </w:p>
    <w:p w:rsidR="00ED0BAA" w:rsidRDefault="00ED0BAA" w:rsidP="00ED0BAA">
      <w:pPr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pohľadávky z nedaňových príjmov obcí </w:t>
      </w:r>
      <w:r w:rsidR="00FA476A">
        <w:rPr>
          <w:rFonts w:ascii="Arial" w:hAnsi="Arial" w:cs="Arial"/>
        </w:rPr>
        <w:t>1181,80</w:t>
      </w:r>
      <w:r>
        <w:rPr>
          <w:rFonts w:ascii="Arial" w:hAnsi="Arial" w:cs="Arial"/>
        </w:rPr>
        <w:t xml:space="preserve">  € (prenájmy pozemkov, prenájmy bytov poplatok za vývoz komunálneho odpadu)</w:t>
      </w:r>
    </w:p>
    <w:p w:rsidR="00ED0BAA" w:rsidRDefault="00ED0BAA" w:rsidP="00ED0BAA">
      <w:pPr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pohľadávky z daňových príjmov obcí </w:t>
      </w:r>
      <w:r w:rsidR="00FA476A">
        <w:rPr>
          <w:rFonts w:ascii="Arial" w:hAnsi="Arial" w:cs="Arial"/>
        </w:rPr>
        <w:t>2287,61</w:t>
      </w:r>
      <w:r>
        <w:rPr>
          <w:rFonts w:ascii="Arial" w:hAnsi="Arial" w:cs="Arial"/>
        </w:rPr>
        <w:t xml:space="preserve"> € (najvyšší podiel na daňových pohľadávkach majú pohľadávky za daň z nehnuteľností od FO)</w:t>
      </w:r>
    </w:p>
    <w:p w:rsidR="00ED0BAA" w:rsidRDefault="00ED0BAA" w:rsidP="00ED0BAA">
      <w:pPr>
        <w:jc w:val="both"/>
        <w:rPr>
          <w:rFonts w:ascii="Arial" w:hAnsi="Arial" w:cs="Arial"/>
        </w:rPr>
      </w:pPr>
    </w:p>
    <w:p w:rsidR="00ED0BAA" w:rsidRDefault="00ED0BAA" w:rsidP="00ED0BAA">
      <w:pPr>
        <w:spacing w:after="120"/>
        <w:jc w:val="both"/>
        <w:rPr>
          <w:rFonts w:ascii="Arial" w:hAnsi="Arial" w:cs="Arial"/>
          <w:b/>
        </w:rPr>
      </w:pPr>
    </w:p>
    <w:p w:rsidR="00ED0BAA" w:rsidRDefault="00ED0BAA" w:rsidP="00ED0BAA">
      <w:pPr>
        <w:spacing w:before="60" w:after="60"/>
        <w:jc w:val="both"/>
        <w:rPr>
          <w:rFonts w:ascii="Arial" w:hAnsi="Arial" w:cs="Arial"/>
          <w:color w:val="0000FF"/>
        </w:rPr>
      </w:pPr>
      <w:r>
        <w:rPr>
          <w:rFonts w:ascii="Arial" w:hAnsi="Arial" w:cs="Arial"/>
          <w:b/>
          <w:color w:val="000000"/>
        </w:rPr>
        <w:t>b) vývoj opravnej položky k pohľadávkam</w:t>
      </w: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FF"/>
        </w:rPr>
        <w:t>(tabuľka č. 8)</w:t>
      </w:r>
    </w:p>
    <w:p w:rsidR="00ED0BAA" w:rsidRDefault="00ED0BAA" w:rsidP="00ED0BAA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K pochybným a nedobytným pohľadávkam, kde existuje riziko nevymožiteľnosti, bola vytvorená opravná položka.</w:t>
      </w:r>
    </w:p>
    <w:p w:rsidR="00ED0BAA" w:rsidRDefault="00ED0BAA" w:rsidP="00ED0BAA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Opis dôvodov tvorby, zníženia a zrušenia opravných položiek k pohľadávkam </w:t>
      </w:r>
    </w:p>
    <w:p w:rsidR="00ED0BAA" w:rsidRDefault="00ED0BAA" w:rsidP="00ED0BAA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1850"/>
        <w:gridCol w:w="4382"/>
      </w:tblGrid>
      <w:tr w:rsidR="00ED0BAA" w:rsidTr="00ED0BAA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</w:rPr>
              <w:t xml:space="preserve">Pohľadávka 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Suma OP </w:t>
            </w: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Dôvod tvorby, zníženia a zrušenia OP</w:t>
            </w:r>
          </w:p>
        </w:tc>
      </w:tr>
      <w:tr w:rsidR="00ED0BAA" w:rsidTr="00ED0BAA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MŽP SR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1 232,32</w:t>
            </w: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Podozrenie z nevymožiteľnosti</w:t>
            </w:r>
          </w:p>
        </w:tc>
      </w:tr>
      <w:tr w:rsidR="00ED0BAA" w:rsidTr="00ED0BAA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BAA" w:rsidRDefault="00ED0BA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BAA" w:rsidRDefault="00ED0BAA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BAA" w:rsidRDefault="00ED0BAA">
            <w:pPr>
              <w:jc w:val="center"/>
              <w:rPr>
                <w:rFonts w:ascii="Arial" w:hAnsi="Arial" w:cs="Arial"/>
              </w:rPr>
            </w:pPr>
          </w:p>
        </w:tc>
      </w:tr>
    </w:tbl>
    <w:p w:rsidR="00ED0BAA" w:rsidRDefault="00ED0BAA" w:rsidP="00ED0BAA">
      <w:pPr>
        <w:spacing w:before="120" w:after="120"/>
        <w:rPr>
          <w:rFonts w:ascii="Arial" w:hAnsi="Arial" w:cs="Arial"/>
          <w:sz w:val="14"/>
          <w:szCs w:val="20"/>
        </w:rPr>
      </w:pPr>
    </w:p>
    <w:p w:rsidR="00ED0BAA" w:rsidRDefault="00ED0BAA" w:rsidP="00ED0BAA">
      <w:pPr>
        <w:spacing w:before="120" w:after="120"/>
        <w:rPr>
          <w:rFonts w:ascii="Arial" w:hAnsi="Arial" w:cs="Arial"/>
          <w:color w:val="000000"/>
          <w:sz w:val="20"/>
        </w:rPr>
      </w:pPr>
      <w:r>
        <w:rPr>
          <w:rFonts w:ascii="Arial" w:hAnsi="Arial" w:cs="Arial"/>
          <w:b/>
          <w:color w:val="000000"/>
        </w:rPr>
        <w:t>c) pohľadávky podľa doby splatnosti a podľa zostatkovej doby splatnosti</w:t>
      </w:r>
      <w:r>
        <w:rPr>
          <w:rFonts w:ascii="Arial" w:hAnsi="Arial" w:cs="Arial"/>
          <w:color w:val="000000"/>
        </w:rPr>
        <w:t xml:space="preserve"> </w:t>
      </w:r>
    </w:p>
    <w:p w:rsidR="00ED0BAA" w:rsidRDefault="00ED0BAA" w:rsidP="00ED0BAA">
      <w:pPr>
        <w:spacing w:before="120" w:after="120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 xml:space="preserve">Prehľad pohľadávok z hľadiska ich vekovej štruktúry a z hľadiska splatnosti je uvedený v tabuľkovej prílohe  konsolidovaných poznámok </w:t>
      </w:r>
      <w:r>
        <w:rPr>
          <w:rFonts w:ascii="Arial" w:hAnsi="Arial" w:cs="Arial"/>
          <w:color w:val="0000CC"/>
        </w:rPr>
        <w:t>(tabuľka č. 9)</w:t>
      </w:r>
    </w:p>
    <w:p w:rsidR="00ED0BAA" w:rsidRDefault="00ED0BAA" w:rsidP="00ED0BAA">
      <w:pPr>
        <w:spacing w:before="120" w:after="120"/>
        <w:rPr>
          <w:rFonts w:ascii="Arial" w:hAnsi="Arial" w:cs="Arial"/>
          <w:color w:val="0000CC"/>
        </w:rPr>
      </w:pPr>
    </w:p>
    <w:tbl>
      <w:tblPr>
        <w:tblW w:w="5723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1"/>
        <w:gridCol w:w="1403"/>
        <w:gridCol w:w="1721"/>
        <w:gridCol w:w="1617"/>
      </w:tblGrid>
      <w:tr w:rsidR="00ED0BAA" w:rsidTr="00ED0BAA">
        <w:trPr>
          <w:gridAfter w:val="1"/>
          <w:wAfter w:w="792" w:type="pct"/>
          <w:trHeight w:val="1080"/>
        </w:trPr>
        <w:tc>
          <w:tcPr>
            <w:tcW w:w="27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68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79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ED0BAA" w:rsidTr="00ED0BAA">
        <w:trPr>
          <w:gridAfter w:val="1"/>
          <w:wAfter w:w="792" w:type="pct"/>
          <w:trHeight w:val="165"/>
        </w:trPr>
        <w:tc>
          <w:tcPr>
            <w:tcW w:w="272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68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ED0BAA" w:rsidTr="00ED0BAA">
        <w:trPr>
          <w:trHeight w:val="525"/>
        </w:trPr>
        <w:tc>
          <w:tcPr>
            <w:tcW w:w="272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68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792" w:type="pct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792" w:type="pct"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ED0BAA" w:rsidTr="00FA476A">
        <w:trPr>
          <w:trHeight w:val="525"/>
        </w:trPr>
        <w:tc>
          <w:tcPr>
            <w:tcW w:w="272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Pohľadávky so zostatkovou dobou splatnosti do jedného roka vrátane  Pohľadávky so zostatkovou dobou splatnosti do jedného do5rokov                        </w:t>
            </w:r>
          </w:p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nad 5 rokov</w:t>
            </w:r>
          </w:p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68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92" w:type="pct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92" w:type="pct"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ED0BAA" w:rsidTr="00ED0BAA">
        <w:trPr>
          <w:trHeight w:val="371"/>
        </w:trPr>
        <w:tc>
          <w:tcPr>
            <w:tcW w:w="27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6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9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92" w:type="pct"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ED0BAA" w:rsidTr="00FA476A">
        <w:trPr>
          <w:trHeight w:val="308"/>
        </w:trPr>
        <w:tc>
          <w:tcPr>
            <w:tcW w:w="272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68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92" w:type="pct"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ED0BAA" w:rsidRPr="00FA476A" w:rsidRDefault="00ED0BAA" w:rsidP="00FA476A">
      <w:pPr>
        <w:jc w:val="both"/>
        <w:rPr>
          <w:rFonts w:ascii="Arial" w:hAnsi="Arial" w:cs="Arial"/>
          <w:b/>
          <w:szCs w:val="20"/>
          <w:lang w:eastAsia="sk-SK"/>
        </w:rPr>
      </w:pPr>
    </w:p>
    <w:p w:rsidR="00ED0BAA" w:rsidRDefault="00ED0BAA" w:rsidP="00ED0BAA">
      <w:pPr>
        <w:spacing w:before="120" w:after="120"/>
        <w:ind w:left="3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7.Časové rozlíšenie aktív </w:t>
      </w:r>
    </w:p>
    <w:p w:rsidR="00ED0BAA" w:rsidRDefault="00ED0BAA" w:rsidP="00ED0BAA">
      <w:pPr>
        <w:spacing w:before="120" w:after="120"/>
        <w:ind w:left="3"/>
        <w:jc w:val="both"/>
        <w:rPr>
          <w:rFonts w:ascii="Arial" w:hAnsi="Arial" w:cs="Arial"/>
          <w:color w:val="0000CC"/>
          <w:sz w:val="20"/>
          <w:szCs w:val="20"/>
        </w:rPr>
      </w:pPr>
      <w:r>
        <w:rPr>
          <w:rFonts w:ascii="Arial" w:hAnsi="Arial" w:cs="Arial"/>
          <w:b/>
        </w:rPr>
        <w:t xml:space="preserve">a) Náklady budúcich období </w:t>
      </w:r>
      <w:r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360"/>
        <w:gridCol w:w="1435"/>
      </w:tblGrid>
      <w:tr w:rsidR="00ED0BAA" w:rsidTr="00ED0BAA">
        <w:trPr>
          <w:trHeight w:val="383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2019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BAA" w:rsidRDefault="00ED0BAA" w:rsidP="00FA47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FA476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</w:tr>
      <w:tr w:rsidR="00ED0BAA" w:rsidTr="00ED0BAA">
        <w:trPr>
          <w:trHeight w:val="38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ED0BAA" w:rsidTr="00ED0BA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ED0BAA" w:rsidTr="00ED0BA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ED0BAA" w:rsidTr="00ED0BA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FA476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627,20</w:t>
            </w:r>
          </w:p>
        </w:tc>
      </w:tr>
      <w:tr w:rsidR="00ED0BAA" w:rsidTr="00ED0BA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ED0BAA" w:rsidTr="00FA476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578,51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FA476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426,69</w:t>
            </w:r>
          </w:p>
        </w:tc>
      </w:tr>
      <w:tr w:rsidR="00ED0BAA" w:rsidTr="00FA476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578,51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7314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1053,89</w:t>
            </w:r>
          </w:p>
        </w:tc>
      </w:tr>
    </w:tbl>
    <w:p w:rsidR="00ED0BAA" w:rsidRDefault="00ED0BAA" w:rsidP="00ED0BAA">
      <w:pPr>
        <w:jc w:val="both"/>
        <w:rPr>
          <w:rFonts w:ascii="Arial" w:hAnsi="Arial" w:cs="Arial"/>
          <w:sz w:val="20"/>
          <w:szCs w:val="20"/>
          <w:lang w:eastAsia="sk-SK"/>
        </w:rPr>
      </w:pPr>
    </w:p>
    <w:p w:rsidR="00ED0BAA" w:rsidRDefault="00ED0BAA" w:rsidP="00ED0BAA">
      <w:pPr>
        <w:jc w:val="both"/>
        <w:rPr>
          <w:rFonts w:ascii="Arial" w:hAnsi="Arial" w:cs="Arial"/>
        </w:rPr>
      </w:pPr>
    </w:p>
    <w:p w:rsidR="00ED0BAA" w:rsidRDefault="00ED0BAA" w:rsidP="00ED0BAA">
      <w:pPr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b) Príjmy budúcich období </w:t>
      </w:r>
      <w:r>
        <w:rPr>
          <w:rFonts w:ascii="Arial" w:hAnsi="Arial" w:cs="Arial"/>
          <w:color w:val="0000CC"/>
        </w:rPr>
        <w:t>(tabuľka č. 11)</w:t>
      </w:r>
    </w:p>
    <w:p w:rsidR="00ED0BAA" w:rsidRDefault="00ED0BAA" w:rsidP="00ED0BAA">
      <w:pPr>
        <w:ind w:left="3"/>
        <w:jc w:val="both"/>
        <w:rPr>
          <w:rFonts w:ascii="Arial" w:hAnsi="Arial" w:cs="Arial"/>
          <w:color w:val="0000CC"/>
        </w:rPr>
      </w:pP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360"/>
        <w:gridCol w:w="1435"/>
      </w:tblGrid>
      <w:tr w:rsidR="00ED0BAA" w:rsidTr="00ED0BAA">
        <w:trPr>
          <w:trHeight w:val="383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k 31.12. 2019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 31.12. 2018</w:t>
            </w:r>
          </w:p>
        </w:tc>
      </w:tr>
      <w:tr w:rsidR="00ED0BAA" w:rsidTr="00ED0BAA">
        <w:trPr>
          <w:trHeight w:val="38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D0BAA" w:rsidTr="00ED0BA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ED0BAA" w:rsidTr="00ED0BA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ED0BAA" w:rsidTr="00ED0BA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poistné plnenie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ED0BAA" w:rsidTr="00ED0BA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ED0BAA" w:rsidTr="00ED0BA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</w:tr>
    </w:tbl>
    <w:p w:rsidR="00ED0BAA" w:rsidRDefault="00ED0BAA" w:rsidP="00ED0BAA">
      <w:pPr>
        <w:ind w:left="3"/>
        <w:jc w:val="both"/>
        <w:rPr>
          <w:rFonts w:ascii="Arial" w:hAnsi="Arial" w:cs="Arial"/>
          <w:color w:val="0000CC"/>
          <w:sz w:val="20"/>
          <w:szCs w:val="20"/>
        </w:rPr>
      </w:pPr>
    </w:p>
    <w:p w:rsidR="00ED0BAA" w:rsidRDefault="00ED0BAA" w:rsidP="00ED0BAA">
      <w:pPr>
        <w:jc w:val="both"/>
        <w:rPr>
          <w:rFonts w:ascii="Arial" w:hAnsi="Arial" w:cs="Arial"/>
          <w:b/>
        </w:rPr>
      </w:pPr>
    </w:p>
    <w:p w:rsidR="00ED0BAA" w:rsidRDefault="00ED0BAA" w:rsidP="00ED0BAA">
      <w:pPr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Vlastné imanie </w:t>
      </w:r>
    </w:p>
    <w:p w:rsidR="00ED0BAA" w:rsidRDefault="00ED0BAA" w:rsidP="00ED0BAA">
      <w:pPr>
        <w:jc w:val="both"/>
        <w:rPr>
          <w:rFonts w:ascii="Arial" w:hAnsi="Arial" w:cs="Arial"/>
          <w:b/>
          <w:sz w:val="24"/>
        </w:rPr>
      </w:pPr>
    </w:p>
    <w:p w:rsidR="00ED0BAA" w:rsidRDefault="00ED0BAA" w:rsidP="00ED0BAA">
      <w:pPr>
        <w:jc w:val="both"/>
        <w:rPr>
          <w:rFonts w:ascii="Arial" w:hAnsi="Arial" w:cs="Arial"/>
          <w:color w:val="0000CC"/>
          <w:sz w:val="20"/>
          <w:szCs w:val="20"/>
        </w:rPr>
      </w:pPr>
      <w:r>
        <w:rPr>
          <w:rFonts w:ascii="Arial" w:hAnsi="Arial" w:cs="Arial"/>
        </w:rPr>
        <w:t>Prehľad o pohybe vlastného imania konsolidovaného celku OBCE KLASOV</w:t>
      </w:r>
      <w:r>
        <w:rPr>
          <w:rFonts w:ascii="Arial" w:hAnsi="Arial" w:cs="Arial"/>
          <w:i/>
        </w:rPr>
        <w:t xml:space="preserve"> </w:t>
      </w:r>
      <w:r>
        <w:rPr>
          <w:rFonts w:ascii="Arial" w:hAnsi="Arial" w:cs="Arial"/>
        </w:rPr>
        <w:t xml:space="preserve"> od 1. januára 20</w:t>
      </w:r>
      <w:r w:rsidR="007314C5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do 31. decembra 20</w:t>
      </w:r>
      <w:r w:rsidR="007314C5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je uvedený v tabuľkovej prílohe konsolidovaných poznámok – </w:t>
      </w:r>
      <w:r>
        <w:rPr>
          <w:rFonts w:ascii="Arial" w:hAnsi="Arial" w:cs="Arial"/>
          <w:color w:val="0000CC"/>
        </w:rPr>
        <w:t>tabuľka č. 12.</w:t>
      </w:r>
    </w:p>
    <w:p w:rsidR="00ED0BAA" w:rsidRDefault="00ED0BAA" w:rsidP="00ED0BAA">
      <w:pPr>
        <w:jc w:val="both"/>
        <w:rPr>
          <w:rFonts w:ascii="Arial" w:hAnsi="Arial" w:cs="Arial"/>
        </w:rPr>
      </w:pPr>
    </w:p>
    <w:p w:rsidR="00ED0BAA" w:rsidRDefault="00ED0BAA" w:rsidP="00ED0BAA">
      <w:pPr>
        <w:jc w:val="both"/>
        <w:rPr>
          <w:rFonts w:ascii="Arial" w:hAnsi="Arial" w:cs="Arial"/>
          <w:i/>
          <w:color w:val="C00000"/>
        </w:rPr>
      </w:pPr>
    </w:p>
    <w:p w:rsidR="00ED0BAA" w:rsidRDefault="00ED0BAA" w:rsidP="00ED0BAA">
      <w:pPr>
        <w:jc w:val="both"/>
        <w:rPr>
          <w:rFonts w:ascii="Arial" w:hAnsi="Arial" w:cs="Arial"/>
          <w:b/>
        </w:rPr>
      </w:pPr>
    </w:p>
    <w:p w:rsidR="00ED0BAA" w:rsidRDefault="00ED0BAA" w:rsidP="00ED0BAA">
      <w:pPr>
        <w:spacing w:before="120" w:after="120"/>
        <w:ind w:right="-624"/>
        <w:jc w:val="both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</w:rPr>
        <w:t>Opis jednotlivých položiek a opis uvedených zmien jednotlivých položiek</w:t>
      </w:r>
    </w:p>
    <w:p w:rsidR="00ED0BAA" w:rsidRDefault="00ED0BAA" w:rsidP="00ED0BAA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Pohyby v položke </w:t>
      </w:r>
      <w:proofErr w:type="spellStart"/>
      <w:r>
        <w:rPr>
          <w:rFonts w:ascii="Arial" w:hAnsi="Arial" w:cs="Arial"/>
          <w:color w:val="000000"/>
        </w:rPr>
        <w:t>nevysporiadaného</w:t>
      </w:r>
      <w:proofErr w:type="spellEnd"/>
      <w:r>
        <w:rPr>
          <w:rFonts w:ascii="Arial" w:hAnsi="Arial" w:cs="Arial"/>
          <w:color w:val="000000"/>
        </w:rPr>
        <w:t xml:space="preserve"> hospodárskeho výsledku minulých rokov, ktoré ovplyvnili výšku vlastného </w:t>
      </w:r>
      <w:r>
        <w:rPr>
          <w:rFonts w:ascii="Arial" w:hAnsi="Arial" w:cs="Arial"/>
        </w:rPr>
        <w:t xml:space="preserve">imania sú: </w:t>
      </w:r>
    </w:p>
    <w:p w:rsidR="00ED0BAA" w:rsidRDefault="00ED0BAA" w:rsidP="00ED0BAA">
      <w:pPr>
        <w:spacing w:before="60"/>
        <w:jc w:val="both"/>
        <w:rPr>
          <w:rFonts w:ascii="Arial" w:hAnsi="Arial" w:cs="Arial"/>
        </w:rPr>
      </w:pPr>
    </w:p>
    <w:p w:rsidR="00ED0BAA" w:rsidRDefault="00ED0BAA" w:rsidP="00ED0BAA">
      <w:pPr>
        <w:spacing w:before="6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Opravy minulých období:</w:t>
      </w:r>
    </w:p>
    <w:p w:rsidR="00ED0BAA" w:rsidRDefault="00ED0BAA" w:rsidP="00ED0BAA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 neúčtovala o významných opravách minulých období.</w:t>
      </w:r>
    </w:p>
    <w:p w:rsidR="00ED0BAA" w:rsidRDefault="00ED0BAA" w:rsidP="00ED0BAA">
      <w:pPr>
        <w:tabs>
          <w:tab w:val="right" w:pos="6660"/>
        </w:tabs>
        <w:ind w:left="351"/>
        <w:jc w:val="both"/>
        <w:rPr>
          <w:rFonts w:ascii="Arial" w:hAnsi="Arial" w:cs="Arial"/>
        </w:rPr>
      </w:pPr>
    </w:p>
    <w:p w:rsidR="00ED0BAA" w:rsidRDefault="00ED0BAA" w:rsidP="00ED0BAA">
      <w:pPr>
        <w:ind w:left="3"/>
        <w:jc w:val="both"/>
        <w:rPr>
          <w:rFonts w:ascii="Arial" w:hAnsi="Arial" w:cs="Arial"/>
          <w:u w:val="single"/>
        </w:rPr>
      </w:pPr>
    </w:p>
    <w:p w:rsidR="00ED0BAA" w:rsidRDefault="00ED0BAA" w:rsidP="00ED0BAA">
      <w:pPr>
        <w:ind w:left="3"/>
        <w:jc w:val="both"/>
        <w:rPr>
          <w:rFonts w:ascii="Arial" w:hAnsi="Arial" w:cs="Arial"/>
          <w:u w:val="single"/>
        </w:rPr>
      </w:pPr>
    </w:p>
    <w:p w:rsidR="00ED0BAA" w:rsidRDefault="00ED0BAA" w:rsidP="00ED0BAA">
      <w:pPr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Rezervy</w:t>
      </w:r>
    </w:p>
    <w:p w:rsidR="00ED0BAA" w:rsidRDefault="00ED0BAA" w:rsidP="00ED0BAA">
      <w:pPr>
        <w:jc w:val="both"/>
        <w:rPr>
          <w:rFonts w:ascii="Arial" w:hAnsi="Arial" w:cs="Arial"/>
          <w:sz w:val="20"/>
          <w:szCs w:val="20"/>
        </w:rPr>
      </w:pPr>
    </w:p>
    <w:p w:rsidR="00ED0BAA" w:rsidRDefault="00ED0BAA" w:rsidP="00ED0BAA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>Prehľad rezerv konsolidovaného celku v členení na zákonné a ostatné, dlhodobé a krátkodobé od 1. januára 20</w:t>
      </w:r>
      <w:r w:rsidR="007314C5">
        <w:rPr>
          <w:rFonts w:ascii="Arial" w:hAnsi="Arial" w:cs="Arial"/>
        </w:rPr>
        <w:t>20</w:t>
      </w:r>
      <w:r>
        <w:rPr>
          <w:rFonts w:ascii="Arial" w:hAnsi="Arial" w:cs="Arial"/>
        </w:rPr>
        <w:t>do 31. decembra 20</w:t>
      </w:r>
      <w:r w:rsidR="007314C5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je uvedený v tabuľkovej prílohe konsolidovaných poznámok – </w:t>
      </w:r>
      <w:r>
        <w:rPr>
          <w:rFonts w:ascii="Arial" w:hAnsi="Arial" w:cs="Arial"/>
          <w:color w:val="0000CC"/>
        </w:rPr>
        <w:t>tabuľky č.13 a 14</w:t>
      </w:r>
    </w:p>
    <w:p w:rsidR="00ED0BAA" w:rsidRDefault="00ED0BAA" w:rsidP="00ED0BAA">
      <w:pPr>
        <w:spacing w:before="60"/>
        <w:jc w:val="both"/>
        <w:rPr>
          <w:rFonts w:ascii="Arial" w:hAnsi="Arial" w:cs="Arial"/>
          <w:i/>
          <w:color w:val="C00000"/>
        </w:rPr>
      </w:pPr>
    </w:p>
    <w:p w:rsidR="00ED0BAA" w:rsidRDefault="00ED0BAA" w:rsidP="00ED0BAA">
      <w:pPr>
        <w:spacing w:before="6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b) </w:t>
      </w:r>
      <w:r>
        <w:rPr>
          <w:rFonts w:ascii="Arial" w:hAnsi="Arial" w:cs="Arial"/>
          <w:i/>
          <w:u w:val="single"/>
        </w:rPr>
        <w:t>rezervy krátkodobé rezervy</w:t>
      </w:r>
      <w:r>
        <w:rPr>
          <w:rFonts w:ascii="Arial" w:hAnsi="Arial" w:cs="Arial"/>
          <w:i/>
        </w:rPr>
        <w:t xml:space="preserve"> </w:t>
      </w:r>
    </w:p>
    <w:p w:rsidR="00ED0BAA" w:rsidRDefault="00ED0BAA" w:rsidP="00ED0BAA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Obec tvorila ostatné krátkodobé rezervy najmä na   overenie účtovnej závierky</w:t>
      </w:r>
    </w:p>
    <w:p w:rsidR="00ED0BAA" w:rsidRDefault="00ED0BAA" w:rsidP="00ED0BAA">
      <w:pPr>
        <w:jc w:val="both"/>
        <w:rPr>
          <w:rFonts w:ascii="Arial" w:hAnsi="Arial" w:cs="Arial"/>
        </w:rPr>
      </w:pPr>
    </w:p>
    <w:p w:rsidR="00ED0BAA" w:rsidRDefault="00ED0BAA" w:rsidP="00ED0BAA">
      <w:pPr>
        <w:ind w:left="3"/>
        <w:jc w:val="both"/>
        <w:rPr>
          <w:rFonts w:ascii="Arial" w:hAnsi="Arial" w:cs="Arial"/>
        </w:rPr>
      </w:pPr>
    </w:p>
    <w:p w:rsidR="00ED0BAA" w:rsidRDefault="00ED0BAA" w:rsidP="00ED0BAA">
      <w:pPr>
        <w:spacing w:before="60" w:after="60"/>
        <w:jc w:val="both"/>
        <w:rPr>
          <w:rFonts w:ascii="Arial" w:hAnsi="Arial" w:cs="Arial"/>
        </w:rPr>
      </w:pPr>
    </w:p>
    <w:p w:rsidR="00ED0BAA" w:rsidRDefault="00ED0BAA" w:rsidP="00ED0BAA">
      <w:pPr>
        <w:spacing w:before="60" w:after="60"/>
        <w:ind w:left="142"/>
        <w:jc w:val="both"/>
        <w:rPr>
          <w:rFonts w:ascii="Arial" w:hAnsi="Arial" w:cs="Arial"/>
        </w:rPr>
      </w:pPr>
    </w:p>
    <w:p w:rsidR="007314C5" w:rsidRDefault="007314C5" w:rsidP="00ED0BAA">
      <w:pPr>
        <w:spacing w:before="60" w:after="60"/>
        <w:jc w:val="both"/>
        <w:rPr>
          <w:rFonts w:ascii="Arial" w:hAnsi="Arial" w:cs="Arial"/>
          <w:b/>
        </w:rPr>
      </w:pPr>
    </w:p>
    <w:p w:rsidR="007314C5" w:rsidRDefault="007314C5" w:rsidP="00ED0BAA">
      <w:pPr>
        <w:spacing w:before="60" w:after="60"/>
        <w:jc w:val="both"/>
        <w:rPr>
          <w:rFonts w:ascii="Arial" w:hAnsi="Arial" w:cs="Arial"/>
          <w:b/>
        </w:rPr>
      </w:pPr>
    </w:p>
    <w:p w:rsidR="00ED0BAA" w:rsidRDefault="00ED0BAA" w:rsidP="00ED0BAA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10. Záväzky</w:t>
      </w:r>
      <w:r>
        <w:rPr>
          <w:rFonts w:ascii="Arial" w:hAnsi="Arial" w:cs="Arial"/>
        </w:rPr>
        <w:t xml:space="preserve"> </w:t>
      </w:r>
    </w:p>
    <w:p w:rsidR="00ED0BAA" w:rsidRDefault="00ED0BAA" w:rsidP="00ED0BAA">
      <w:pPr>
        <w:spacing w:before="60" w:after="60"/>
        <w:jc w:val="both"/>
        <w:rPr>
          <w:rFonts w:ascii="Arial" w:hAnsi="Arial" w:cs="Arial"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Prehľad záväzkov z hľadiska ich vekovej štruktúry a podľa doby splatnosti je uvedený v tabuľkovej časti (tabuľka č. 15).</w:t>
      </w:r>
    </w:p>
    <w:p w:rsidR="00ED0BAA" w:rsidRDefault="00ED0BAA" w:rsidP="00ED0BAA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Významnou položkou dlhodobých záväzkov sú </w:t>
      </w:r>
      <w:proofErr w:type="spellStart"/>
      <w:r w:rsidR="007314C5">
        <w:rPr>
          <w:rFonts w:ascii="Arial" w:hAnsi="Arial" w:cs="Arial"/>
        </w:rPr>
        <w:t>yáväzky</w:t>
      </w:r>
      <w:proofErr w:type="spellEnd"/>
      <w:r w:rsidR="007314C5">
        <w:rPr>
          <w:rFonts w:ascii="Arial" w:hAnsi="Arial" w:cs="Arial"/>
        </w:rPr>
        <w:t xml:space="preserve"> voči zamestnancom, zúčtovanie s orgánmi sociálneho a zdravotného poistenie, </w:t>
      </w:r>
      <w:proofErr w:type="spellStart"/>
      <w:r w:rsidR="007314C5">
        <w:rPr>
          <w:rFonts w:ascii="Arial" w:hAnsi="Arial" w:cs="Arial"/>
        </w:rPr>
        <w:t>ostané</w:t>
      </w:r>
      <w:proofErr w:type="spellEnd"/>
      <w:r w:rsidR="007314C5">
        <w:rPr>
          <w:rFonts w:ascii="Arial" w:hAnsi="Arial" w:cs="Arial"/>
        </w:rPr>
        <w:t xml:space="preserve"> priame dane</w:t>
      </w:r>
    </w:p>
    <w:p w:rsidR="00ED0BAA" w:rsidRDefault="00ED0BAA" w:rsidP="00ED0BAA">
      <w:pPr>
        <w:spacing w:before="120" w:after="120"/>
        <w:jc w:val="both"/>
        <w:rPr>
          <w:rFonts w:ascii="Arial" w:hAnsi="Arial" w:cs="Arial"/>
          <w:i/>
        </w:rPr>
      </w:pP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19"/>
        <w:gridCol w:w="1440"/>
        <w:gridCol w:w="1407"/>
        <w:gridCol w:w="4414"/>
      </w:tblGrid>
      <w:tr w:rsidR="00ED0BAA" w:rsidTr="00ED0BAA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Výška</w:t>
            </w:r>
          </w:p>
          <w:p w:rsidR="00ED0BAA" w:rsidRDefault="00ED0BAA" w:rsidP="007314C5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 31.12.20</w:t>
            </w:r>
            <w:r w:rsidR="007314C5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 w:rsidP="007314C5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Opis</w:t>
            </w:r>
          </w:p>
        </w:tc>
      </w:tr>
      <w:tr w:rsidR="00ED0BAA" w:rsidTr="007314C5">
        <w:trPr>
          <w:trHeight w:val="584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7314C5" w:rsidP="007314C5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Záväzky voči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BAA" w:rsidRDefault="007314C5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36021,79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BAA" w:rsidRDefault="00ED0B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BAA" w:rsidRDefault="007314C5" w:rsidP="007314C5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Mzdy zamestnancov za december2020</w:t>
            </w:r>
          </w:p>
        </w:tc>
      </w:tr>
      <w:tr w:rsidR="00ED0BAA" w:rsidTr="007314C5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Pr="007314C5" w:rsidRDefault="007314C5" w:rsidP="007314C5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314C5">
              <w:rPr>
                <w:rFonts w:ascii="Arial" w:hAnsi="Arial" w:cs="Arial"/>
                <w:sz w:val="18"/>
                <w:szCs w:val="18"/>
              </w:rPr>
              <w:t>zúčtovanie s orgánmi sociálneho a zdravotného poistenie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B7319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20896,66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BAA" w:rsidRDefault="00ED0B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ED0BAA" w:rsidP="007314C5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  <w:r w:rsidR="007314C5">
              <w:rPr>
                <w:rFonts w:ascii="Arial" w:hAnsi="Arial" w:cs="Arial"/>
                <w:color w:val="000000"/>
                <w:sz w:val="18"/>
                <w:szCs w:val="18"/>
              </w:rPr>
              <w:t>odvody od ZP a SP za12/2020</w:t>
            </w:r>
          </w:p>
        </w:tc>
      </w:tr>
      <w:tr w:rsidR="00ED0BAA" w:rsidTr="007314C5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BAA" w:rsidRDefault="007314C5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Ostané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priame dane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BAA" w:rsidRDefault="00B7319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5141,42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BAA" w:rsidRDefault="00ED0B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BAA" w:rsidRDefault="007314C5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Daň zo mzdy zamestnancov za 12/2020</w:t>
            </w:r>
          </w:p>
        </w:tc>
      </w:tr>
    </w:tbl>
    <w:p w:rsidR="00ED0BAA" w:rsidRDefault="00ED0BAA" w:rsidP="00ED0BAA">
      <w:pPr>
        <w:spacing w:before="120" w:after="120"/>
        <w:jc w:val="both"/>
        <w:rPr>
          <w:rFonts w:ascii="Arial" w:hAnsi="Arial" w:cs="Arial"/>
          <w:i/>
          <w:color w:val="000000"/>
          <w:sz w:val="20"/>
          <w:szCs w:val="20"/>
        </w:rPr>
      </w:pPr>
    </w:p>
    <w:p w:rsidR="00ED0BAA" w:rsidRDefault="00ED0BAA" w:rsidP="00ED0BAA">
      <w:pPr>
        <w:numPr>
          <w:ilvl w:val="0"/>
          <w:numId w:val="10"/>
        </w:numPr>
        <w:spacing w:before="120" w:after="12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Bankové úvery </w:t>
      </w:r>
    </w:p>
    <w:p w:rsidR="00ED0BAA" w:rsidRDefault="00ED0BAA" w:rsidP="00ED0BAA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ED0BAA" w:rsidRDefault="00ED0BAA" w:rsidP="00ED0BAA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color w:val="000000"/>
          <w:sz w:val="20"/>
        </w:rPr>
      </w:pPr>
    </w:p>
    <w:p w:rsidR="00ED0BAA" w:rsidRDefault="00ED0BAA" w:rsidP="00ED0BAA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color w:val="000000"/>
        </w:rPr>
      </w:pPr>
      <w:r>
        <w:rPr>
          <w:rFonts w:ascii="Arial" w:hAnsi="Arial" w:cs="Arial"/>
          <w:b w:val="0"/>
          <w:color w:val="000000"/>
        </w:rPr>
        <w:t xml:space="preserve">Prehľad o bankových úveroch obce k 31.12.2019 s uvedením podrobných informácií je uvedený v tabuľkovej časti </w:t>
      </w:r>
    </w:p>
    <w:p w:rsidR="00ED0BAA" w:rsidRDefault="00ED0BAA" w:rsidP="00ED0BAA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color w:val="0000CC"/>
        </w:rPr>
      </w:pPr>
      <w:r>
        <w:rPr>
          <w:rFonts w:ascii="Arial" w:hAnsi="Arial" w:cs="Arial"/>
          <w:b w:val="0"/>
          <w:color w:val="0000CC"/>
        </w:rPr>
        <w:t xml:space="preserve">(tabuľka č. 16). </w:t>
      </w:r>
    </w:p>
    <w:p w:rsidR="00ED0BAA" w:rsidRDefault="00ED0BAA" w:rsidP="00ED0BAA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i/>
          <w:color w:val="C00000"/>
          <w:sz w:val="20"/>
        </w:rPr>
      </w:pPr>
    </w:p>
    <w:p w:rsidR="00ED0BAA" w:rsidRDefault="00ED0BAA" w:rsidP="00ED0BAA">
      <w:pPr>
        <w:spacing w:before="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</w:rPr>
        <w:t xml:space="preserve">Obec má prijatý  dlhodobý investičný úver na výstavbu ČOV a kanalizácie. Mesačná splátka úveru je 1331,00 €. </w:t>
      </w:r>
    </w:p>
    <w:p w:rsidR="00ED0BAA" w:rsidRDefault="00ED0BAA" w:rsidP="00ED0BAA">
      <w:pPr>
        <w:spacing w:before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b) popis zabezpečenia dlhodobého bankového alebo krátkodobého úveru</w:t>
      </w:r>
      <w:r>
        <w:rPr>
          <w:rFonts w:ascii="Arial" w:hAnsi="Arial" w:cs="Arial"/>
          <w:color w:val="000000"/>
        </w:rPr>
        <w:t xml:space="preserve"> </w:t>
      </w:r>
    </w:p>
    <w:p w:rsidR="00ED0BAA" w:rsidRDefault="00ED0BAA" w:rsidP="00ED0BAA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smerovanie všetkých príjmov obce vrátane 100 % podielov na daniach v správe štátu na účet obce vedený</w:t>
      </w:r>
    </w:p>
    <w:p w:rsidR="00ED0BAA" w:rsidRDefault="00ED0BAA" w:rsidP="00ED0BAA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v OTP banka Slovensko </w:t>
      </w:r>
    </w:p>
    <w:p w:rsidR="00ED0BAA" w:rsidRDefault="00ED0BAA" w:rsidP="00ED0BAA">
      <w:pPr>
        <w:spacing w:before="120" w:after="120"/>
        <w:jc w:val="both"/>
        <w:rPr>
          <w:rFonts w:ascii="Arial" w:hAnsi="Arial" w:cs="Arial"/>
          <w:color w:val="000000"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  <w:color w:val="000000"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  <w:color w:val="000000"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  <w:color w:val="000000"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  <w:color w:val="000000"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  <w:color w:val="000000"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  <w:color w:val="000000"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  <w:color w:val="000000"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  <w:b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  <w:b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  <w:b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  <w:b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  <w:b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  <w:b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  <w:b/>
        </w:rPr>
      </w:pPr>
    </w:p>
    <w:p w:rsidR="00ED0BAA" w:rsidRDefault="00ED0BAA" w:rsidP="00ED0BAA">
      <w:p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Časové rozlíšenie  pasív</w:t>
      </w:r>
    </w:p>
    <w:p w:rsidR="00ED0BAA" w:rsidRDefault="00ED0BAA" w:rsidP="00ED0BAA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 xml:space="preserve">a) Prehľad výdavkov budúcich období </w:t>
      </w:r>
      <w:r>
        <w:rPr>
          <w:rFonts w:ascii="Arial" w:hAnsi="Arial" w:cs="Arial"/>
        </w:rPr>
        <w:t xml:space="preserve">je uvedený v tabuľkovej časti – </w:t>
      </w:r>
      <w:r>
        <w:rPr>
          <w:rFonts w:ascii="Arial" w:hAnsi="Arial" w:cs="Arial"/>
          <w:color w:val="0000CC"/>
        </w:rPr>
        <w:t>tabuľka č. 17</w:t>
      </w:r>
      <w:r>
        <w:rPr>
          <w:rFonts w:ascii="Arial" w:hAnsi="Arial" w:cs="Arial"/>
        </w:rPr>
        <w:t xml:space="preserve"> </w:t>
      </w:r>
    </w:p>
    <w:p w:rsidR="00ED0BAA" w:rsidRDefault="00ED0BAA" w:rsidP="00ED0BAA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b) Prehľad výnosov budúcich obdob</w:t>
      </w:r>
      <w:r>
        <w:rPr>
          <w:rFonts w:ascii="Arial" w:hAnsi="Arial" w:cs="Arial"/>
        </w:rPr>
        <w:t xml:space="preserve">í je uvedený v tabuľkovej časti – </w:t>
      </w:r>
      <w:r>
        <w:rPr>
          <w:rFonts w:ascii="Arial" w:hAnsi="Arial" w:cs="Arial"/>
          <w:color w:val="0000CC"/>
        </w:rPr>
        <w:t xml:space="preserve">tabuľka č. 18 </w:t>
      </w:r>
    </w:p>
    <w:p w:rsidR="00ED0BAA" w:rsidRDefault="00ED0BAA" w:rsidP="00ED0BAA">
      <w:pPr>
        <w:spacing w:before="120" w:after="120"/>
        <w:jc w:val="both"/>
        <w:rPr>
          <w:rFonts w:ascii="Arial" w:hAnsi="Arial" w:cs="Arial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60"/>
        <w:gridCol w:w="1555"/>
      </w:tblGrid>
      <w:tr w:rsidR="00ED0BAA" w:rsidTr="00ED0BAA">
        <w:trPr>
          <w:trHeight w:val="383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 w:rsidP="00B731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7319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 w:rsidP="00B7319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B7319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</w:tr>
      <w:tr w:rsidR="00ED0BAA" w:rsidTr="00ED0BAA">
        <w:trPr>
          <w:trHeight w:val="38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ED0BAA" w:rsidTr="00B7319A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B7319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2481525,65</w:t>
            </w:r>
            <w:r w:rsidR="00ED0BAA">
              <w:rPr>
                <w:rFonts w:ascii="Arial" w:hAnsi="Arial" w:cs="Arial"/>
                <w:sz w:val="18"/>
                <w:szCs w:val="18"/>
                <w:lang w:eastAsia="cs-CZ"/>
              </w:rPr>
              <w:t> 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B7319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2711339,33</w:t>
            </w:r>
          </w:p>
        </w:tc>
      </w:tr>
      <w:tr w:rsidR="00ED0BAA" w:rsidTr="00ED0BAA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ED0BAA" w:rsidTr="00ED0BAA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ED0BAA" w:rsidTr="00ED0BAA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ED0BAA" w:rsidTr="00ED0BAA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ED0BAA" w:rsidTr="00ED0BAA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D0BAA" w:rsidRDefault="00ED0B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D0BAA" w:rsidRDefault="00ED0B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D0BAA" w:rsidTr="00ED0BAA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D0BAA" w:rsidRDefault="00ED0B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D0BAA" w:rsidRDefault="00ED0B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D0BAA" w:rsidTr="00ED0BAA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D0BAA" w:rsidRDefault="00ED0B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ED0BAA" w:rsidTr="00ED0BAA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ED0BAA" w:rsidTr="00ED0BAA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ED0BAA" w:rsidTr="00ED0BAA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BAA" w:rsidRDefault="00ED0BA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BAA" w:rsidRDefault="00ED0B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:rsidR="00ED0BAA" w:rsidRDefault="00ED0BAA" w:rsidP="00ED0BAA">
      <w:pPr>
        <w:spacing w:before="60" w:after="60"/>
        <w:rPr>
          <w:rFonts w:ascii="Arial" w:hAnsi="Arial" w:cs="Arial"/>
          <w:b/>
          <w:sz w:val="20"/>
          <w:szCs w:val="20"/>
          <w:lang w:eastAsia="sk-SK"/>
        </w:rPr>
      </w:pPr>
    </w:p>
    <w:p w:rsidR="00ED0BAA" w:rsidRDefault="00ED0BAA" w:rsidP="00ED0BAA">
      <w:pPr>
        <w:numPr>
          <w:ilvl w:val="0"/>
          <w:numId w:val="10"/>
        </w:numPr>
        <w:spacing w:before="60" w:after="6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Náklady konsolidovaného celku</w:t>
      </w:r>
    </w:p>
    <w:p w:rsidR="00ED0BAA" w:rsidRDefault="00ED0BAA" w:rsidP="00ED0BAA">
      <w:pPr>
        <w:spacing w:before="60"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 xml:space="preserve">a)  </w:t>
      </w:r>
      <w:r>
        <w:rPr>
          <w:rFonts w:ascii="Arial" w:hAnsi="Arial" w:cs="Arial"/>
        </w:rPr>
        <w:t xml:space="preserve">náklady na služby účet 518 v čiastke </w:t>
      </w:r>
      <w:r w:rsidR="009E0F84">
        <w:rPr>
          <w:rFonts w:ascii="Arial" w:hAnsi="Arial" w:cs="Arial"/>
        </w:rPr>
        <w:t>122922,64</w:t>
      </w:r>
      <w:r>
        <w:rPr>
          <w:rFonts w:ascii="Arial" w:hAnsi="Arial" w:cs="Arial"/>
        </w:rPr>
        <w:t xml:space="preserve"> €</w:t>
      </w:r>
    </w:p>
    <w:p w:rsidR="00ED0BAA" w:rsidRDefault="009E0F84" w:rsidP="00ED0BAA">
      <w:pPr>
        <w:rPr>
          <w:rFonts w:ascii="Arial" w:hAnsi="Arial" w:cs="Arial"/>
          <w:i/>
          <w:color w:val="C00000"/>
          <w:sz w:val="20"/>
          <w:szCs w:val="20"/>
        </w:rPr>
      </w:pPr>
      <w:r>
        <w:rPr>
          <w:rFonts w:ascii="Arial" w:hAnsi="Arial" w:cs="Arial"/>
          <w:b/>
        </w:rPr>
        <w:t>b</w:t>
      </w:r>
      <w:r w:rsidR="00ED0BAA">
        <w:rPr>
          <w:rFonts w:ascii="Arial" w:hAnsi="Arial" w:cs="Arial"/>
          <w:b/>
        </w:rPr>
        <w:t>)</w:t>
      </w:r>
      <w:r w:rsidR="00ED0BAA">
        <w:rPr>
          <w:rFonts w:ascii="Arial" w:hAnsi="Arial" w:cs="Arial"/>
        </w:rPr>
        <w:t xml:space="preserve"> ostatné finančné náklady účet 568 v čiastka </w:t>
      </w:r>
      <w:r>
        <w:rPr>
          <w:rFonts w:ascii="Arial" w:hAnsi="Arial" w:cs="Arial"/>
        </w:rPr>
        <w:t>8815,32</w:t>
      </w:r>
      <w:r w:rsidR="00ED0BAA">
        <w:rPr>
          <w:rFonts w:ascii="Arial" w:hAnsi="Arial" w:cs="Arial"/>
        </w:rPr>
        <w:t xml:space="preserve"> €</w:t>
      </w:r>
    </w:p>
    <w:p w:rsidR="00ED0BAA" w:rsidRDefault="00ED0BAA" w:rsidP="009E0F84">
      <w:pPr>
        <w:spacing w:before="1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</w:rPr>
        <w:t xml:space="preserve">    </w:t>
      </w:r>
      <w:bookmarkStart w:id="0" w:name="_GoBack"/>
      <w:bookmarkEnd w:id="0"/>
    </w:p>
    <w:p w:rsidR="00ED0BAA" w:rsidRDefault="00ED0BAA" w:rsidP="00ED0BAA">
      <w:pPr>
        <w:rPr>
          <w:rFonts w:ascii="Arial" w:hAnsi="Arial" w:cs="Arial"/>
          <w:b/>
        </w:rPr>
      </w:pPr>
    </w:p>
    <w:p w:rsidR="00ED0BAA" w:rsidRDefault="00ED0BAA" w:rsidP="00ED0BAA">
      <w:pPr>
        <w:jc w:val="center"/>
        <w:rPr>
          <w:rFonts w:ascii="Arial" w:hAnsi="Arial" w:cs="Arial"/>
          <w:b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Čl. IV. </w:t>
      </w:r>
    </w:p>
    <w:p w:rsidR="00ED0BAA" w:rsidRDefault="00ED0BAA" w:rsidP="00ED0BA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ED0BAA" w:rsidRDefault="00ED0BAA" w:rsidP="00ED0BAA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ED0BAA" w:rsidRDefault="00ED0BAA" w:rsidP="00ED0BAA">
      <w:pPr>
        <w:numPr>
          <w:ilvl w:val="0"/>
          <w:numId w:val="11"/>
        </w:numPr>
        <w:tabs>
          <w:tab w:val="num" w:pos="360"/>
        </w:tabs>
        <w:spacing w:after="0" w:line="240" w:lineRule="auto"/>
        <w:ind w:left="360" w:hanging="3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Iné aktíva a iné pasíva </w:t>
      </w:r>
    </w:p>
    <w:p w:rsidR="00ED0BAA" w:rsidRDefault="00ED0BAA" w:rsidP="00ED0BAA">
      <w:pPr>
        <w:jc w:val="both"/>
        <w:rPr>
          <w:rFonts w:ascii="Arial" w:hAnsi="Arial" w:cs="Arial"/>
          <w:color w:val="0000CC"/>
          <w:sz w:val="20"/>
          <w:szCs w:val="20"/>
        </w:rPr>
      </w:pPr>
      <w:r>
        <w:rPr>
          <w:rFonts w:ascii="Arial" w:hAnsi="Arial" w:cs="Arial"/>
        </w:rPr>
        <w:t xml:space="preserve">Informácie o iných aktívach a iných pasívach sú uvedené v tabuľkovej časti – </w:t>
      </w:r>
      <w:r>
        <w:rPr>
          <w:rFonts w:ascii="Arial" w:hAnsi="Arial" w:cs="Arial"/>
          <w:color w:val="0000CC"/>
        </w:rPr>
        <w:t xml:space="preserve">tabuľka č.23  </w:t>
      </w:r>
    </w:p>
    <w:p w:rsidR="00ED0BAA" w:rsidRDefault="00ED0BAA" w:rsidP="00ED0BAA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CC"/>
        </w:rPr>
        <w:lastRenderedPageBreak/>
        <w:t>Konsolidovaný celok obec nemá iné aktíva a iné pasíva a preto tabuľku č. 23 nevypĺňa</w:t>
      </w:r>
    </w:p>
    <w:p w:rsidR="00ED0BAA" w:rsidRDefault="00ED0BAA" w:rsidP="00ED0BAA">
      <w:pPr>
        <w:tabs>
          <w:tab w:val="left" w:pos="360"/>
        </w:tabs>
        <w:jc w:val="both"/>
        <w:rPr>
          <w:rFonts w:ascii="Arial" w:hAnsi="Arial" w:cs="Arial"/>
        </w:rPr>
      </w:pPr>
    </w:p>
    <w:p w:rsidR="00ED0BAA" w:rsidRDefault="00ED0BAA" w:rsidP="00ED0BAA">
      <w:pPr>
        <w:numPr>
          <w:ilvl w:val="0"/>
          <w:numId w:val="12"/>
        </w:numPr>
        <w:tabs>
          <w:tab w:val="left" w:pos="360"/>
        </w:tabs>
        <w:spacing w:after="0" w:line="240" w:lineRule="auto"/>
        <w:ind w:left="36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Zoznam nehnuteľných kultúrnych pamiatok spravovaných účtovnou jednotkou – </w:t>
      </w:r>
      <w:r>
        <w:rPr>
          <w:rFonts w:ascii="Arial" w:hAnsi="Arial" w:cs="Arial"/>
          <w:color w:val="0000CC"/>
        </w:rPr>
        <w:t>tabuľka č. 24</w:t>
      </w:r>
    </w:p>
    <w:p w:rsidR="00ED0BAA" w:rsidRDefault="00ED0BAA" w:rsidP="00ED0BAA">
      <w:pPr>
        <w:tabs>
          <w:tab w:val="left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Konsolidovaný celok OBEC KLASOV nemá nehnuteľné kultúrne pamiatky</w:t>
      </w:r>
    </w:p>
    <w:p w:rsidR="00ED0BAA" w:rsidRDefault="00ED0BAA" w:rsidP="00ED0BAA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ED0BAA" w:rsidRDefault="00ED0BAA" w:rsidP="00ED0BAA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:rsidR="00ED0BAA" w:rsidRDefault="00ED0BAA" w:rsidP="00ED0BAA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:rsidR="00ED0BAA" w:rsidRDefault="00ED0BAA" w:rsidP="00ED0BAA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:rsidR="00ED0BAA" w:rsidRDefault="00ED0BAA" w:rsidP="00ED0BAA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:rsidR="00ED0BAA" w:rsidRDefault="00ED0BAA" w:rsidP="00ED0BAA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:rsidR="00ED0BAA" w:rsidRDefault="00ED0BAA" w:rsidP="00ED0BAA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Čl. V. </w:t>
      </w:r>
    </w:p>
    <w:p w:rsidR="00ED0BAA" w:rsidRDefault="00ED0BAA" w:rsidP="00ED0BAA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:rsidR="00ED0BAA" w:rsidRDefault="00ED0BAA" w:rsidP="00ED0BAA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SKUTOČNOSTI, KTORÉ NASTALI PO DNI,</w:t>
      </w:r>
    </w:p>
    <w:p w:rsidR="00ED0BAA" w:rsidRDefault="00ED0BAA" w:rsidP="00ED0BAA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KU KTORÉMU SA ZOSTAVUJE ÚČTOVNÁ ZÁVIERKA, DO DŇA JEJ ZOSTAVENIA</w:t>
      </w:r>
    </w:p>
    <w:p w:rsidR="00ED0BAA" w:rsidRDefault="00ED0BAA" w:rsidP="00ED0BAA">
      <w:pPr>
        <w:jc w:val="center"/>
        <w:rPr>
          <w:rFonts w:ascii="Arial" w:hAnsi="Arial" w:cs="Arial"/>
          <w:b/>
        </w:rPr>
      </w:pPr>
    </w:p>
    <w:p w:rsidR="00ED0BAA" w:rsidRDefault="00ED0BAA" w:rsidP="00ED0BAA">
      <w:pPr>
        <w:jc w:val="center"/>
        <w:rPr>
          <w:rFonts w:ascii="Arial" w:hAnsi="Arial" w:cs="Arial"/>
          <w:b/>
        </w:rPr>
      </w:pPr>
    </w:p>
    <w:p w:rsidR="00ED0BAA" w:rsidRDefault="00ED0BAA" w:rsidP="00ED0BAA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 31. decembri </w:t>
      </w:r>
      <w:r w:rsidR="00B7319A">
        <w:rPr>
          <w:rFonts w:ascii="Arial" w:hAnsi="Arial" w:cs="Arial"/>
          <w:iCs/>
        </w:rPr>
        <w:t>2020</w:t>
      </w:r>
      <w:r>
        <w:rPr>
          <w:rFonts w:ascii="Arial" w:hAnsi="Arial" w:cs="Arial"/>
          <w:i/>
        </w:rPr>
        <w:t xml:space="preserve"> nenastali </w:t>
      </w:r>
      <w:r>
        <w:rPr>
          <w:rFonts w:ascii="Arial" w:hAnsi="Arial" w:cs="Arial"/>
        </w:rPr>
        <w:t>také udalosti, ktoré by si vyžadovali zverejnenie alebo vykázanie v konsolidovanej účtovnej závierke za rok 20</w:t>
      </w:r>
      <w:r w:rsidR="00B7319A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. </w:t>
      </w:r>
    </w:p>
    <w:p w:rsidR="00ED0BAA" w:rsidRDefault="00ED0BAA" w:rsidP="00ED0BAA">
      <w:pPr>
        <w:spacing w:line="360" w:lineRule="auto"/>
        <w:rPr>
          <w:rFonts w:ascii="Arial" w:hAnsi="Arial" w:cs="Arial"/>
        </w:rPr>
      </w:pPr>
    </w:p>
    <w:p w:rsidR="00ED0BAA" w:rsidRDefault="00ED0BAA" w:rsidP="00ED0BAA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.</w:t>
      </w:r>
    </w:p>
    <w:p w:rsidR="00ED0BAA" w:rsidRDefault="00ED0BAA" w:rsidP="00ED0BAA">
      <w:pPr>
        <w:spacing w:line="360" w:lineRule="auto"/>
        <w:rPr>
          <w:rFonts w:ascii="Arial" w:hAnsi="Arial" w:cs="Arial"/>
          <w:color w:val="0000FF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ED0BAA" w:rsidRDefault="00ED0BAA" w:rsidP="00ED0BAA">
      <w:pPr>
        <w:jc w:val="center"/>
        <w:rPr>
          <w:rFonts w:ascii="Arial" w:hAnsi="Arial" w:cs="Arial"/>
          <w:b/>
          <w:sz w:val="28"/>
          <w:szCs w:val="28"/>
        </w:rPr>
      </w:pPr>
    </w:p>
    <w:p w:rsidR="00761579" w:rsidRDefault="00761579"/>
    <w:sectPr w:rsidR="0076157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2AB0" w:rsidRDefault="00E42AB0" w:rsidP="00ED0BAA">
      <w:pPr>
        <w:spacing w:after="0" w:line="240" w:lineRule="auto"/>
      </w:pPr>
      <w:r>
        <w:separator/>
      </w:r>
    </w:p>
  </w:endnote>
  <w:endnote w:type="continuationSeparator" w:id="0">
    <w:p w:rsidR="00E42AB0" w:rsidRDefault="00E42AB0" w:rsidP="00ED0B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0BAA" w:rsidRDefault="00ED0BA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0BAA" w:rsidRDefault="00ED0BA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0BAA" w:rsidRDefault="00ED0B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2AB0" w:rsidRDefault="00E42AB0" w:rsidP="00ED0BAA">
      <w:pPr>
        <w:spacing w:after="0" w:line="240" w:lineRule="auto"/>
      </w:pPr>
      <w:r>
        <w:separator/>
      </w:r>
    </w:p>
  </w:footnote>
  <w:footnote w:type="continuationSeparator" w:id="0">
    <w:p w:rsidR="00E42AB0" w:rsidRDefault="00E42AB0" w:rsidP="00ED0B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0BAA" w:rsidRDefault="00ED0BA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7E1A" w:rsidRDefault="009A7E1A" w:rsidP="009A7E1A">
    <w:pPr>
      <w:spacing w:after="0" w:line="240" w:lineRule="auto"/>
      <w:ind w:right="-82"/>
      <w:jc w:val="center"/>
      <w:rPr>
        <w:rFonts w:ascii="Times New Roman" w:eastAsia="Times New Roman" w:hAnsi="Times New Roman" w:cs="Times New Roman"/>
        <w:lang w:eastAsia="sk-SK"/>
      </w:rPr>
    </w:pPr>
    <w:r>
      <w:rPr>
        <w:rFonts w:ascii="Times New Roman" w:eastAsia="Times New Roman" w:hAnsi="Times New Roman" w:cs="Times New Roman"/>
        <w:i/>
        <w:lang w:eastAsia="sk-SK"/>
      </w:rPr>
      <w:t>Obec Klasov</w:t>
    </w:r>
  </w:p>
  <w:p w:rsidR="009A7E1A" w:rsidRDefault="009A7E1A" w:rsidP="009A7E1A">
    <w:pPr>
      <w:pBdr>
        <w:bottom w:val="single" w:sz="4" w:space="1" w:color="auto"/>
      </w:pBdr>
      <w:tabs>
        <w:tab w:val="center" w:pos="4536"/>
      </w:tabs>
      <w:spacing w:after="0" w:line="240" w:lineRule="auto"/>
      <w:jc w:val="center"/>
      <w:rPr>
        <w:rFonts w:ascii="Times New Roman" w:eastAsia="Times New Roman" w:hAnsi="Times New Roman" w:cs="Times New Roman"/>
        <w:color w:val="FF0000"/>
        <w:lang w:eastAsia="sk-SK"/>
      </w:rPr>
    </w:pPr>
    <w:r>
      <w:rPr>
        <w:rFonts w:ascii="Times New Roman" w:eastAsia="Times New Roman" w:hAnsi="Times New Roman" w:cs="Times New Roman"/>
        <w:lang w:eastAsia="sk-SK"/>
      </w:rPr>
      <w:t>Poznámky  konsolidovanej účtovnej závierky  zostavenej k 31. decembru 2020</w:t>
    </w:r>
  </w:p>
  <w:p w:rsidR="009A7E1A" w:rsidRDefault="009A7E1A" w:rsidP="009A7E1A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sz w:val="20"/>
        <w:szCs w:val="20"/>
        <w:lang w:eastAsia="sk-SK"/>
      </w:rPr>
    </w:pPr>
  </w:p>
  <w:p w:rsidR="00ED0BAA" w:rsidRPr="009A7E1A" w:rsidRDefault="00ED0BAA" w:rsidP="009A7E1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0BAA" w:rsidRDefault="00ED0BA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6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0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0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7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4F7"/>
    <w:rsid w:val="000971DC"/>
    <w:rsid w:val="000E169E"/>
    <w:rsid w:val="001513D0"/>
    <w:rsid w:val="001E2664"/>
    <w:rsid w:val="00275B50"/>
    <w:rsid w:val="004046D6"/>
    <w:rsid w:val="00574DAC"/>
    <w:rsid w:val="007314C5"/>
    <w:rsid w:val="00761579"/>
    <w:rsid w:val="00815295"/>
    <w:rsid w:val="008960E3"/>
    <w:rsid w:val="008C14F7"/>
    <w:rsid w:val="009A7E1A"/>
    <w:rsid w:val="009E0F84"/>
    <w:rsid w:val="009F6ED9"/>
    <w:rsid w:val="00A575B7"/>
    <w:rsid w:val="00A92C35"/>
    <w:rsid w:val="00B7319A"/>
    <w:rsid w:val="00D6552E"/>
    <w:rsid w:val="00E42AB0"/>
    <w:rsid w:val="00ED0BAA"/>
    <w:rsid w:val="00FA4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72D1BD"/>
  <w15:chartTrackingRefBased/>
  <w15:docId w15:val="{AE7DF32A-4A6B-47B1-BFCA-6312D0AB7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autoRedefine/>
    <w:uiPriority w:val="9"/>
    <w:semiHidden/>
    <w:unhideWhenUsed/>
    <w:qFormat/>
    <w:rsid w:val="00ED0BAA"/>
    <w:pPr>
      <w:keepNext/>
      <w:numPr>
        <w:numId w:val="1"/>
      </w:numPr>
      <w:spacing w:before="60" w:after="240" w:line="240" w:lineRule="auto"/>
      <w:outlineLvl w:val="1"/>
    </w:pPr>
    <w:rPr>
      <w:rFonts w:ascii="Arial" w:eastAsia="Times New Roman" w:hAnsi="Arial" w:cs="Arial"/>
      <w:b/>
      <w:bCs/>
      <w:iCs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sid w:val="00ED0BAA"/>
    <w:rPr>
      <w:rFonts w:ascii="Arial" w:eastAsia="Times New Roman" w:hAnsi="Arial" w:cs="Arial"/>
      <w:b/>
      <w:bCs/>
      <w:iCs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D0BAA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D0BAA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ED0BAA"/>
    <w:pPr>
      <w:tabs>
        <w:tab w:val="num" w:pos="426"/>
      </w:tabs>
      <w:ind w:hanging="426"/>
    </w:pPr>
    <w:rPr>
      <w:b/>
      <w:bCs/>
    </w:rPr>
  </w:style>
  <w:style w:type="paragraph" w:customStyle="1" w:styleId="odstavec">
    <w:name w:val="odstavec"/>
    <w:basedOn w:val="Normlny"/>
    <w:autoRedefine/>
    <w:rsid w:val="00ED0BAA"/>
    <w:pPr>
      <w:spacing w:after="0" w:line="240" w:lineRule="auto"/>
      <w:ind w:right="-79"/>
      <w:jc w:val="both"/>
    </w:pPr>
    <w:rPr>
      <w:rFonts w:ascii="Arial" w:eastAsia="Times New Roman" w:hAnsi="Arial" w:cs="Arial"/>
      <w:color w:val="FF0000"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ED0BAA"/>
    <w:pPr>
      <w:numPr>
        <w:numId w:val="2"/>
      </w:numPr>
      <w:spacing w:before="60" w:after="120" w:line="240" w:lineRule="auto"/>
      <w:jc w:val="both"/>
    </w:pPr>
    <w:rPr>
      <w:rFonts w:ascii="Arial" w:eastAsia="Times New Roman" w:hAnsi="Arial" w:cs="Arial"/>
      <w:b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ED0B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D0BAA"/>
  </w:style>
  <w:style w:type="paragraph" w:styleId="Pta">
    <w:name w:val="footer"/>
    <w:basedOn w:val="Normlny"/>
    <w:link w:val="PtaChar"/>
    <w:uiPriority w:val="99"/>
    <w:unhideWhenUsed/>
    <w:rsid w:val="00ED0B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D0B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07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2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2356</Words>
  <Characters>13434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15759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Uctaren</dc:creator>
  <cp:keywords/>
  <dc:description/>
  <cp:lastModifiedBy>Uctaren</cp:lastModifiedBy>
  <cp:revision>18</cp:revision>
  <dcterms:created xsi:type="dcterms:W3CDTF">2021-05-20T11:27:00Z</dcterms:created>
  <dcterms:modified xsi:type="dcterms:W3CDTF">2021-05-21T07:48:00Z</dcterms:modified>
</cp:coreProperties>
</file>