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2CFA" w:rsidRDefault="00B42CF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</w:rPr>
        <w:t xml:space="preserve">POZNÁMKY K ÚČTOVNEJ ZÁVIERKE </w:t>
      </w:r>
      <w:r w:rsidR="00D77620">
        <w:rPr>
          <w:rFonts w:ascii="Arial Narrow" w:hAnsi="Arial Narrow" w:cs="Arial Narrow"/>
          <w:b/>
        </w:rPr>
        <w:t>2021</w:t>
      </w:r>
    </w:p>
    <w:p w:rsidR="00B42CFA" w:rsidRDefault="00B42CF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B42CFA" w:rsidRDefault="00B42CF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B42CFA" w:rsidRDefault="00B42CFA">
      <w:pPr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:rsidR="00B42CFA" w:rsidRDefault="00B42CFA">
      <w:pPr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:rsidR="00B42CFA" w:rsidRDefault="00B42CFA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2636"/>
        <w:gridCol w:w="6979"/>
        <w:gridCol w:w="10"/>
      </w:tblGrid>
      <w:tr w:rsidR="00B42CFA" w:rsidTr="006C5779">
        <w:trPr>
          <w:gridAfter w:val="1"/>
          <w:wAfter w:w="10" w:type="dxa"/>
          <w:trHeight w:val="374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FA" w:rsidRDefault="00C274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27482">
              <w:rPr>
                <w:rFonts w:ascii="Arial Narrow" w:hAnsi="Arial Narrow" w:cs="Arial Narrow"/>
                <w:b/>
                <w:sz w:val="22"/>
                <w:szCs w:val="22"/>
              </w:rPr>
              <w:t>LOGS Services, s.r.o.</w:t>
            </w:r>
          </w:p>
        </w:tc>
      </w:tr>
      <w:tr w:rsidR="00B42CFA">
        <w:trPr>
          <w:gridAfter w:val="1"/>
          <w:wAfter w:w="1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FA" w:rsidRDefault="00C27482" w:rsidP="00C274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Komenského 2147/3, </w:t>
            </w:r>
            <w:r w:rsidRPr="00C27482">
              <w:rPr>
                <w:rFonts w:ascii="Arial Narrow" w:hAnsi="Arial Narrow" w:cs="Arial Narrow"/>
                <w:sz w:val="22"/>
                <w:szCs w:val="22"/>
              </w:rPr>
              <w:t>Zvolen 960 01</w:t>
            </w:r>
          </w:p>
        </w:tc>
      </w:tr>
      <w:tr w:rsidR="00B42CFA">
        <w:trPr>
          <w:gridAfter w:val="1"/>
          <w:wAfter w:w="1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FA" w:rsidRDefault="00763F1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63F1D">
              <w:rPr>
                <w:rFonts w:ascii="Arial Narrow" w:hAnsi="Arial Narrow" w:cs="Arial Narrow"/>
                <w:sz w:val="22"/>
                <w:szCs w:val="22"/>
              </w:rPr>
              <w:t>Spoločnosť s ručením obmedzeným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B42CFA"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42CFA" w:rsidRDefault="00B42CFA" w:rsidP="00C274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C27482" w:rsidRPr="00C27482">
              <w:rPr>
                <w:rFonts w:ascii="Arial Narrow" w:hAnsi="Arial Narrow" w:cs="Arial Narrow"/>
                <w:sz w:val="22"/>
                <w:szCs w:val="22"/>
              </w:rPr>
              <w:t>21.12.2013</w:t>
            </w:r>
          </w:p>
        </w:tc>
      </w:tr>
      <w:tr w:rsidR="00B42CFA"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42CFA" w:rsidRDefault="00C27482" w:rsidP="00C274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27482">
              <w:rPr>
                <w:rFonts w:ascii="Arial Narrow" w:hAnsi="Arial Narrow" w:cs="Arial Narrow"/>
                <w:sz w:val="22"/>
                <w:szCs w:val="22"/>
              </w:rPr>
              <w:t>Kúpa tovaru na účely jeho predaja konečnému spotrebiteľovi (maloobchod) alebo iným prevádzkovateľom živnosti (veľkoobchod)</w:t>
            </w:r>
          </w:p>
        </w:tc>
      </w:tr>
      <w:tr w:rsidR="00B42CFA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42CFA" w:rsidRDefault="00C27482" w:rsidP="006C577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27482">
              <w:rPr>
                <w:rFonts w:ascii="Arial Narrow" w:hAnsi="Arial Narrow" w:cs="Arial Narrow"/>
                <w:b/>
                <w:sz w:val="22"/>
                <w:szCs w:val="22"/>
              </w:rPr>
              <w:t>LOGS Services, s.r.o.</w:t>
            </w:r>
            <w:r w:rsidR="00634C5D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r w:rsidR="00B42CFA">
              <w:rPr>
                <w:rFonts w:ascii="Arial Narrow" w:hAnsi="Arial Narrow" w:cs="Arial Narrow"/>
                <w:sz w:val="22"/>
                <w:szCs w:val="22"/>
              </w:rPr>
              <w:t>nie je subjektom verejného záujmu (§ 2/14 ZoU).</w:t>
            </w:r>
            <w:r w:rsidR="00763F1D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B42CFA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42CFA" w:rsidRDefault="00B42CFA" w:rsidP="00D7762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F509E1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D77620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ind w:right="-425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33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286"/>
      </w:tblGrid>
      <w:tr w:rsidR="00B42CFA" w:rsidTr="00860EE4">
        <w:trPr>
          <w:trHeight w:val="364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B42CFA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D77620" w:rsidP="00F73422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1686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D77620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44977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B42CFA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D77620" w:rsidP="00EA3C05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E453D8" w:rsidP="00F73422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1825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B42CFA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1513D0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0EE4" w:rsidRPr="00860EE4" w:rsidRDefault="00F73422" w:rsidP="00DC4730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:rsidR="00B42CFA" w:rsidRDefault="00B42CFA">
      <w:pPr>
        <w:jc w:val="both"/>
      </w:pPr>
    </w:p>
    <w:p w:rsidR="00B42CFA" w:rsidRDefault="00B42CFA" w:rsidP="00F7342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F73422">
        <w:rPr>
          <w:rFonts w:ascii="Arial Narrow" w:hAnsi="Arial Narrow" w:cs="Arial Narrow"/>
          <w:bCs/>
          <w:sz w:val="22"/>
          <w:szCs w:val="22"/>
        </w:rPr>
        <w:t xml:space="preserve">Účtovná jednotka, ktorá spĺňa podmienky pre mikro účtovnú jednotku, sa môže rozhodnúť, že bude postupovať ako malá účtovná jednotka. Účtovná jednotka </w:t>
      </w:r>
      <w:r w:rsidR="00F73422">
        <w:rPr>
          <w:rFonts w:ascii="Arial Narrow" w:hAnsi="Arial Narrow" w:cs="Arial Narrow"/>
          <w:sz w:val="22"/>
          <w:szCs w:val="22"/>
        </w:rPr>
        <w:t>sa rozhodla, že bude postupovať ako malá účtovná jednotka</w:t>
      </w:r>
      <w:r w:rsidR="00F73422">
        <w:rPr>
          <w:rFonts w:ascii="Arial Narrow" w:hAnsi="Arial Narrow" w:cs="Arial Narrow"/>
          <w:b/>
          <w:sz w:val="22"/>
          <w:szCs w:val="22"/>
        </w:rPr>
        <w:t xml:space="preserve">, </w:t>
      </w:r>
      <w:r w:rsidR="00F73422">
        <w:rPr>
          <w:rFonts w:ascii="Arial Narrow" w:hAnsi="Arial Narrow" w:cs="Arial Narrow"/>
          <w:sz w:val="22"/>
          <w:szCs w:val="22"/>
        </w:rPr>
        <w:t>preto zostavuje účtovnú závierku podľa metodiky pre túto veľkostnú skupinu (Opatrenie č.MF/23378/2014-74).</w:t>
      </w:r>
    </w:p>
    <w:p w:rsidR="00F73422" w:rsidRDefault="00F73422" w:rsidP="00F73422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 w:rsidP="007A6CE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BD689E">
        <w:rPr>
          <w:rFonts w:ascii="Arial Narrow" w:hAnsi="Arial Narrow" w:cs="Arial Narrow"/>
          <w:sz w:val="22"/>
          <w:szCs w:val="22"/>
        </w:rPr>
        <w:t xml:space="preserve"> </w:t>
      </w:r>
      <w:r w:rsidR="00D77620">
        <w:rPr>
          <w:rFonts w:ascii="Arial Narrow" w:hAnsi="Arial Narrow" w:cs="Arial Narrow"/>
          <w:b/>
          <w:sz w:val="22"/>
          <w:szCs w:val="22"/>
        </w:rPr>
        <w:t>25.06.2021</w:t>
      </w:r>
    </w:p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BD689E">
        <w:rPr>
          <w:rFonts w:ascii="Arial Narrow" w:hAnsi="Arial Narrow" w:cs="Arial Narrow"/>
          <w:sz w:val="22"/>
          <w:szCs w:val="22"/>
        </w:rPr>
        <w:t xml:space="preserve"> </w:t>
      </w:r>
      <w:r w:rsidR="00D77620">
        <w:rPr>
          <w:rFonts w:ascii="Arial Narrow" w:hAnsi="Arial Narrow" w:cs="Arial Narrow"/>
          <w:sz w:val="22"/>
          <w:szCs w:val="22"/>
        </w:rPr>
        <w:t>Mimoriadna účtovná závierka ku dňu vstupu do likvidácie 14.05.2021</w:t>
      </w:r>
      <w:bookmarkStart w:id="0" w:name="_GoBack"/>
      <w:bookmarkEnd w:id="0"/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</w:t>
      </w:r>
      <w:r>
        <w:rPr>
          <w:rFonts w:ascii="Arial Narrow" w:hAnsi="Arial Narrow" w:cs="Arial Narrow"/>
          <w:b/>
          <w:bCs/>
          <w:sz w:val="22"/>
          <w:szCs w:val="22"/>
        </w:rPr>
        <w:t>s konsolidáciou</w:t>
      </w:r>
      <w:r>
        <w:rPr>
          <w:rFonts w:ascii="Arial Narrow" w:hAnsi="Arial Narrow" w:cs="Arial Narrow"/>
          <w:bCs/>
          <w:sz w:val="22"/>
          <w:szCs w:val="22"/>
        </w:rPr>
        <w:t>:</w:t>
      </w:r>
    </w:p>
    <w:p w:rsidR="00B42CFA" w:rsidRDefault="00B42CFA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za </w:t>
      </w:r>
      <w:r>
        <w:rPr>
          <w:rFonts w:ascii="Arial Narrow" w:hAnsi="Arial Narrow" w:cs="Arial Narrow"/>
          <w:sz w:val="22"/>
          <w:szCs w:val="22"/>
          <w:u w:val="single"/>
        </w:rPr>
        <w:t>najväčšiu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 konsolidácie):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Obchodné meno a sídlo účtovnej jednotky, ktorá zostavuje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za </w:t>
      </w:r>
      <w:r>
        <w:rPr>
          <w:rFonts w:ascii="Arial Narrow" w:hAnsi="Arial Narrow" w:cs="Arial Narrow"/>
          <w:sz w:val="22"/>
          <w:szCs w:val="22"/>
          <w:u w:val="single"/>
        </w:rPr>
        <w:t>najmenšiu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(bezprostredne vyšší stupeň konsolidácie), a ktorá je tiež začlenená do skupiny účtovných jednotiek na najvyššom stupni konsolidácie: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Adresa, kde sa môže vyžiadať kópia vyššie uvedených </w:t>
      </w:r>
      <w:r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>
        <w:rPr>
          <w:rFonts w:ascii="Arial Narrow" w:hAnsi="Arial Narrow" w:cs="Arial Narrow"/>
          <w:sz w:val="22"/>
          <w:szCs w:val="22"/>
        </w:rPr>
        <w:t>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Údaj, či účtovná jednotka je materskou účtovnou jednotkou a údaj, či je oslobodená od povinnosti zostaviť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a konsolidovanú výročnú správu podľa § 22 zákona o účtovníctve, pričom sa uvádzajú: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1. pri oslobodení podľa § 22 ods. 8 zákona o účtovníctve obchodné meno a sídlo materskej účtovnej jednotky zostavujúcej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podľa osobitných predpisov (IFRS/EÚ):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2. pri oslobodení podľa § 22 ods. 10 a 12 zákona o účtovníctve obchodné meno a sídlo dcérskych účtovných jednotiek: 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377"/>
      </w:tblGrid>
      <w:tr w:rsidR="00B42CFA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42CFA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C4730" w:rsidRDefault="001513D0" w:rsidP="00DC473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FA" w:rsidRDefault="00B42CFA" w:rsidP="001513D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1513D0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B42CFA" w:rsidRDefault="00B42CFA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B42CFA" w:rsidRDefault="00B42CF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B42CFA" w:rsidRDefault="00B42CFA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11"/>
      </w:tblGrid>
      <w:tr w:rsidR="00B42CFA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Bežné účtovné obdobie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Bezprostredne predchádzajúce účtovné obdobie</w:t>
            </w:r>
          </w:p>
        </w:tc>
      </w:tr>
      <w:tr w:rsidR="00B42CFA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numPr>
                <w:ilvl w:val="0"/>
                <w:numId w:val="5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numPr>
                <w:ilvl w:val="0"/>
                <w:numId w:val="5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numPr>
                <w:ilvl w:val="0"/>
                <w:numId w:val="5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:rsidR="00B42CFA" w:rsidRDefault="00B42CFA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Pr="00686498" w:rsidRDefault="00B42CFA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</w:t>
      </w:r>
      <w:r w:rsidR="00D96A4B" w:rsidRPr="00686498">
        <w:rPr>
          <w:rFonts w:ascii="Arial Narrow" w:hAnsi="Arial Narrow" w:cs="Arial Narrow"/>
          <w:b/>
          <w:sz w:val="22"/>
          <w:szCs w:val="22"/>
        </w:rPr>
        <w:t>Účtovná závierka je zostavená za splnenia predpokladu, že účtovná jednotka bude nepretržite pokračovať vo svojej činnosti.</w:t>
      </w: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B42CFA" w:rsidRPr="00945E58" w:rsidRDefault="00945E58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945E58">
        <w:rPr>
          <w:rFonts w:ascii="Arial Narrow" w:hAnsi="Arial Narrow" w:cs="Arial Narrow"/>
          <w:b/>
          <w:sz w:val="22"/>
          <w:szCs w:val="22"/>
        </w:rPr>
        <w:t>V roku 201</w:t>
      </w:r>
      <w:r w:rsidR="00AE7E78">
        <w:rPr>
          <w:rFonts w:ascii="Arial Narrow" w:hAnsi="Arial Narrow" w:cs="Arial Narrow"/>
          <w:b/>
          <w:sz w:val="22"/>
          <w:szCs w:val="22"/>
        </w:rPr>
        <w:t>6</w:t>
      </w:r>
      <w:r w:rsidRPr="00945E58">
        <w:rPr>
          <w:rFonts w:ascii="Arial Narrow" w:hAnsi="Arial Narrow" w:cs="Arial Narrow"/>
          <w:b/>
          <w:sz w:val="22"/>
          <w:szCs w:val="22"/>
        </w:rPr>
        <w:t xml:space="preserve"> v účtovnej jednotky nenastali zmeny účtovných zásad.</w:t>
      </w: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:rsidR="00B42CFA" w:rsidRDefault="00B42CFA">
      <w:pPr>
        <w:ind w:right="-141"/>
        <w:jc w:val="both"/>
        <w:rPr>
          <w:rFonts w:ascii="Arial" w:hAnsi="Arial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a) Spôsob oceňovania majetku a záväzkov (§ 25 ZoU):</w:t>
      </w:r>
    </w:p>
    <w:p w:rsidR="00B42CFA" w:rsidRDefault="00B42CF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10"/>
      </w:tblGrid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en-AU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riv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en-AU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ty: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je zaúčtované formou opravnej položky stanovené odborným odhadom bonity klienta.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 k oceňovaniu majetku a záväzkov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Finančné nástroje</w:t>
      </w:r>
      <w:r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Opravné položky</w:t>
      </w:r>
      <w:r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odborným odhadom bonity príslušného majetku.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Rezervy</w:t>
      </w:r>
      <w:r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="0059191A">
        <w:rPr>
          <w:rFonts w:ascii="Arial Narrow" w:hAnsi="Arial Narrow" w:cs="Arial Narrow"/>
          <w:sz w:val="22"/>
          <w:szCs w:val="22"/>
        </w:rPr>
        <w:t>FIFO metódu</w:t>
      </w:r>
      <w:r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prírastku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>
        <w:rPr>
          <w:rFonts w:ascii="Arial Narrow" w:hAnsi="Arial Narrow" w:cs="Arial Narrow"/>
          <w:sz w:val="22"/>
          <w:szCs w:val="22"/>
          <w:u w:val="single"/>
        </w:rPr>
        <w:t>zmenárenský kurz</w:t>
      </w:r>
      <w:r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úbytku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>
        <w:rPr>
          <w:rFonts w:ascii="Arial Narrow" w:hAnsi="Arial Narrow" w:cs="Arial Narrow"/>
          <w:sz w:val="22"/>
          <w:szCs w:val="22"/>
          <w:u w:val="single"/>
        </w:rPr>
        <w:t>základné pravidlo</w:t>
      </w:r>
      <w:r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B42CFA" w:rsidRDefault="00B42CF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B42CFA" w:rsidRDefault="00B42CFA"/>
    <w:p w:rsidR="00B42CFA" w:rsidRDefault="00B42CFA">
      <w:pPr>
        <w:pStyle w:val="Nadpis2"/>
        <w:tabs>
          <w:tab w:val="left" w:pos="1005"/>
        </w:tabs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278"/>
      </w:tblGrid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Dlhodobý hmotný a nehmotný</w:t>
            </w:r>
          </w:p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 w:rsidP="0059191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B42CFA" w:rsidRDefault="00B42CFA">
      <w:pPr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"/>
          <w:sz w:val="22"/>
          <w:szCs w:val="22"/>
        </w:rPr>
        <w:t xml:space="preserve"> </w:t>
      </w:r>
    </w:p>
    <w:p w:rsidR="00B42CFA" w:rsidRDefault="00B42CFA">
      <w:pPr>
        <w:spacing w:after="12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 w:rsidR="001513D0">
        <w:rPr>
          <w:rFonts w:ascii="Arial Narrow" w:hAnsi="Arial Narrow" w:cs="Arial"/>
          <w:sz w:val="22"/>
          <w:szCs w:val="22"/>
          <w:u w:val="single"/>
        </w:rPr>
        <w:t xml:space="preserve">účtovné odpisy </w:t>
      </w:r>
      <w:r>
        <w:rPr>
          <w:rFonts w:ascii="Arial Narrow" w:hAnsi="Arial Narrow" w:cs="Arial"/>
          <w:sz w:val="22"/>
          <w:szCs w:val="22"/>
          <w:u w:val="single"/>
        </w:rPr>
        <w:t>závisle na daňových odpisoch</w:t>
      </w:r>
      <w:r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"/>
          <w:sz w:val="22"/>
          <w:szCs w:val="22"/>
          <w:u w:val="single"/>
        </w:rPr>
        <w:t>zaradený do užívania</w:t>
      </w:r>
      <w:r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počas </w:t>
      </w:r>
      <w:r w:rsidR="0059191A">
        <w:rPr>
          <w:rFonts w:ascii="Arial Narrow" w:hAnsi="Arial Narrow" w:cs="Arial"/>
          <w:sz w:val="22"/>
          <w:szCs w:val="22"/>
        </w:rPr>
        <w:t>5</w:t>
      </w:r>
      <w:r>
        <w:rPr>
          <w:rFonts w:ascii="Arial Narrow" w:hAnsi="Arial Narrow" w:cs="Arial"/>
          <w:sz w:val="22"/>
          <w:szCs w:val="22"/>
        </w:rPr>
        <w:t xml:space="preserve"> rokov od jeho obstarania.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rovnomerné odpisovanie</w:t>
      </w:r>
      <w:r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r w:rsidR="0059191A">
        <w:rPr>
          <w:rFonts w:ascii="Arial Narrow" w:hAnsi="Arial Narrow" w:cs="Arial"/>
          <w:sz w:val="22"/>
          <w:szCs w:val="22"/>
        </w:rPr>
        <w:t>Pohoda</w:t>
      </w:r>
      <w:r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>
        <w:rPr>
          <w:rFonts w:ascii="Arial Narrow" w:hAnsi="Arial Narrow" w:cs="Arial"/>
          <w:sz w:val="22"/>
          <w:szCs w:val="22"/>
          <w:u w:val="single"/>
        </w:rPr>
        <w:t>súbory hnuteľných vecí</w:t>
      </w:r>
      <w:r>
        <w:rPr>
          <w:rFonts w:ascii="Arial Narrow" w:hAnsi="Arial Narrow" w:cs="Arial"/>
          <w:sz w:val="22"/>
          <w:szCs w:val="22"/>
        </w:rPr>
        <w:t xml:space="preserve"> (napr. počítačová sieť, nábytková zostava). UJ nepoužíva komponentné odpisovanie (odpisovanie častí majetku - komponentov).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nepoužila </w:t>
      </w:r>
      <w:r>
        <w:rPr>
          <w:rFonts w:ascii="Arial Narrow" w:hAnsi="Arial Narrow" w:cs="Arial Narrow"/>
          <w:sz w:val="22"/>
          <w:szCs w:val="22"/>
          <w:u w:val="single"/>
        </w:rPr>
        <w:t>jednorazový odpis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dlhodobého majetku z dôvodu jednorazového trvalého zníženia hodnoty majetku (§ 21/5 PU).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kategóriu drobného dlhodobého nehmotného majetku</w:t>
      </w:r>
      <w:r>
        <w:rPr>
          <w:rFonts w:ascii="Arial Narrow" w:hAnsi="Arial Narrow" w:cs="Arial Narrow"/>
          <w:sz w:val="22"/>
          <w:szCs w:val="22"/>
        </w:rPr>
        <w:t xml:space="preserve"> - položky pod 2 400 eur jednotkovej ceny so životnosťou nad jeden rok (§ 13/2 PU).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kategóriu drobného dlhodobého hmotného majetku</w:t>
      </w:r>
      <w:r>
        <w:rPr>
          <w:rFonts w:ascii="Arial Narrow" w:hAnsi="Arial Narrow" w:cs="Arial Narrow"/>
          <w:sz w:val="22"/>
          <w:szCs w:val="22"/>
        </w:rPr>
        <w:t xml:space="preserve"> - položky pod 1 700 eur jednotkovej ceny so životnosťou nad jeden rok (§ 13/6 PU).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>
        <w:rPr>
          <w:rFonts w:ascii="Arial Narrow" w:hAnsi="Arial Narrow" w:cs="Arial Narrow"/>
          <w:sz w:val="22"/>
          <w:szCs w:val="22"/>
        </w:rPr>
        <w:t xml:space="preserve"> do odpisovaného dlhodobého majetku – technické zhodnotenie pod 1 700 eur za účtovné obdobie (§ 21/3 PU; § 29/2 ZDP).</w:t>
      </w:r>
    </w:p>
    <w:p w:rsidR="00B42CFA" w:rsidRDefault="00B42CFA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>
        <w:rPr>
          <w:rFonts w:ascii="Arial Narrow" w:hAnsi="Arial Narrow" w:cs="Arial Narrow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B42CFA" w:rsidRDefault="00B42CFA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B42CFA" w:rsidRDefault="00B42CFA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29"/>
      </w:tblGrid>
      <w:tr w:rsidR="00B42CFA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B42CFA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 schválení účtovnej závierky na valnom zhromaždení už nemožno otvárať účtovné knihy minulých účtovných období a prípadné opravy sa vykonajú v bežnom účtovnom období (§ 16/10,11 ZoU).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Významné opravy chýb minulých účtovných období sa účtujú (§ 59/13 PU) - voči minulým výsledkom hospodárenia (voči vlastnému imaniu na účet 428 alebo 429). 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 ukladaní pokuty za nesprávnosti v účtovníctve prihliadne daňový úrad aj na to, či UJ písomne ohlásila obsah a sumu vykonanej opravy chýb minulých účtovných období (§ 38/5 ZoU).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Opravy chýb minulých účtovných období sa daňovo vysporiadajú podľa pravidiel v zákone o dani z príjmov (§ 17/15,29 ZDP) a pravidiel v daňovom poriadku (§ 16). 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Pritom sa uvádza forma tohto zabezpečenia a uvádza sa zmena reálnej hodnoty v priebehu účtovného obdobia (§ 27 ZoU). Pre každý druh derivátov sa uvádza informácia o rozsahu a povahe týchto derivátov vrátane významných podmienok, ktoré môžu ovplyvniť sumu, načasovanie a mieru istoty budúcich peňažných tokov a </w:t>
      </w:r>
      <w:r>
        <w:rPr>
          <w:rFonts w:ascii="Arial Narrow" w:hAnsi="Arial Narrow" w:cs="Arial Narrow"/>
          <w:sz w:val="22"/>
          <w:szCs w:val="22"/>
          <w:u w:val="single"/>
        </w:rPr>
        <w:t>v tabuľkovej forme</w:t>
      </w:r>
      <w:r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655"/>
        <w:gridCol w:w="1135"/>
        <w:gridCol w:w="1135"/>
        <w:gridCol w:w="1844"/>
        <w:gridCol w:w="1846"/>
      </w:tblGrid>
      <w:tr w:rsidR="00B42CFA">
        <w:trPr>
          <w:trHeight w:val="153"/>
        </w:trPr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 derivátov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B42CFA">
        <w:trPr>
          <w:trHeight w:val="62"/>
        </w:trPr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09"/>
        </w:trPr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</w:t>
      </w:r>
      <w:r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sa k závierkovému dňu oceňujú, okrem iného, aj deriváty a majetok a záväzky zabezpečené derivátmi (§ 27/1 ZoU); precenenie na reálnu hodnotu k závierkovému dňu sa účtuje (§ 16 PU) - výsledkovo (účty 56x, 66x) alebo súvahovo (účet 414)].</w:t>
      </w:r>
    </w:p>
    <w:p w:rsidR="00B42CFA" w:rsidRDefault="00B42CFA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386"/>
      </w:tblGrid>
      <w:tr w:rsidR="00B42CFA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Bežné účtovné obdobie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Bezprostredne predchádzajúce účtovné obdobie</w:t>
            </w:r>
          </w:p>
        </w:tc>
      </w:tr>
      <w:tr w:rsidR="00B42CFA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59191A">
            <w:pPr>
              <w:snapToGri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59191A">
            <w:pPr>
              <w:snapToGri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B42CFA" w:rsidRDefault="00B42CFA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 w:rsidR="00B42CFA" w:rsidRDefault="00B42CFA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21"/>
      </w:tblGrid>
      <w:tr w:rsidR="00B42CFA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Zabezpečené záväzky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Bežné účtovné obdobie</w:t>
            </w:r>
          </w:p>
        </w:tc>
      </w:tr>
      <w:tr w:rsidR="00B42CFA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 xml:space="preserve">Spôsob </w:t>
            </w:r>
          </w:p>
          <w:p w:rsidR="00B42CFA" w:rsidRDefault="00B42CFA">
            <w:pPr>
              <w:pStyle w:val="TopHeader"/>
            </w:pPr>
            <w:r>
              <w:t>zabezpečenia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Hodnota záväzkov</w:t>
            </w:r>
          </w:p>
        </w:tc>
      </w:tr>
      <w:tr w:rsidR="00B42CFA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B42CFA" w:rsidRDefault="00B42CFA">
      <w:pPr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B42CFA" w:rsidRDefault="00B42CFA">
      <w:pPr>
        <w:spacing w:after="120"/>
        <w:ind w:right="-471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B42CFA" w:rsidRDefault="00B42CFA">
      <w:pPr>
        <w:numPr>
          <w:ilvl w:val="0"/>
          <w:numId w:val="6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B42CFA" w:rsidRDefault="00B42CFA">
      <w:pPr>
        <w:numPr>
          <w:ilvl w:val="0"/>
          <w:numId w:val="6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1"/>
        <w:gridCol w:w="1701"/>
        <w:gridCol w:w="1603"/>
      </w:tblGrid>
      <w:tr w:rsidR="00B42CFA">
        <w:trPr>
          <w:trHeight w:val="780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Názov podsúvahovej položky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Bežné účtovné obdobie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Bezprostredne predchádzajúce účtovné obdobie</w:t>
            </w:r>
          </w:p>
        </w:tc>
      </w:tr>
      <w:tr w:rsidR="00B42CFA">
        <w:trPr>
          <w:trHeight w:val="267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44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lastRenderedPageBreak/>
              <w:t>Majetok prijatý do úschovy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 z opcií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 opcií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strát, napríklad:</w:t>
      </w:r>
    </w:p>
    <w:p w:rsidR="00B42CFA" w:rsidRPr="00E965C1" w:rsidRDefault="00B42CFA">
      <w:pPr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>
        <w:rPr>
          <w:rFonts w:ascii="Arial Narrow" w:hAnsi="Arial Narrow" w:cs="Arial Narrow"/>
          <w:sz w:val="22"/>
          <w:szCs w:val="22"/>
        </w:rPr>
        <w:t xml:space="preserve"> ako dôsledku udalostí, ktoré nastali po dni, ku ktorému sa zostavuje účtovná závierka do dňa zostavenia účtovnej závierky s uvedením dôvodu týchto zmien: </w:t>
      </w:r>
      <w:r w:rsidR="00E965C1">
        <w:rPr>
          <w:rFonts w:ascii="Arial Narrow" w:hAnsi="Arial Narrow" w:cs="Arial Narrow"/>
          <w:sz w:val="22"/>
          <w:szCs w:val="22"/>
        </w:rPr>
        <w:t xml:space="preserve"> </w:t>
      </w:r>
      <w:r w:rsidR="00E965C1" w:rsidRPr="00E965C1">
        <w:rPr>
          <w:rFonts w:ascii="Arial Narrow" w:hAnsi="Arial Narrow" w:cs="Arial Narrow"/>
          <w:b/>
          <w:sz w:val="22"/>
          <w:szCs w:val="22"/>
        </w:rPr>
        <w:t>Nenastal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</w:t>
      </w:r>
      <w:r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E965C1">
        <w:rPr>
          <w:rFonts w:ascii="Arial Narrow" w:hAnsi="Arial Narrow" w:cs="Arial Narrow"/>
          <w:sz w:val="22"/>
          <w:szCs w:val="22"/>
        </w:rPr>
        <w:t xml:space="preserve"> nenastali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E965C1">
        <w:rPr>
          <w:rFonts w:ascii="Arial Narrow" w:hAnsi="Arial Narrow" w:cs="Arial Narrow"/>
          <w:sz w:val="22"/>
          <w:szCs w:val="22"/>
        </w:rPr>
        <w:t>nebola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E965C1">
        <w:rPr>
          <w:rFonts w:ascii="Arial Narrow" w:hAnsi="Arial Narrow" w:cs="Arial Narrow"/>
          <w:sz w:val="22"/>
          <w:szCs w:val="22"/>
        </w:rPr>
        <w:t xml:space="preserve"> neboli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E965C1">
        <w:rPr>
          <w:rFonts w:ascii="Arial Narrow" w:hAnsi="Arial Narrow" w:cs="Arial Narrow"/>
          <w:sz w:val="22"/>
          <w:szCs w:val="22"/>
        </w:rPr>
        <w:t xml:space="preserve"> neboli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:rsidR="00B42CFA" w:rsidRDefault="00B42CFA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 Informácie o výlučnom práve poskytovať služby vo verejnom záujme:</w:t>
      </w:r>
      <w:r w:rsidR="00E965C1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E965C1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42CFA" w:rsidRDefault="00B42CFA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E965C1">
        <w:rPr>
          <w:rFonts w:ascii="Arial Narrow" w:hAnsi="Arial Narrow" w:cs="Arial Narrow"/>
          <w:bCs/>
          <w:sz w:val="22"/>
          <w:szCs w:val="22"/>
        </w:rPr>
        <w:t>nie</w:t>
      </w:r>
    </w:p>
    <w:sectPr w:rsidR="00B42CFA">
      <w:headerReference w:type="default" r:id="rId8"/>
      <w:footerReference w:type="default" r:id="rId9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276D" w:rsidRDefault="001E276D">
      <w:r>
        <w:separator/>
      </w:r>
    </w:p>
  </w:endnote>
  <w:endnote w:type="continuationSeparator" w:id="0">
    <w:p w:rsidR="001E276D" w:rsidRDefault="001E27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2CFA" w:rsidRDefault="00B42CFA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 w:rsidR="00D77620">
      <w:rPr>
        <w:noProof/>
      </w:rPr>
      <w:t>4</w:t>
    </w:r>
    <w:r>
      <w:fldChar w:fldCharType="end"/>
    </w:r>
  </w:p>
  <w:p w:rsidR="00B42CFA" w:rsidRDefault="00B42CF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276D" w:rsidRDefault="001E276D">
      <w:r>
        <w:separator/>
      </w:r>
    </w:p>
  </w:footnote>
  <w:footnote w:type="continuationSeparator" w:id="0">
    <w:p w:rsidR="001E276D" w:rsidRDefault="001E27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2CFA" w:rsidRDefault="00B42CF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</w:t>
    </w:r>
    <w:r w:rsidR="00C27482" w:rsidRPr="00C27482">
      <w:rPr>
        <w:rFonts w:ascii="Arial" w:hAnsi="Arial" w:cs="Arial"/>
        <w:sz w:val="22"/>
        <w:szCs w:val="22"/>
      </w:rPr>
      <w:t>47607131</w:t>
    </w:r>
    <w:r>
      <w:rPr>
        <w:rFonts w:ascii="Arial" w:hAnsi="Arial" w:cs="Arial"/>
        <w:sz w:val="22"/>
        <w:szCs w:val="22"/>
      </w:rPr>
      <w:t xml:space="preserve">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Č: </w:t>
    </w:r>
    <w:r w:rsidR="00C27482" w:rsidRPr="00C27482">
      <w:rPr>
        <w:rFonts w:ascii="Arial" w:hAnsi="Arial" w:cs="Arial"/>
        <w:sz w:val="22"/>
        <w:szCs w:val="22"/>
      </w:rPr>
      <w:t>2024028545</w:t>
    </w:r>
  </w:p>
  <w:p w:rsidR="006C5779" w:rsidRDefault="006C5779">
    <w:pPr>
      <w:pStyle w:val="Zkladntext"/>
      <w:tabs>
        <w:tab w:val="left" w:pos="2990"/>
        <w:tab w:val="left" w:pos="6348"/>
      </w:tabs>
      <w:ind w:left="-397" w:firstLine="0"/>
      <w:jc w:val="center"/>
    </w:pPr>
  </w:p>
  <w:p w:rsidR="00B42CFA" w:rsidRDefault="00B42CF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1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singleLevel"/>
    <w:tmpl w:val="00000003"/>
    <w:name w:val="WW8Num5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</w:rPr>
    </w:lvl>
  </w:abstractNum>
  <w:abstractNum w:abstractNumId="3" w15:restartNumberingAfterBreak="0">
    <w:nsid w:val="00000004"/>
    <w:multiLevelType w:val="singleLevel"/>
    <w:tmpl w:val="00000004"/>
    <w:name w:val="WW8Num7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</w:rPr>
    </w:lvl>
  </w:abstractNum>
  <w:abstractNum w:abstractNumId="4" w15:restartNumberingAfterBreak="0">
    <w:nsid w:val="00000005"/>
    <w:multiLevelType w:val="singleLevel"/>
    <w:tmpl w:val="00000005"/>
    <w:name w:val="WW8Num10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5" w15:restartNumberingAfterBreak="0">
    <w:nsid w:val="00000006"/>
    <w:multiLevelType w:val="singleLevel"/>
    <w:tmpl w:val="00000006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087"/>
    <w:rsid w:val="000452CC"/>
    <w:rsid w:val="00055E4D"/>
    <w:rsid w:val="00122087"/>
    <w:rsid w:val="00126913"/>
    <w:rsid w:val="001513D0"/>
    <w:rsid w:val="001E276D"/>
    <w:rsid w:val="0020519D"/>
    <w:rsid w:val="00215918"/>
    <w:rsid w:val="00223338"/>
    <w:rsid w:val="00241FBA"/>
    <w:rsid w:val="00250687"/>
    <w:rsid w:val="003046F3"/>
    <w:rsid w:val="003E4345"/>
    <w:rsid w:val="0041663E"/>
    <w:rsid w:val="0044462D"/>
    <w:rsid w:val="0048303C"/>
    <w:rsid w:val="004F0239"/>
    <w:rsid w:val="00512727"/>
    <w:rsid w:val="0059191A"/>
    <w:rsid w:val="005935DA"/>
    <w:rsid w:val="00616D19"/>
    <w:rsid w:val="00622C2B"/>
    <w:rsid w:val="00634C5D"/>
    <w:rsid w:val="00686498"/>
    <w:rsid w:val="006C5779"/>
    <w:rsid w:val="0070110F"/>
    <w:rsid w:val="00763F1D"/>
    <w:rsid w:val="007A6CE2"/>
    <w:rsid w:val="007A7A03"/>
    <w:rsid w:val="007E2878"/>
    <w:rsid w:val="007F0B7C"/>
    <w:rsid w:val="008327B2"/>
    <w:rsid w:val="00845221"/>
    <w:rsid w:val="00860EE4"/>
    <w:rsid w:val="008C5245"/>
    <w:rsid w:val="00945E58"/>
    <w:rsid w:val="00A364AB"/>
    <w:rsid w:val="00A41544"/>
    <w:rsid w:val="00AE7E78"/>
    <w:rsid w:val="00B42CFA"/>
    <w:rsid w:val="00BD689E"/>
    <w:rsid w:val="00BF1279"/>
    <w:rsid w:val="00C27482"/>
    <w:rsid w:val="00C36ACC"/>
    <w:rsid w:val="00C85252"/>
    <w:rsid w:val="00D607BE"/>
    <w:rsid w:val="00D71732"/>
    <w:rsid w:val="00D77620"/>
    <w:rsid w:val="00D96A4B"/>
    <w:rsid w:val="00DC4730"/>
    <w:rsid w:val="00E453D8"/>
    <w:rsid w:val="00E965C1"/>
    <w:rsid w:val="00EA3C05"/>
    <w:rsid w:val="00F15BDE"/>
    <w:rsid w:val="00F509E1"/>
    <w:rsid w:val="00F73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04CD8974"/>
  <w15:chartTrackingRefBased/>
  <w15:docId w15:val="{43173CE7-A6A5-446D-A34A-9F9DC591C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1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</w:rPr>
  </w:style>
  <w:style w:type="character" w:customStyle="1" w:styleId="WW8Num2z0">
    <w:name w:val="WW8Num2z0"/>
    <w:rPr>
      <w:rFonts w:ascii="Wingdings" w:hAnsi="Wingdings" w:cs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  <w:rPr>
      <w:rFonts w:ascii="Wingdings" w:hAnsi="Wingdings" w:cs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5z0">
    <w:name w:val="WW8Num5z0"/>
    <w:rPr>
      <w:rFonts w:ascii="Wingdings" w:hAnsi="Wingdings" w:cs="Wingdings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0">
    <w:name w:val="WW8Num6z0"/>
    <w:rPr>
      <w:rFonts w:ascii="Wingdings" w:hAnsi="Wingdings" w:cs="Wingdings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  <w:rPr>
      <w:rFonts w:ascii="Wingdings" w:hAnsi="Wingdings" w:cs="Wingdings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1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1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1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customStyle="1" w:styleId="Popisek">
    <w:name w:val="Popisek"/>
    <w:basedOn w:val="Normlny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ar-SA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styleId="Nzov">
    <w:name w:val="Title"/>
    <w:basedOn w:val="Normlny"/>
    <w:next w:val="Normlny"/>
    <w:qFormat/>
    <w:pPr>
      <w:keepNext/>
      <w:spacing w:before="280" w:after="220"/>
      <w:jc w:val="center"/>
    </w:pPr>
    <w:rPr>
      <w:rFonts w:ascii="Arial Narrow" w:hAnsi="Arial Narrow" w:cs="Arial Narrow"/>
      <w:b/>
      <w:bCs/>
      <w:kern w:val="1"/>
      <w:sz w:val="22"/>
      <w:szCs w:val="22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lky">
    <w:name w:val="Obsah tabulky"/>
    <w:basedOn w:val="Normlny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D8EDA1-C0E7-4D1C-B0D9-F8E39570B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2958</Words>
  <Characters>16867</Characters>
  <Application>Microsoft Office Word</Application>
  <DocSecurity>0</DocSecurity>
  <Lines>140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/>
  <LinksUpToDate>false</LinksUpToDate>
  <CharactersWithSpaces>19786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Windows User</cp:lastModifiedBy>
  <cp:revision>2</cp:revision>
  <cp:lastPrinted>2015-07-22T08:26:00Z</cp:lastPrinted>
  <dcterms:created xsi:type="dcterms:W3CDTF">2021-08-05T14:10:00Z</dcterms:created>
  <dcterms:modified xsi:type="dcterms:W3CDTF">2021-08-05T14:10:00Z</dcterms:modified>
</cp:coreProperties>
</file>