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theme/theme1.xml" ContentType="application/vnd.openxmlformats-officedocument.theme+xml"/>
  <Override PartName="/word/embeddings/oleObject1.xlsx" ContentType="application/vnd.openxmlformats-officedocument.spreadsheetml.sheet"/>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2020</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V Ľubeli, august 2021</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2020 a jeho plnenie</w:t>
      </w:r>
    </w:p>
    <w:p>
      <w:pPr>
        <w:pStyle w:val="Normal"/>
        <w:ind w:firstLine="708"/>
        <w:jc w:val="both"/>
        <w:rPr/>
      </w:pPr>
      <w:r>
        <w:rPr/>
        <w:t>Rozbor plnenia príjmov za rok 2020</w:t>
      </w:r>
    </w:p>
    <w:p>
      <w:pPr>
        <w:pStyle w:val="Normal"/>
        <w:ind w:firstLine="708"/>
        <w:jc w:val="both"/>
        <w:rPr/>
      </w:pPr>
      <w:r>
        <w:rPr/>
        <w:t>Rozbor plnenia výdavkov  za rok 2020</w:t>
      </w:r>
    </w:p>
    <w:p>
      <w:pPr>
        <w:pStyle w:val="Normal"/>
        <w:ind w:firstLine="708"/>
        <w:jc w:val="both"/>
        <w:rPr/>
      </w:pPr>
      <w:r>
        <w:rPr/>
      </w:r>
    </w:p>
    <w:p>
      <w:pPr>
        <w:pStyle w:val="Normal"/>
        <w:ind w:firstLine="708"/>
        <w:jc w:val="both"/>
        <w:rPr/>
      </w:pPr>
      <w:r>
        <w:rPr>
          <w:b/>
          <w:bCs/>
        </w:rPr>
        <w:t>3. Hospodárenie obce a rozdelenie výsledku hospodárenia za rok 2020</w:t>
      </w:r>
    </w:p>
    <w:p>
      <w:pPr>
        <w:pStyle w:val="Normal"/>
        <w:ind w:firstLine="708"/>
        <w:jc w:val="both"/>
        <w:rPr/>
      </w:pPr>
      <w:r>
        <w:rPr/>
        <w:t>Skutočnosť a výsledok rozpočtového hospodárenia za rok 2020</w:t>
      </w:r>
    </w:p>
    <w:p>
      <w:pPr>
        <w:pStyle w:val="Normal"/>
        <w:ind w:firstLine="708"/>
        <w:jc w:val="both"/>
        <w:rPr/>
      </w:pPr>
      <w:r>
        <w:rPr/>
      </w:r>
    </w:p>
    <w:p>
      <w:pPr>
        <w:pStyle w:val="Normal"/>
        <w:ind w:firstLine="708"/>
        <w:jc w:val="both"/>
        <w:rPr/>
      </w:pPr>
      <w:r>
        <w:rPr>
          <w:b/>
          <w:bCs/>
        </w:rPr>
        <w:t>4. Bilancia aktív a pasív k 31.12.2020</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31.12.2020</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Ľubeľa  k 31.12.2020:  </w:t>
      </w:r>
      <w:r>
        <w:rPr>
          <w:b w:val="false"/>
          <w:bCs w:val="false"/>
          <w:color w:val="auto"/>
        </w:rPr>
        <w:t>1146 obyvateľov (65,64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2020 vykonávali samosprávu obce jeho obyvatelia prostredníctvom volených orgánov obce, ktoré vzišli z komunálnych volieb na obdobie 4 rokov zo dňa 10. novembra 2018.</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b/>
          <w:b/>
          <w:bCs/>
          <w:color w:val="auto"/>
        </w:rPr>
      </w:pPr>
      <w:r>
        <w:rPr>
          <w:b/>
          <w:bCs/>
          <w:color w:val="auto"/>
        </w:rPr>
      </w:r>
    </w:p>
    <w:p>
      <w:pPr>
        <w:pStyle w:val="Normal"/>
        <w:rPr/>
      </w:pPr>
      <w:r>
        <w:rPr>
          <w:b/>
          <w:bCs/>
          <w:color w:val="auto"/>
        </w:rPr>
        <w:t>Orgány obce vo volebnom období 2018 - 2022</w:t>
      </w:r>
    </w:p>
    <w:p>
      <w:pPr>
        <w:pStyle w:val="Normal"/>
        <w:ind w:firstLine="708"/>
        <w:jc w:val="both"/>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2018 - 2022</w:t>
      </w:r>
    </w:p>
    <w:p>
      <w:pPr>
        <w:pStyle w:val="Normal"/>
        <w:rPr/>
      </w:pPr>
      <w:r>
        <w:rPr>
          <w:color w:val="auto"/>
        </w:rPr>
        <w:t>1/ Bc. Peter Slavkovský – zástupca starostu obce</w:t>
      </w:r>
    </w:p>
    <w:p>
      <w:pPr>
        <w:pStyle w:val="Normal"/>
        <w:rPr>
          <w:bCs w:val="false"/>
          <w:color w:val="EF413D"/>
        </w:rPr>
      </w:pPr>
      <w:r>
        <w:rPr>
          <w:bCs w:val="false"/>
          <w:color w:val="auto"/>
        </w:rPr>
        <w:t>2/ MUDr. Adrian Kališ PhD.</w:t>
      </w:r>
    </w:p>
    <w:p>
      <w:pPr>
        <w:pStyle w:val="Normal"/>
        <w:rPr>
          <w:bCs w:val="false"/>
          <w:color w:val="EF413D"/>
        </w:rPr>
      </w:pPr>
      <w:r>
        <w:rPr>
          <w:bCs w:val="false"/>
          <w:color w:val="auto"/>
        </w:rPr>
        <w:t>3/ Ing. Andrej Kubík</w:t>
      </w:r>
    </w:p>
    <w:p>
      <w:pPr>
        <w:pStyle w:val="Normal"/>
        <w:rPr>
          <w:bCs w:val="false"/>
          <w:color w:val="EF413D"/>
        </w:rPr>
      </w:pPr>
      <w:r>
        <w:rPr>
          <w:bCs w:val="false"/>
          <w:color w:val="auto"/>
        </w:rPr>
        <w:t>4/ Ľubomír Kubík</w:t>
      </w:r>
    </w:p>
    <w:p>
      <w:pPr>
        <w:pStyle w:val="Normal"/>
        <w:rPr>
          <w:bCs w:val="false"/>
          <w:color w:val="EF413D"/>
        </w:rPr>
      </w:pPr>
      <w:r>
        <w:rPr>
          <w:bCs w:val="false"/>
          <w:color w:val="auto"/>
        </w:rPr>
        <w:t>5/ Ing. Zuzana Lúčanová</w:t>
      </w:r>
    </w:p>
    <w:p>
      <w:pPr>
        <w:pStyle w:val="Normal"/>
        <w:rPr>
          <w:bCs w:val="false"/>
          <w:color w:val="EF413D"/>
        </w:rPr>
      </w:pPr>
      <w:r>
        <w:rPr>
          <w:bCs w:val="false"/>
          <w:color w:val="auto"/>
        </w:rPr>
        <w:t>6/ PhDr. Mariana Magerčiaková PhD.</w:t>
      </w:r>
    </w:p>
    <w:p>
      <w:pPr>
        <w:pStyle w:val="Normal"/>
        <w:rPr>
          <w:bCs w:val="false"/>
          <w:color w:val="EF413D"/>
        </w:rPr>
      </w:pPr>
      <w:r>
        <w:rPr>
          <w:bCs w:val="false"/>
          <w:color w:val="auto"/>
        </w:rPr>
        <w:t>7/ Marian Matejovie</w:t>
      </w:r>
    </w:p>
    <w:p>
      <w:pPr>
        <w:pStyle w:val="Normal"/>
        <w:rPr>
          <w:bCs w:val="false"/>
          <w:color w:val="EF413D"/>
        </w:rPr>
      </w:pPr>
      <w:r>
        <w:rPr>
          <w:bCs w:val="false"/>
          <w:color w:val="auto"/>
        </w:rPr>
        <w:t>8/ Mgr. Erika Miklášová</w:t>
      </w:r>
    </w:p>
    <w:p>
      <w:pPr>
        <w:pStyle w:val="Normal"/>
        <w:rPr>
          <w:bCs w:val="false"/>
          <w:color w:val="EF413D"/>
        </w:rPr>
      </w:pPr>
      <w:r>
        <w:rPr>
          <w:bCs w:val="false"/>
          <w:color w:val="auto"/>
        </w:rPr>
        <w:t>9/ Vladimír Škvarka</w:t>
      </w:r>
    </w:p>
    <w:p>
      <w:pPr>
        <w:pStyle w:val="Normal"/>
        <w:rPr>
          <w:color w:val="auto"/>
        </w:rPr>
      </w:pPr>
      <w:r>
        <w:rPr>
          <w:color w:val="auto"/>
        </w:rPr>
      </w:r>
    </w:p>
    <w:p>
      <w:pPr>
        <w:pStyle w:val="Nadpis1"/>
        <w:numPr>
          <w:ilvl w:val="0"/>
          <w:numId w:val="5"/>
        </w:numPr>
        <w:jc w:val="both"/>
        <w:rPr/>
      </w:pPr>
      <w:r>
        <w:rPr>
          <w:bCs w:val="false"/>
          <w:color w:val="auto"/>
        </w:rPr>
        <w:t xml:space="preserve">Pri obecnom zastupiteľstve vykonávali v roku 2020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pPr>
      <w:r>
        <w:rPr>
          <w:color w:val="auto"/>
        </w:rPr>
        <w:t>5. Komisia pre ochranu verejného záujmu</w:t>
      </w:r>
    </w:p>
    <w:p>
      <w:pPr>
        <w:pStyle w:val="Normal"/>
        <w:rPr/>
      </w:pPr>
      <w:r>
        <w:rPr>
          <w:color w:val="auto"/>
        </w:rPr>
        <w:t>6. Komisia pre rozvoj bývania</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pPr>
      <w:r>
        <w:rPr>
          <w:color w:val="auto"/>
        </w:rPr>
        <w:t xml:space="preserve">Kontrolu  zákonnosti,   účinnosti,  hospodárnosti  a efektívnosti  pri hospodárení  a nakladaní s majetkom  a   majetkovými    právami  obce v roku  2020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pPr>
      <w:r>
        <w:rPr>
          <w:color w:val="auto"/>
        </w:rPr>
        <w:t>(2018-2024).</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rFonts w:ascii="Times New Roman" w:hAnsi="Times New Roman"/>
          <w:sz w:val="24"/>
          <w:szCs w:val="24"/>
        </w:rPr>
      </w:pPr>
      <w:r>
        <w:rPr>
          <w:rFonts w:ascii="Times New Roman" w:hAnsi="Times New Roman"/>
          <w:color w:val="auto"/>
          <w:sz w:val="24"/>
          <w:szCs w:val="24"/>
        </w:rPr>
        <w:t>Milena Škvarková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vyrovnaný. Bežný rozpočet bol zostavený ako prebytkový. Kapitálový rozpočet bol zostavený ako schodkový.</w:t>
      </w:r>
    </w:p>
    <w:p>
      <w:pPr>
        <w:pStyle w:val="Normal"/>
        <w:jc w:val="both"/>
        <w:rPr/>
      </w:pPr>
      <w:r>
        <w:rPr>
          <w:color w:val="auto"/>
        </w:rPr>
        <w:t xml:space="preserve">     </w:t>
      </w:r>
      <w:r>
        <w:rPr>
          <w:color w:val="auto"/>
        </w:rPr>
        <w:tab/>
        <w:t>Hospodárenie obce sa riadilo podľa schváleného rozpočtu obce na rok 2020. Rozpočet schválilo obecné zastupiteľstvo obce Ľubeľa dňa 26. novembra 2019 uznesením č. 41/2019.</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hanging="0"/>
        <w:jc w:val="both"/>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4"/>
        </w:numPr>
        <w:spacing w:lineRule="auto" w:line="240"/>
        <w:jc w:val="both"/>
        <w:rPr/>
      </w:pPr>
      <w:r>
        <w:rPr/>
        <w:t>Predajne potravín – COOP Jednota, VEREX</w:t>
      </w:r>
    </w:p>
    <w:p>
      <w:pPr>
        <w:pStyle w:val="Normal"/>
        <w:numPr>
          <w:ilvl w:val="0"/>
          <w:numId w:val="4"/>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4"/>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4"/>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pPr>
      <w:r>
        <w:rPr>
          <w:b/>
          <w:bCs/>
          <w:color w:val="auto"/>
        </w:rPr>
        <w:t xml:space="preserve">Počet žiakov: </w:t>
      </w:r>
      <w:r>
        <w:rPr>
          <w:b w:val="false"/>
          <w:bCs w:val="false"/>
          <w:color w:val="auto"/>
        </w:rPr>
        <w:t>204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pPr>
      <w:r>
        <w:rPr>
          <w:b/>
          <w:color w:val="0066B3"/>
          <w:sz w:val="28"/>
          <w:szCs w:val="28"/>
        </w:rPr>
        <w:t>2. Rozpočet obce za rok 2020 a jeho plnenie</w:t>
      </w:r>
    </w:p>
    <w:p>
      <w:pPr>
        <w:pStyle w:val="Normal"/>
        <w:jc w:val="both"/>
        <w:rPr>
          <w:b/>
          <w:b/>
          <w:color w:val="0066B3"/>
          <w:sz w:val="28"/>
          <w:szCs w:val="28"/>
        </w:rPr>
      </w:pPr>
      <w:r>
        <w:rPr>
          <w:b/>
          <w:color w:val="0066B3"/>
          <w:sz w:val="28"/>
          <w:szCs w:val="28"/>
        </w:rPr>
      </w:r>
    </w:p>
    <w:p>
      <w:pPr>
        <w:pStyle w:val="Normal"/>
        <w:jc w:val="both"/>
        <w:rPr/>
      </w:pPr>
      <w:r>
        <w:rPr/>
        <w:t xml:space="preserve"> </w:t>
      </w:r>
      <w:r>
        <w:rPr/>
        <w:t xml:space="preserve">Rozpočet obce na rok 2020 bol zostavený v súlade s ustanovením § 10 zákona č.583/2004 Z. z. o rozpočtových pravidlách územnej samosprávy a o zmene a doplnení niektorých zákonov v znení neskorších predpisov. </w:t>
      </w:r>
    </w:p>
    <w:p>
      <w:pPr>
        <w:pStyle w:val="Normal"/>
        <w:jc w:val="both"/>
        <w:rPr/>
      </w:pPr>
      <w:r>
        <w:rPr/>
        <w:t xml:space="preserve">Rozpočet obce sa vnútorne člení na bežné príjmy a bežné výdavky (ďalej len bežný rozpočet), kapitálové príjmy a kapitálové výdavky (ďalej len kapitálový rozpočet) a finančné operácie. </w:t>
      </w:r>
    </w:p>
    <w:p>
      <w:pPr>
        <w:pStyle w:val="Normal"/>
        <w:jc w:val="both"/>
        <w:rPr/>
      </w:pPr>
      <w:r>
        <w:rPr/>
        <w:t>Rozpočet obce na rok 2020 bol zostavený ako vyrovnaný.</w:t>
      </w:r>
    </w:p>
    <w:p>
      <w:pPr>
        <w:pStyle w:val="Normal"/>
        <w:ind w:left="0" w:right="0" w:hanging="0"/>
        <w:jc w:val="both"/>
        <w:rPr/>
      </w:pPr>
      <w:r>
        <w:rPr>
          <w:b w:val="false"/>
          <w:bCs w:val="false"/>
          <w:color w:val="auto"/>
          <w:sz w:val="24"/>
          <w:szCs w:val="24"/>
        </w:rPr>
        <w:t>Rozpočet obce bol schválený obecným zastupiteľstvom dňa 26.11.2019 uznesením OZ č.41/2019</w:t>
      </w:r>
    </w:p>
    <w:p>
      <w:pPr>
        <w:pStyle w:val="Telotextu"/>
        <w:jc w:val="both"/>
        <w:rPr>
          <w:b w:val="false"/>
          <w:b w:val="false"/>
          <w:bCs w:val="false"/>
          <w:color w:val="auto"/>
          <w:sz w:val="24"/>
          <w:szCs w:val="24"/>
        </w:rPr>
      </w:pPr>
      <w:r>
        <w:rPr>
          <w:b w:val="false"/>
          <w:bCs w:val="false"/>
          <w:color w:val="auto"/>
          <w:sz w:val="24"/>
          <w:szCs w:val="24"/>
        </w:rPr>
      </w:r>
    </w:p>
    <w:p>
      <w:pPr>
        <w:pStyle w:val="Normal"/>
        <w:rPr>
          <w:b/>
          <w:b/>
          <w:color w:val="FF3333"/>
        </w:rPr>
      </w:pPr>
      <w:r>
        <w:rPr>
          <w:b/>
          <w:color w:val="FF3333"/>
        </w:rPr>
      </w:r>
    </w:p>
    <w:p>
      <w:pPr>
        <w:pStyle w:val="Normal"/>
        <w:jc w:val="center"/>
        <w:rPr/>
      </w:pPr>
      <w:r>
        <w:rPr>
          <w:b/>
          <w:color w:val="FF3333"/>
        </w:rPr>
        <w:tab/>
      </w:r>
      <w:r>
        <w:rPr>
          <w:b/>
          <w:sz w:val="28"/>
        </w:rPr>
        <w:t>Rozpočet obce k  31.12.2020</w:t>
      </w:r>
    </w:p>
    <w:p>
      <w:pPr>
        <w:pStyle w:val="Nadpis1"/>
        <w:ind w:left="0" w:right="0" w:firstLine="708"/>
        <w:jc w:val="center"/>
        <w:rPr/>
      </w:pPr>
      <w:r>
        <w:rPr/>
      </w:r>
    </w:p>
    <w:p>
      <w:pPr>
        <w:pStyle w:val="Normal"/>
        <w:ind w:left="0" w:right="0" w:firstLine="708"/>
        <w:jc w:val="center"/>
        <w:rPr>
          <w:color w:val="FF3333"/>
        </w:rPr>
      </w:pPr>
      <w:r>
        <w:rPr>
          <w:color w:val="FF3333"/>
        </w:rPr>
      </w:r>
    </w:p>
    <w:tbl>
      <w:tblPr>
        <w:tblW w:w="8275" w:type="dxa"/>
        <w:jc w:val="left"/>
        <w:tblInd w:w="715"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849"/>
        <w:gridCol w:w="1989"/>
        <w:gridCol w:w="2437"/>
      </w:tblGrid>
      <w:tr>
        <w:trPr/>
        <w:tc>
          <w:tcPr>
            <w:tcW w:w="3849" w:type="dxa"/>
            <w:tcBorders>
              <w:top w:val="single" w:sz="4" w:space="0" w:color="000000"/>
              <w:left w:val="single" w:sz="4" w:space="0" w:color="000000"/>
              <w:bottom w:val="single" w:sz="4" w:space="0" w:color="000000"/>
              <w:insideH w:val="single" w:sz="4" w:space="0" w:color="000000"/>
            </w:tcBorders>
            <w:shd w:fill="D9D9D9" w:val="clear"/>
          </w:tcPr>
          <w:p>
            <w:pPr>
              <w:pStyle w:val="Normal"/>
              <w:tabs>
                <w:tab w:val="right" w:pos="8460" w:leader="none"/>
              </w:tabs>
              <w:snapToGrid w:val="false"/>
              <w:jc w:val="left"/>
              <w:rPr>
                <w:b/>
                <w:b/>
                <w:color w:val="FF3333"/>
              </w:rPr>
            </w:pPr>
            <w:r>
              <w:rPr>
                <w:b/>
                <w:color w:val="FF3333"/>
              </w:rPr>
            </w:r>
          </w:p>
        </w:tc>
        <w:tc>
          <w:tcPr>
            <w:tcW w:w="1989" w:type="dxa"/>
            <w:tcBorders>
              <w:top w:val="single" w:sz="4" w:space="0" w:color="000000"/>
              <w:left w:val="single" w:sz="4" w:space="0" w:color="000000"/>
              <w:bottom w:val="single" w:sz="4" w:space="0" w:color="000000"/>
              <w:insideH w:val="single" w:sz="4" w:space="0" w:color="000000"/>
            </w:tcBorders>
            <w:shd w:fill="D9D9D9" w:val="clear"/>
            <w:vAlign w:val="center"/>
          </w:tcPr>
          <w:p>
            <w:pPr>
              <w:pStyle w:val="Normal"/>
              <w:tabs>
                <w:tab w:val="right" w:pos="8460" w:leader="none"/>
              </w:tabs>
              <w:snapToGrid w:val="false"/>
              <w:jc w:val="left"/>
              <w:rPr>
                <w:b/>
                <w:b/>
                <w:color w:val="FF3333"/>
              </w:rPr>
            </w:pPr>
            <w:r>
              <w:rPr>
                <w:b/>
                <w:color w:val="FF3333"/>
              </w:rPr>
            </w:r>
          </w:p>
          <w:p>
            <w:pPr>
              <w:pStyle w:val="Normal"/>
              <w:tabs>
                <w:tab w:val="right" w:pos="8460" w:leader="none"/>
              </w:tabs>
              <w:jc w:val="center"/>
              <w:rPr>
                <w:b/>
                <w:b/>
              </w:rPr>
            </w:pPr>
            <w:r>
              <w:rPr>
                <w:b/>
              </w:rPr>
              <w:t xml:space="preserve">Schválený </w:t>
            </w:r>
          </w:p>
          <w:p>
            <w:pPr>
              <w:pStyle w:val="Normal"/>
              <w:tabs>
                <w:tab w:val="right" w:pos="8460" w:leader="none"/>
              </w:tabs>
              <w:jc w:val="center"/>
              <w:rPr>
                <w:b/>
                <w:b/>
              </w:rPr>
            </w:pPr>
            <w:r>
              <w:rPr>
                <w:b/>
              </w:rPr>
              <w:t xml:space="preserve">rozpočet </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vAlign w:val="center"/>
          </w:tcPr>
          <w:p>
            <w:pPr>
              <w:pStyle w:val="Normal"/>
              <w:tabs>
                <w:tab w:val="right" w:pos="8820" w:leader="none"/>
              </w:tabs>
              <w:jc w:val="center"/>
              <w:rPr>
                <w:b/>
                <w:b/>
              </w:rPr>
            </w:pPr>
            <w:r>
              <w:rPr>
                <w:b/>
              </w:rPr>
              <w:t xml:space="preserve">Schválený rozpočet </w:t>
            </w:r>
          </w:p>
          <w:p>
            <w:pPr>
              <w:pStyle w:val="Normal"/>
              <w:tabs>
                <w:tab w:val="right" w:pos="8820" w:leader="none"/>
              </w:tabs>
              <w:jc w:val="center"/>
              <w:rPr>
                <w:b/>
                <w:b/>
              </w:rPr>
            </w:pPr>
            <w:r>
              <w:rPr>
                <w:b/>
              </w:rPr>
              <w:t>po poslednej zmene</w:t>
            </w:r>
          </w:p>
        </w:tc>
      </w:tr>
      <w:tr>
        <w:trPr/>
        <w:tc>
          <w:tcPr>
            <w:tcW w:w="384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Príjmy celkom</w:t>
            </w:r>
          </w:p>
        </w:tc>
        <w:tc>
          <w:tcPr>
            <w:tcW w:w="198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right"/>
              <w:rPr>
                <w:b/>
                <w:b/>
              </w:rPr>
            </w:pPr>
            <w:r>
              <w:rPr>
                <w:b/>
              </w:rPr>
              <w:t>2.316.250,00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jc w:val="right"/>
              <w:rPr>
                <w:b/>
                <w:b/>
              </w:rPr>
            </w:pPr>
            <w:r>
              <w:rPr>
                <w:b/>
              </w:rPr>
              <w:t>2.710.013,00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rPr>
            </w:pPr>
            <w:r>
              <w:rPr>
                <w:b/>
              </w:rPr>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príjmy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1.208.520,00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1.503.150,00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príjmy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325.150,00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325.150,00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príjmy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724.580,00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823.713,00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Príjmy RO s právnou subjektivitou</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58.000,00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58.000,00</w:t>
            </w:r>
          </w:p>
        </w:tc>
      </w:tr>
      <w:tr>
        <w:trPr/>
        <w:tc>
          <w:tcPr>
            <w:tcW w:w="384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Výdavky celkom</w:t>
            </w:r>
          </w:p>
        </w:tc>
        <w:tc>
          <w:tcPr>
            <w:tcW w:w="198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right"/>
              <w:rPr>
                <w:b/>
                <w:b/>
              </w:rPr>
            </w:pPr>
            <w:r>
              <w:rPr>
                <w:b/>
              </w:rPr>
              <w:t>2.316.250,00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jc w:val="right"/>
              <w:rPr>
                <w:b/>
                <w:b/>
              </w:rPr>
            </w:pPr>
            <w:r>
              <w:rPr>
                <w:b/>
              </w:rPr>
              <w:t>2.617.648,40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color w:val="FF3333"/>
              </w:rPr>
            </w:pPr>
            <w:r>
              <w:rPr>
                <w:b/>
                <w:color w:val="FF3333"/>
              </w:rPr>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výdavky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307.250,00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462.980,00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výdavky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1.121.476,00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1.200.298,00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výdavky</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43.821,00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75.821,00</w:t>
            </w:r>
          </w:p>
        </w:tc>
      </w:tr>
      <w:tr>
        <w:trPr/>
        <w:tc>
          <w:tcPr>
            <w:tcW w:w="384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Výdavky RO s právnou subjektivitou</w:t>
            </w:r>
          </w:p>
        </w:tc>
        <w:tc>
          <w:tcPr>
            <w:tcW w:w="1989"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right"/>
              <w:rPr/>
            </w:pPr>
            <w:r>
              <w:rPr/>
              <w:t>843.703,00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jc w:val="right"/>
              <w:rPr/>
            </w:pPr>
            <w:r>
              <w:rPr/>
              <w:t>878.549,40</w:t>
            </w:r>
          </w:p>
        </w:tc>
      </w:tr>
      <w:tr>
        <w:trPr>
          <w:trHeight w:val="254" w:hRule="atLeast"/>
        </w:trPr>
        <w:tc>
          <w:tcPr>
            <w:tcW w:w="384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Rozpočet  obce</w:t>
            </w:r>
          </w:p>
        </w:tc>
        <w:tc>
          <w:tcPr>
            <w:tcW w:w="1989"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right"/>
              <w:rPr>
                <w:b/>
                <w:b/>
              </w:rPr>
            </w:pPr>
            <w:r>
              <w:rPr>
                <w:b/>
              </w:rPr>
              <w:t>0,00</w:t>
            </w:r>
          </w:p>
        </w:tc>
        <w:tc>
          <w:tcPr>
            <w:tcW w:w="24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jc w:val="right"/>
              <w:rPr>
                <w:b/>
                <w:b/>
              </w:rPr>
            </w:pPr>
            <w:r>
              <w:rPr>
                <w:b/>
              </w:rPr>
              <w:t>92.364,60</w:t>
            </w:r>
          </w:p>
        </w:tc>
      </w:tr>
    </w:tbl>
    <w:p>
      <w:pPr>
        <w:pStyle w:val="Normal"/>
        <w:ind w:left="360" w:right="0" w:hanging="0"/>
        <w:jc w:val="both"/>
        <w:rPr>
          <w:b/>
          <w:b/>
          <w:color w:val="0066B3"/>
          <w:sz w:val="28"/>
          <w:szCs w:val="28"/>
        </w:rPr>
      </w:pPr>
      <w:r>
        <w:rPr>
          <w:b/>
          <w:color w:val="0066B3"/>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ListParagraph"/>
        <w:ind w:left="708" w:hanging="0"/>
        <w:rPr>
          <w:sz w:val="32"/>
          <w:szCs w:val="32"/>
        </w:rPr>
      </w:pPr>
      <w:r>
        <w:rPr>
          <w:b/>
          <w:color w:val="auto"/>
          <w:sz w:val="32"/>
          <w:szCs w:val="32"/>
        </w:rPr>
        <w:t>Rozbor čerpania príjmov za rok 2020</w:t>
      </w:r>
    </w:p>
    <w:p>
      <w:pPr>
        <w:pStyle w:val="Normal"/>
        <w:jc w:val="both"/>
        <w:rPr>
          <w:color w:val="FF3333"/>
        </w:rPr>
      </w:pPr>
      <w:r>
        <w:rPr>
          <w:color w:val="FF3333"/>
        </w:rPr>
      </w:r>
    </w:p>
    <w:tbl>
      <w:tblPr>
        <w:tblW w:w="9470" w:type="dxa"/>
        <w:jc w:val="left"/>
        <w:tblInd w:w="69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7"/>
        <w:gridCol w:w="3237"/>
        <w:gridCol w:w="2946"/>
      </w:tblGrid>
      <w:tr>
        <w:trPr/>
        <w:tc>
          <w:tcPr>
            <w:tcW w:w="328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2020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31.12.2020</w:t>
            </w:r>
          </w:p>
        </w:tc>
        <w:tc>
          <w:tcPr>
            <w:tcW w:w="29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rHeight w:val="246" w:hRule="atLeast"/>
        </w:trPr>
        <w:tc>
          <w:tcPr>
            <w:tcW w:w="328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2.710.013,00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2.565.950,84</w:t>
            </w:r>
          </w:p>
        </w:tc>
        <w:tc>
          <w:tcPr>
            <w:tcW w:w="29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94,68</w:t>
            </w:r>
          </w:p>
        </w:tc>
      </w:tr>
    </w:tbl>
    <w:p>
      <w:pPr>
        <w:pStyle w:val="Normal"/>
        <w:rPr>
          <w:color w:val="FF3333"/>
        </w:rPr>
      </w:pPr>
      <w:r>
        <w:rPr>
          <w:color w:val="FF3333"/>
        </w:rPr>
      </w:r>
    </w:p>
    <w:p>
      <w:pPr>
        <w:pStyle w:val="Normal"/>
        <w:rPr/>
      </w:pPr>
      <w:r>
        <w:rPr>
          <w:b/>
          <w:color w:val="auto"/>
          <w:sz w:val="28"/>
          <w:szCs w:val="28"/>
        </w:rPr>
        <w:t xml:space="preserve">          </w:t>
      </w:r>
      <w:r>
        <w:rPr>
          <w:b/>
          <w:color w:val="auto"/>
          <w:sz w:val="28"/>
          <w:szCs w:val="28"/>
        </w:rPr>
        <w:t xml:space="preserve">2.1.  Bežné príjmy </w:t>
      </w:r>
    </w:p>
    <w:p>
      <w:pPr>
        <w:pStyle w:val="Normal"/>
        <w:rPr/>
      </w:pPr>
      <w:r>
        <w:rPr>
          <w:b/>
          <w:bCs/>
          <w:color w:val="auto"/>
          <w:sz w:val="28"/>
        </w:rPr>
        <w:t xml:space="preserve">          </w:t>
      </w:r>
      <w:r>
        <w:rPr>
          <w:b/>
          <w:bCs/>
          <w:color w:val="auto"/>
          <w:sz w:val="28"/>
        </w:rPr>
        <w:t>Bežné príjmy – daňové</w:t>
      </w:r>
    </w:p>
    <w:tbl>
      <w:tblPr>
        <w:tblW w:w="9470" w:type="dxa"/>
        <w:jc w:val="left"/>
        <w:tblInd w:w="69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7"/>
        <w:gridCol w:w="3237"/>
        <w:gridCol w:w="2946"/>
      </w:tblGrid>
      <w:tr>
        <w:trPr/>
        <w:tc>
          <w:tcPr>
            <w:tcW w:w="328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29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574.900,00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568.722,53</w:t>
            </w:r>
          </w:p>
        </w:tc>
        <w:tc>
          <w:tcPr>
            <w:tcW w:w="29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98,93</w:t>
            </w:r>
          </w:p>
        </w:tc>
      </w:tr>
    </w:tbl>
    <w:p>
      <w:pPr>
        <w:pStyle w:val="Normal"/>
        <w:rPr>
          <w:color w:val="CE181E"/>
        </w:rPr>
      </w:pPr>
      <w:r>
        <w:rPr>
          <w:color w:val="CE181E"/>
        </w:rPr>
      </w:r>
    </w:p>
    <w:p>
      <w:pPr>
        <w:pStyle w:val="Normal"/>
        <w:rPr/>
      </w:pPr>
      <w:r>
        <w:rPr>
          <w:b/>
          <w:bCs/>
          <w:color w:val="CE181E"/>
        </w:rPr>
        <w:tab/>
      </w:r>
      <w:r>
        <w:rPr>
          <w:b/>
          <w:bCs/>
          <w:color w:val="auto"/>
        </w:rPr>
        <w:t>1. Výnos dane z príjmov poukázaný územnej samospráve</w:t>
      </w:r>
    </w:p>
    <w:p>
      <w:pPr>
        <w:pStyle w:val="Normal"/>
        <w:ind w:left="0" w:right="0" w:firstLine="360"/>
        <w:jc w:val="both"/>
        <w:rPr>
          <w:color w:val="auto"/>
        </w:rPr>
      </w:pPr>
      <w:r>
        <w:rPr>
          <w:color w:val="auto"/>
        </w:rPr>
        <w:tab/>
        <w:t xml:space="preserve">Z predpokladanej finančnej čiastky 523.100,00 EUR  z výnosu dane z príjmov  k 31.12.2020 </w:t>
        <w:tab/>
        <w:t xml:space="preserve">boli poukázané prostriedky zo ŠR vo výške 523.079,63 EUR, čo predstavuje plnenie na </w:t>
        <w:tab/>
        <w:t xml:space="preserve">99,99%. </w:t>
      </w:r>
    </w:p>
    <w:p>
      <w:pPr>
        <w:pStyle w:val="Normal"/>
        <w:rPr>
          <w:color w:val="auto"/>
        </w:rPr>
      </w:pPr>
      <w:r>
        <w:rPr>
          <w:color w:val="auto"/>
        </w:rPr>
      </w:r>
    </w:p>
    <w:p>
      <w:pPr>
        <w:pStyle w:val="Normal"/>
        <w:rPr/>
      </w:pPr>
      <w:r>
        <w:rPr>
          <w:b/>
          <w:bCs/>
          <w:color w:val="CE181E"/>
        </w:rPr>
        <w:tab/>
      </w:r>
      <w:r>
        <w:rPr>
          <w:b/>
          <w:bCs/>
          <w:color w:val="auto"/>
        </w:rPr>
        <w:t>2. Daň z nehnuteľností</w:t>
      </w:r>
    </w:p>
    <w:p>
      <w:pPr>
        <w:pStyle w:val="Normal"/>
        <w:jc w:val="both"/>
        <w:rPr>
          <w:color w:val="auto"/>
        </w:rPr>
      </w:pPr>
      <w:r>
        <w:rPr>
          <w:color w:val="auto"/>
        </w:rPr>
        <w:tab/>
        <w:t xml:space="preserve">Z rozpočtovaných 23.680,00 EUR bol skutočný príjem k 31.12.2020 vo výške 20.602,71 </w:t>
        <w:tab/>
        <w:t xml:space="preserve">EUR, čo je 87,00 % plnenia. Z toho príjem dane z pozemkov vo výške 12.273,70EUR, dane </w:t>
        <w:tab/>
        <w:t>zo stavieb vo výške 8.177,23 EUR a dan z bytov vo výške 151,78 EUR.</w:t>
      </w:r>
    </w:p>
    <w:p>
      <w:pPr>
        <w:pStyle w:val="Normal"/>
        <w:rPr>
          <w:color w:val="auto"/>
        </w:rPr>
      </w:pPr>
      <w:r>
        <w:rPr>
          <w:color w:val="auto"/>
        </w:rPr>
      </w:r>
    </w:p>
    <w:p>
      <w:pPr>
        <w:pStyle w:val="Normal"/>
        <w:rPr/>
      </w:pPr>
      <w:r>
        <w:rPr>
          <w:b/>
          <w:bCs/>
          <w:color w:val="CE181E"/>
        </w:rPr>
        <w:tab/>
      </w:r>
      <w:r>
        <w:rPr>
          <w:b/>
          <w:bCs/>
          <w:color w:val="auto"/>
        </w:rPr>
        <w:t>3. Ostatné miestne dane</w:t>
      </w:r>
    </w:p>
    <w:tbl>
      <w:tblPr>
        <w:tblW w:w="9470" w:type="dxa"/>
        <w:jc w:val="left"/>
        <w:tblInd w:w="69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949"/>
        <w:gridCol w:w="2375"/>
        <w:gridCol w:w="2101"/>
        <w:gridCol w:w="2044"/>
      </w:tblGrid>
      <w:tr>
        <w:trPr/>
        <w:tc>
          <w:tcPr>
            <w:tcW w:w="294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Rozpočet upravený na rok 2020          </w:t>
            </w:r>
          </w:p>
        </w:tc>
        <w:tc>
          <w:tcPr>
            <w:tcW w:w="210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20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color w:val="auto"/>
              </w:rPr>
              <w:t xml:space="preserve">              </w:t>
            </w:r>
            <w:r>
              <w:rPr>
                <w:color w:val="auto"/>
              </w:rPr>
              <w:t>% plnenia</w:t>
            </w:r>
          </w:p>
        </w:tc>
      </w:tr>
      <w:tr>
        <w:trPr/>
        <w:tc>
          <w:tcPr>
            <w:tcW w:w="294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psa</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1.760,00</w:t>
            </w:r>
          </w:p>
        </w:tc>
        <w:tc>
          <w:tcPr>
            <w:tcW w:w="210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1.752,50</w:t>
            </w:r>
          </w:p>
        </w:tc>
        <w:tc>
          <w:tcPr>
            <w:tcW w:w="20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99,57</w:t>
            </w:r>
          </w:p>
        </w:tc>
      </w:tr>
      <w:tr>
        <w:trPr/>
        <w:tc>
          <w:tcPr>
            <w:tcW w:w="294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nevýherné automaty</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200,00</w:t>
            </w:r>
          </w:p>
        </w:tc>
        <w:tc>
          <w:tcPr>
            <w:tcW w:w="210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191,44</w:t>
            </w:r>
          </w:p>
        </w:tc>
        <w:tc>
          <w:tcPr>
            <w:tcW w:w="20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95,72</w:t>
            </w:r>
          </w:p>
        </w:tc>
      </w:tr>
      <w:tr>
        <w:trPr/>
        <w:tc>
          <w:tcPr>
            <w:tcW w:w="294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ubytovanie</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160,00</w:t>
            </w:r>
          </w:p>
        </w:tc>
        <w:tc>
          <w:tcPr>
            <w:tcW w:w="210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150,20</w:t>
            </w:r>
          </w:p>
        </w:tc>
        <w:tc>
          <w:tcPr>
            <w:tcW w:w="20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93,88</w:t>
            </w:r>
          </w:p>
        </w:tc>
      </w:tr>
      <w:tr>
        <w:trPr/>
        <w:tc>
          <w:tcPr>
            <w:tcW w:w="294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Poplatok za TKO</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26.000,00</w:t>
            </w:r>
          </w:p>
        </w:tc>
        <w:tc>
          <w:tcPr>
            <w:tcW w:w="210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22.946,05</w:t>
            </w:r>
          </w:p>
        </w:tc>
        <w:tc>
          <w:tcPr>
            <w:tcW w:w="20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88,25</w:t>
            </w:r>
          </w:p>
        </w:tc>
      </w:tr>
    </w:tbl>
    <w:p>
      <w:pPr>
        <w:pStyle w:val="Normal"/>
        <w:rPr>
          <w:bCs/>
          <w:color w:val="auto"/>
          <w:highlight w:val="lightGray"/>
        </w:rPr>
      </w:pPr>
      <w:r>
        <w:rPr>
          <w:bCs/>
          <w:color w:val="auto"/>
          <w:highlight w:val="lightGray"/>
        </w:rPr>
      </w:r>
    </w:p>
    <w:p>
      <w:pPr>
        <w:pStyle w:val="Normal"/>
        <w:rPr/>
      </w:pPr>
      <w:r>
        <w:rPr>
          <w:bCs/>
          <w:color w:val="CE181E"/>
        </w:rPr>
        <w:t xml:space="preserve">         </w:t>
      </w:r>
      <w:r>
        <w:rPr>
          <w:b/>
          <w:bCs/>
          <w:color w:val="CE181E"/>
          <w:sz w:val="28"/>
          <w:szCs w:val="28"/>
        </w:rPr>
        <w:t xml:space="preserve"> </w:t>
      </w:r>
      <w:r>
        <w:rPr>
          <w:b/>
          <w:bCs/>
          <w:color w:val="auto"/>
          <w:sz w:val="28"/>
          <w:szCs w:val="28"/>
        </w:rPr>
        <w:t>Bežné príjmy – nedaňové</w:t>
      </w:r>
    </w:p>
    <w:tbl>
      <w:tblPr>
        <w:tblW w:w="9420" w:type="dxa"/>
        <w:jc w:val="left"/>
        <w:tblInd w:w="703"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8"/>
        <w:gridCol w:w="3237"/>
        <w:gridCol w:w="2895"/>
      </w:tblGrid>
      <w:tr>
        <w:trPr>
          <w:trHeight w:val="247" w:hRule="atLeast"/>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28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53.658,00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32.032,92</w:t>
            </w:r>
          </w:p>
        </w:tc>
        <w:tc>
          <w:tcPr>
            <w:tcW w:w="28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59,70</w:t>
            </w:r>
          </w:p>
        </w:tc>
      </w:tr>
    </w:tbl>
    <w:p>
      <w:pPr>
        <w:pStyle w:val="Normal"/>
        <w:rPr>
          <w:b/>
          <w:b/>
          <w:bCs/>
          <w:color w:val="CE181E"/>
        </w:rPr>
      </w:pPr>
      <w:r>
        <w:rPr>
          <w:b/>
          <w:bCs/>
          <w:color w:val="CE181E"/>
        </w:rPr>
      </w:r>
    </w:p>
    <w:p>
      <w:pPr>
        <w:pStyle w:val="Normal"/>
        <w:rPr/>
      </w:pPr>
      <w:r>
        <w:rPr>
          <w:b/>
          <w:bCs/>
          <w:color w:val="CE181E"/>
        </w:rPr>
        <w:tab/>
      </w:r>
      <w:r>
        <w:rPr>
          <w:b/>
          <w:bCs/>
          <w:color w:val="auto"/>
        </w:rPr>
        <w:t>1. Príjmy z prenájmu:</w:t>
      </w:r>
    </w:p>
    <w:p>
      <w:pPr>
        <w:pStyle w:val="Normal"/>
        <w:tabs>
          <w:tab w:val="left" w:pos="382" w:leader="none"/>
        </w:tabs>
        <w:ind w:left="0" w:right="0" w:firstLine="360"/>
        <w:jc w:val="both"/>
        <w:rPr>
          <w:color w:val="auto"/>
        </w:rPr>
      </w:pPr>
      <w:r>
        <w:rPr>
          <w:color w:val="auto"/>
        </w:rPr>
        <w:tab/>
        <w:tab/>
        <w:t xml:space="preserve">Z rozpočtovaných 45.060,00 EUR bol skutočný príjem k 31.12.2020 vo výške 26.989,09 </w:t>
        <w:tab/>
        <w:tab/>
        <w:t>EUR, čo predstavuje plnenie na  59,90 %.</w:t>
      </w:r>
    </w:p>
    <w:p>
      <w:pPr>
        <w:pStyle w:val="Normal"/>
        <w:tabs>
          <w:tab w:val="left" w:pos="382" w:leader="none"/>
        </w:tabs>
        <w:ind w:left="0" w:right="0" w:firstLine="360"/>
        <w:jc w:val="both"/>
        <w:rPr>
          <w:color w:val="CE181E"/>
        </w:rPr>
      </w:pPr>
      <w:r>
        <w:rPr>
          <w:color w:val="CE181E"/>
        </w:rPr>
      </w:r>
    </w:p>
    <w:p>
      <w:pPr>
        <w:pStyle w:val="Normal"/>
        <w:rPr/>
      </w:pPr>
      <w:r>
        <w:rPr>
          <w:b/>
          <w:bCs/>
          <w:color w:val="CE181E"/>
        </w:rPr>
        <w:tab/>
      </w:r>
      <w:r>
        <w:rPr>
          <w:b/>
          <w:bCs/>
          <w:color w:val="auto"/>
        </w:rPr>
        <w:t>2. Administratívne - správne poplatky a iné  poplatky:</w:t>
      </w:r>
    </w:p>
    <w:p>
      <w:pPr>
        <w:pStyle w:val="Normal"/>
        <w:tabs>
          <w:tab w:val="left" w:pos="382" w:leader="none"/>
        </w:tabs>
        <w:ind w:left="0" w:right="0" w:firstLine="360"/>
        <w:jc w:val="both"/>
        <w:rPr>
          <w:color w:val="auto"/>
        </w:rPr>
      </w:pPr>
      <w:r>
        <w:rPr>
          <w:color w:val="auto"/>
        </w:rPr>
        <w:tab/>
        <w:tab/>
        <w:t>Z rozpočtovaných 3.000,00 EUR bol skutočný príjem k 31.12.2020 vo výške 2.492,00 EUR,</w:t>
      </w:r>
    </w:p>
    <w:p>
      <w:pPr>
        <w:pStyle w:val="Normal"/>
        <w:tabs>
          <w:tab w:val="left" w:pos="382" w:leader="none"/>
        </w:tabs>
        <w:ind w:left="0" w:right="0" w:firstLine="360"/>
        <w:jc w:val="both"/>
        <w:rPr>
          <w:color w:val="auto"/>
        </w:rPr>
      </w:pPr>
      <w:r>
        <w:rPr>
          <w:color w:val="auto"/>
        </w:rPr>
        <w:tab/>
        <w:tab/>
        <w:t>čo predstavuje plnenie na  83,07%.</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3. Poplatky z predaja</w:t>
      </w:r>
    </w:p>
    <w:p>
      <w:pPr>
        <w:pStyle w:val="Normal"/>
        <w:ind w:left="0" w:right="0" w:firstLine="360"/>
        <w:jc w:val="both"/>
        <w:rPr/>
      </w:pPr>
      <w:r>
        <w:rPr>
          <w:b/>
          <w:bCs/>
          <w:color w:val="auto"/>
        </w:rPr>
        <w:tab/>
      </w:r>
      <w:r>
        <w:rPr>
          <w:color w:val="auto"/>
        </w:rPr>
        <w:t>Z rozpočtovaných 2.545,00 EUR bol skutočný príjem k 31.12.2020 vo výške 788,00 EUR,</w:t>
      </w:r>
    </w:p>
    <w:p>
      <w:pPr>
        <w:pStyle w:val="Normal"/>
        <w:ind w:left="0" w:right="0" w:firstLine="360"/>
        <w:jc w:val="both"/>
        <w:rPr/>
      </w:pPr>
      <w:r>
        <w:rPr>
          <w:color w:val="auto"/>
        </w:rPr>
        <w:t xml:space="preserve"> </w:t>
      </w:r>
      <w:r>
        <w:rPr>
          <w:color w:val="auto"/>
        </w:rPr>
        <w:tab/>
        <w:t>čo predstavuje plnenie na 30,96%.</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4. Úroky z vkladov</w:t>
      </w:r>
    </w:p>
    <w:p>
      <w:pPr>
        <w:pStyle w:val="Normal"/>
        <w:ind w:left="0" w:right="0" w:firstLine="360"/>
        <w:jc w:val="both"/>
        <w:rPr>
          <w:color w:val="auto"/>
        </w:rPr>
      </w:pPr>
      <w:r>
        <w:rPr>
          <w:color w:val="auto"/>
        </w:rPr>
        <w:tab/>
        <w:t>Z rozpočtovaných 3,00 EUR bol skutočný príjem k 31.12.2020 vo výške 0,00 EUR,</w:t>
      </w:r>
    </w:p>
    <w:p>
      <w:pPr>
        <w:pStyle w:val="Normal"/>
        <w:ind w:left="0" w:right="0" w:firstLine="360"/>
        <w:jc w:val="both"/>
        <w:rPr/>
      </w:pPr>
      <w:r>
        <w:rPr>
          <w:color w:val="auto"/>
        </w:rPr>
        <w:t xml:space="preserve"> </w:t>
      </w:r>
      <w:r>
        <w:rPr>
          <w:color w:val="auto"/>
        </w:rPr>
        <w:tab/>
        <w:t>čo predstavuje plnenie na 0,00%</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5. Príjmy z dobropisov a vratiek</w:t>
      </w:r>
    </w:p>
    <w:p>
      <w:pPr>
        <w:pStyle w:val="Normal"/>
        <w:ind w:left="0" w:right="0" w:firstLine="360"/>
        <w:jc w:val="both"/>
        <w:rPr/>
      </w:pPr>
      <w:r>
        <w:rPr>
          <w:color w:val="auto"/>
        </w:rPr>
        <w:t xml:space="preserve">   </w:t>
      </w:r>
      <w:r>
        <w:rPr>
          <w:color w:val="auto"/>
        </w:rPr>
        <w:tab/>
        <w:t>Z rozpočtovaných 3.050,00 EUR bol skutočný príjem k 31.12.2020 vo výške 1.763,83 EUR,</w:t>
      </w:r>
    </w:p>
    <w:p>
      <w:pPr>
        <w:pStyle w:val="Normal"/>
        <w:ind w:left="0" w:right="0" w:firstLine="360"/>
        <w:jc w:val="both"/>
        <w:rPr>
          <w:color w:val="auto"/>
        </w:rPr>
      </w:pPr>
      <w:r>
        <w:rPr>
          <w:color w:val="auto"/>
        </w:rPr>
        <w:tab/>
        <w:t>čo predstavuje plnenie na 57,83%</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ind w:left="0" w:right="0" w:firstLine="360"/>
        <w:jc w:val="both"/>
        <w:rPr/>
      </w:pPr>
      <w:r>
        <w:rPr>
          <w:b/>
          <w:bCs/>
          <w:color w:val="auto"/>
          <w:sz w:val="28"/>
          <w:szCs w:val="28"/>
        </w:rPr>
        <w:t xml:space="preserve">     </w:t>
      </w:r>
      <w:r>
        <w:rPr>
          <w:b/>
          <w:bCs/>
          <w:color w:val="auto"/>
          <w:sz w:val="28"/>
          <w:szCs w:val="28"/>
        </w:rPr>
        <w:t>Granty a transfery</w:t>
      </w:r>
    </w:p>
    <w:tbl>
      <w:tblPr>
        <w:tblW w:w="9358"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37"/>
        <w:gridCol w:w="3226"/>
        <w:gridCol w:w="2895"/>
      </w:tblGrid>
      <w:tr>
        <w:trPr/>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2020</w:t>
            </w:r>
          </w:p>
        </w:tc>
        <w:tc>
          <w:tcPr>
            <w:tcW w:w="322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28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310" w:hRule="atLeast"/>
        </w:trPr>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874.592,00</w:t>
            </w:r>
          </w:p>
        </w:tc>
        <w:tc>
          <w:tcPr>
            <w:tcW w:w="322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843.082,56</w:t>
            </w:r>
          </w:p>
        </w:tc>
        <w:tc>
          <w:tcPr>
            <w:tcW w:w="28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96,40</w:t>
            </w:r>
          </w:p>
        </w:tc>
      </w:tr>
    </w:tbl>
    <w:p>
      <w:pPr>
        <w:pStyle w:val="Normal"/>
        <w:jc w:val="both"/>
        <w:rPr>
          <w:color w:val="auto"/>
        </w:rPr>
      </w:pPr>
      <w:r>
        <w:rPr>
          <w:color w:val="auto"/>
        </w:rPr>
      </w:r>
    </w:p>
    <w:p>
      <w:pPr>
        <w:pStyle w:val="Normal"/>
        <w:rPr/>
      </w:pPr>
      <w:r>
        <w:rPr>
          <w:b/>
          <w:bCs/>
          <w:color w:val="CE181E"/>
        </w:rPr>
        <w:t xml:space="preserve">     </w:t>
      </w:r>
      <w:r>
        <w:rPr>
          <w:b/>
          <w:bCs/>
          <w:color w:val="auto"/>
        </w:rPr>
        <w:t>Obec prijala nasledovné transfery a granty:</w:t>
      </w:r>
    </w:p>
    <w:p>
      <w:pPr>
        <w:pStyle w:val="Normal"/>
        <w:rPr>
          <w:color w:val="CE181E"/>
        </w:rPr>
      </w:pPr>
      <w:r>
        <w:rPr>
          <w:color w:val="CE181E"/>
        </w:rPr>
      </w:r>
    </w:p>
    <w:tbl>
      <w:tblPr>
        <w:tblW w:w="9760" w:type="dxa"/>
        <w:jc w:val="left"/>
        <w:tblInd w:w="34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11"/>
        <w:gridCol w:w="3543"/>
        <w:gridCol w:w="2245"/>
        <w:gridCol w:w="3160"/>
      </w:tblGrid>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 xml:space="preserve">   </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Poskytovateľ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 xml:space="preserve"> </w:t>
            </w:r>
            <w:r>
              <w:rPr>
                <w:color w:val="auto"/>
              </w:rPr>
              <w:t>Suma  v EUR</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 xml:space="preserve">      </w:t>
            </w:r>
            <w:r>
              <w:rPr>
                <w:color w:val="auto"/>
              </w:rPr>
              <w:t xml:space="preserve">Účel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3.286,56</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Register obyvateľ. adries</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Krajský stavebný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1.623,41</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Stavebný úrad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Krajský úrad, cestná dopr.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48,05</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Doprava a komunikácie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974,14</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Voľby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MŽP SR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105,64</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Životné prostredie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zxx" w:eastAsia="zxx" w:bidi="zxx"/>
              </w:rPr>
              <w:t xml:space="preserve">         </w:t>
            </w:r>
            <w:r>
              <w:rPr>
                <w:color w:val="auto"/>
                <w:lang w:val="zxx" w:eastAsia="zxx" w:bidi="zxx"/>
              </w:rPr>
              <w:t>UPSVaR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2.141,43</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Osobitý príjemca</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5.629,44</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Matrika</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Mimo VS</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DHZ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9</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711.466,31</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ZŠ</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10</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2.843,00</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MŠ</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11</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 xml:space="preserve">UPSVaR ZŠ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30.385,20</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ŽS -Stravovacie návyky</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12</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Obvodný úrad</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74.479,81</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Povodne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13</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MŽP SR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4.422,49</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KD – bežné výdavky</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14</w:t>
            </w:r>
          </w:p>
        </w:tc>
        <w:tc>
          <w:tcPr>
            <w:tcW w:w="35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Obvodný úrad</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2.677,08</w:t>
            </w:r>
          </w:p>
        </w:tc>
        <w:tc>
          <w:tcPr>
            <w:tcW w:w="31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COVID</w:t>
            </w:r>
          </w:p>
        </w:tc>
      </w:tr>
    </w:tbl>
    <w:p>
      <w:pPr>
        <w:pStyle w:val="Normal"/>
        <w:tabs>
          <w:tab w:val="left" w:pos="450" w:leader="none"/>
        </w:tabs>
        <w:rPr>
          <w:color w:val="CE181E"/>
        </w:rPr>
      </w:pPr>
      <w:r>
        <w:rPr>
          <w:color w:val="CE181E"/>
        </w:rPr>
      </w:r>
    </w:p>
    <w:p>
      <w:pPr>
        <w:pStyle w:val="Normal"/>
        <w:tabs>
          <w:tab w:val="left" w:pos="450" w:leader="none"/>
        </w:tabs>
        <w:rPr/>
      </w:pPr>
      <w:r>
        <w:rPr>
          <w:color w:val="CE181E"/>
        </w:rPr>
        <w:tab/>
      </w:r>
      <w:r>
        <w:rPr>
          <w:color w:val="auto"/>
        </w:rPr>
        <w:t xml:space="preserve">Prijaté transfery boli účelovo viazané a boli  použité v súlade s ich účelom v plnej výške.  </w:t>
      </w:r>
    </w:p>
    <w:p>
      <w:pPr>
        <w:pStyle w:val="Normal"/>
        <w:tabs>
          <w:tab w:val="left" w:pos="450" w:leader="none"/>
        </w:tabs>
        <w:rPr>
          <w:color w:val="auto"/>
        </w:rPr>
      </w:pPr>
      <w:r>
        <w:rPr>
          <w:color w:val="auto"/>
        </w:rPr>
        <w:tab/>
        <w:t xml:space="preserve">Prijatý transfer z KŠÚ vo výške 711.466,31 EUR na ZŠ nebol v plnej výške roku 2020 </w:t>
        <w:tab/>
        <w:t>vyčerpaný a presúva sa do roku 2021 vo výške 5.835,00 EUR.</w:t>
      </w:r>
    </w:p>
    <w:p>
      <w:pPr>
        <w:pStyle w:val="Normal"/>
        <w:tabs>
          <w:tab w:val="left" w:pos="450" w:leader="none"/>
        </w:tabs>
        <w:rPr/>
      </w:pPr>
      <w:r>
        <w:rPr>
          <w:color w:val="CE181E"/>
        </w:rPr>
        <w:tab/>
      </w:r>
      <w:r>
        <w:rPr>
          <w:color w:val="auto"/>
        </w:rPr>
        <w:t xml:space="preserve">Prijatý transfer z UPSVaR vo výške 30.385,00 EUR na ZŠ – stravovacie návyky nebol v plnej </w:t>
        <w:tab/>
        <w:t>výške roku 2020 vyčerpaný a presúva sa do roku 2021 vo výške 11.010,00 EUR.</w:t>
      </w:r>
    </w:p>
    <w:p>
      <w:pPr>
        <w:pStyle w:val="Normal"/>
        <w:tabs>
          <w:tab w:val="left" w:pos="450" w:leader="none"/>
        </w:tabs>
        <w:rPr>
          <w:color w:val="CE181E"/>
        </w:rPr>
      </w:pPr>
      <w:r>
        <w:rPr>
          <w:color w:val="CE181E"/>
        </w:rPr>
      </w:r>
    </w:p>
    <w:p>
      <w:pPr>
        <w:pStyle w:val="Normal"/>
        <w:numPr>
          <w:ilvl w:val="0"/>
          <w:numId w:val="0"/>
        </w:numPr>
        <w:ind w:left="1080" w:hanging="0"/>
        <w:rPr>
          <w:color w:val="auto"/>
          <w:sz w:val="28"/>
          <w:szCs w:val="28"/>
        </w:rPr>
      </w:pPr>
      <w:r>
        <w:rPr>
          <w:b/>
          <w:bCs/>
          <w:color w:val="auto"/>
          <w:sz w:val="28"/>
          <w:szCs w:val="28"/>
        </w:rPr>
        <w:t>2.2 Kapitálové príjmy</w:t>
      </w:r>
    </w:p>
    <w:p>
      <w:pPr>
        <w:pStyle w:val="Normal"/>
        <w:numPr>
          <w:ilvl w:val="1"/>
          <w:numId w:val="1"/>
        </w:numPr>
        <w:rPr>
          <w:b/>
          <w:b/>
          <w:bCs/>
        </w:rPr>
      </w:pPr>
      <w:r>
        <w:rPr>
          <w:b/>
          <w:bCs/>
        </w:rPr>
      </w:r>
    </w:p>
    <w:tbl>
      <w:tblPr>
        <w:tblW w:w="9307"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12"/>
        <w:gridCol w:w="3970"/>
        <w:gridCol w:w="1825"/>
      </w:tblGrid>
      <w:tr>
        <w:trPr/>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2020</w:t>
            </w:r>
          </w:p>
        </w:tc>
        <w:tc>
          <w:tcPr>
            <w:tcW w:w="397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18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325.150,00</w:t>
            </w:r>
          </w:p>
        </w:tc>
        <w:tc>
          <w:tcPr>
            <w:tcW w:w="397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291.146,47</w:t>
            </w:r>
          </w:p>
        </w:tc>
        <w:tc>
          <w:tcPr>
            <w:tcW w:w="18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89,54</w:t>
            </w:r>
          </w:p>
        </w:tc>
      </w:tr>
    </w:tbl>
    <w:p>
      <w:pPr>
        <w:pStyle w:val="Normal"/>
        <w:ind w:left="0" w:right="0" w:firstLine="708"/>
        <w:rPr>
          <w:color w:val="auto"/>
        </w:rPr>
      </w:pPr>
      <w:r>
        <w:rPr>
          <w:color w:val="auto"/>
        </w:rPr>
      </w:r>
    </w:p>
    <w:p>
      <w:pPr>
        <w:pStyle w:val="Normal"/>
        <w:ind w:left="0" w:right="0" w:firstLine="708"/>
        <w:rPr>
          <w:color w:val="auto"/>
        </w:rPr>
      </w:pPr>
      <w:r>
        <w:rPr>
          <w:color w:val="auto"/>
        </w:rPr>
        <w:t xml:space="preserve">Kapitálové príjmy obce v roku 2020 tvorili príjmy z dotácií na rozvoj obce a </w:t>
      </w:r>
    </w:p>
    <w:p>
      <w:pPr>
        <w:pStyle w:val="Normal"/>
        <w:ind w:left="0" w:right="0" w:firstLine="708"/>
        <w:rPr>
          <w:color w:val="auto"/>
        </w:rPr>
      </w:pPr>
      <w:r>
        <w:rPr>
          <w:color w:val="auto"/>
        </w:rPr>
        <w:t>príjmy z predaja pozemkov:</w:t>
      </w:r>
    </w:p>
    <w:p>
      <w:pPr>
        <w:pStyle w:val="Normal"/>
        <w:ind w:left="0" w:right="0" w:firstLine="708"/>
        <w:rPr>
          <w:color w:val="auto"/>
        </w:rPr>
      </w:pPr>
      <w:r>
        <w:rPr>
          <w:color w:val="auto"/>
        </w:rPr>
        <w:t>- kultúrny dom         14.996,47 EUR</w:t>
      </w:r>
    </w:p>
    <w:p>
      <w:pPr>
        <w:pStyle w:val="Normal"/>
        <w:ind w:left="0" w:right="0" w:firstLine="708"/>
        <w:rPr>
          <w:color w:val="auto"/>
        </w:rPr>
      </w:pPr>
      <w:r>
        <w:rPr>
          <w:color w:val="auto"/>
        </w:rPr>
        <w:t>- bytovky                276.150,00 EUR</w:t>
      </w:r>
    </w:p>
    <w:p>
      <w:pPr>
        <w:pStyle w:val="Normal"/>
        <w:ind w:left="0" w:right="0" w:firstLine="708"/>
        <w:rPr>
          <w:color w:val="auto"/>
        </w:rPr>
      </w:pPr>
      <w:r>
        <w:rPr>
          <w:color w:val="auto"/>
        </w:rPr>
      </w:r>
    </w:p>
    <w:p>
      <w:pPr>
        <w:pStyle w:val="Normal"/>
        <w:numPr>
          <w:ilvl w:val="0"/>
          <w:numId w:val="0"/>
        </w:numPr>
        <w:ind w:left="1125" w:hanging="0"/>
        <w:rPr/>
      </w:pPr>
      <w:r>
        <w:rPr>
          <w:b/>
          <w:color w:val="auto"/>
          <w:sz w:val="28"/>
          <w:szCs w:val="28"/>
        </w:rPr>
        <w:t>2.3 Finančné príjmy</w:t>
      </w:r>
    </w:p>
    <w:p>
      <w:pPr>
        <w:pStyle w:val="Normal"/>
        <w:numPr>
          <w:ilvl w:val="0"/>
          <w:numId w:val="0"/>
        </w:numPr>
        <w:ind w:left="1125" w:hanging="0"/>
        <w:rPr>
          <w:b/>
          <w:b/>
          <w:color w:val="auto"/>
          <w:sz w:val="28"/>
          <w:szCs w:val="28"/>
        </w:rPr>
      </w:pPr>
      <w:r>
        <w:rPr>
          <w:b/>
          <w:color w:val="auto"/>
          <w:sz w:val="28"/>
          <w:szCs w:val="28"/>
        </w:rPr>
      </w:r>
    </w:p>
    <w:tbl>
      <w:tblPr>
        <w:tblW w:w="938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81"/>
        <w:gridCol w:w="3883"/>
        <w:gridCol w:w="1920"/>
      </w:tblGrid>
      <w:tr>
        <w:trPr>
          <w:trHeight w:val="212" w:hRule="atLeast"/>
        </w:trPr>
        <w:tc>
          <w:tcPr>
            <w:tcW w:w="358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2020</w:t>
            </w:r>
          </w:p>
        </w:tc>
        <w:tc>
          <w:tcPr>
            <w:tcW w:w="38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1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8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823.713,00</w:t>
            </w:r>
          </w:p>
        </w:tc>
        <w:tc>
          <w:tcPr>
            <w:tcW w:w="38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751.673,00</w:t>
            </w:r>
          </w:p>
        </w:tc>
        <w:tc>
          <w:tcPr>
            <w:tcW w:w="1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91,25</w:t>
            </w:r>
          </w:p>
        </w:tc>
      </w:tr>
    </w:tbl>
    <w:p>
      <w:pPr>
        <w:pStyle w:val="Normal"/>
        <w:rPr>
          <w:b/>
          <w:b/>
          <w:color w:val="CE181E"/>
          <w:sz w:val="32"/>
          <w:szCs w:val="28"/>
        </w:rPr>
      </w:pPr>
      <w:r>
        <w:rPr>
          <w:b/>
          <w:color w:val="CE181E"/>
          <w:sz w:val="32"/>
          <w:szCs w:val="28"/>
        </w:rPr>
        <w:tab/>
      </w:r>
    </w:p>
    <w:p>
      <w:pPr>
        <w:pStyle w:val="Normal"/>
        <w:rPr/>
      </w:pPr>
      <w:r>
        <w:rPr>
          <w:b/>
          <w:color w:val="CE181E"/>
          <w:sz w:val="32"/>
          <w:szCs w:val="28"/>
        </w:rPr>
        <w:tab/>
      </w:r>
      <w:r>
        <w:rPr>
          <w:b w:val="false"/>
          <w:bCs w:val="false"/>
          <w:color w:val="auto"/>
          <w:sz w:val="24"/>
          <w:szCs w:val="24"/>
        </w:rPr>
        <w:t>Finančné príjmy obce v roku 2020 tvorili nasledovné príjmy:</w:t>
      </w:r>
    </w:p>
    <w:p>
      <w:pPr>
        <w:pStyle w:val="Normal"/>
        <w:rPr>
          <w:b w:val="false"/>
          <w:b w:val="false"/>
          <w:bCs w:val="false"/>
          <w:color w:val="auto"/>
          <w:sz w:val="24"/>
          <w:szCs w:val="24"/>
        </w:rPr>
      </w:pPr>
      <w:r>
        <w:rPr>
          <w:b w:val="false"/>
          <w:bCs w:val="false"/>
          <w:color w:val="auto"/>
          <w:sz w:val="24"/>
          <w:szCs w:val="24"/>
        </w:rPr>
        <w:tab/>
        <w:t>- presun nevyčerpaných prostriedkov 2019</w:t>
        <w:tab/>
        <w:tab/>
        <w:tab/>
        <w:t xml:space="preserve">  32.179,96 EUR</w:t>
      </w:r>
    </w:p>
    <w:p>
      <w:pPr>
        <w:pStyle w:val="Normal"/>
        <w:rPr>
          <w:b w:val="false"/>
          <w:b w:val="false"/>
          <w:bCs w:val="false"/>
          <w:color w:val="auto"/>
          <w:sz w:val="24"/>
          <w:szCs w:val="24"/>
        </w:rPr>
      </w:pPr>
      <w:r>
        <w:rPr>
          <w:b w:val="false"/>
          <w:bCs w:val="false"/>
          <w:color w:val="auto"/>
          <w:sz w:val="24"/>
          <w:szCs w:val="24"/>
        </w:rPr>
        <w:tab/>
        <w:t>- prijatý úver z ČSOB – výstavba bytovky</w:t>
        <w:tab/>
        <w:t xml:space="preserve">                          95.270,00 EUR</w:t>
      </w:r>
    </w:p>
    <w:p>
      <w:pPr>
        <w:pStyle w:val="Normal"/>
        <w:rPr>
          <w:b w:val="false"/>
          <w:b w:val="false"/>
          <w:bCs w:val="false"/>
          <w:color w:val="auto"/>
          <w:sz w:val="24"/>
          <w:szCs w:val="24"/>
        </w:rPr>
      </w:pPr>
      <w:r>
        <w:rPr>
          <w:b w:val="false"/>
          <w:bCs w:val="false"/>
          <w:color w:val="auto"/>
          <w:sz w:val="24"/>
          <w:szCs w:val="24"/>
        </w:rPr>
        <w:tab/>
        <w:t>- prijatý úver SZRB – rekonštrukcia KD                              165.760,04 EUR</w:t>
      </w:r>
    </w:p>
    <w:p>
      <w:pPr>
        <w:pStyle w:val="Normal"/>
        <w:rPr>
          <w:b w:val="false"/>
          <w:b w:val="false"/>
          <w:bCs w:val="false"/>
          <w:color w:val="auto"/>
          <w:sz w:val="24"/>
          <w:szCs w:val="24"/>
        </w:rPr>
      </w:pPr>
      <w:r>
        <w:rPr>
          <w:b w:val="false"/>
          <w:bCs w:val="false"/>
          <w:color w:val="auto"/>
          <w:sz w:val="24"/>
          <w:szCs w:val="24"/>
        </w:rPr>
        <w:tab/>
        <w:t>- preklenovací úver VÚB</w:t>
        <w:tab/>
        <w:tab/>
        <w:tab/>
        <w:tab/>
        <w:tab/>
        <w:t xml:space="preserve">  33.000,00 EUR</w:t>
      </w:r>
    </w:p>
    <w:p>
      <w:pPr>
        <w:pStyle w:val="Normal"/>
        <w:rPr>
          <w:b w:val="false"/>
          <w:b w:val="false"/>
          <w:bCs w:val="false"/>
          <w:color w:val="auto"/>
          <w:sz w:val="24"/>
          <w:szCs w:val="24"/>
        </w:rPr>
      </w:pPr>
      <w:r>
        <w:rPr>
          <w:b w:val="false"/>
          <w:bCs w:val="false"/>
          <w:color w:val="auto"/>
          <w:sz w:val="24"/>
          <w:szCs w:val="24"/>
        </w:rPr>
        <w:tab/>
        <w:t>- návratná finančná výpomoc MFSR</w:t>
        <w:tab/>
        <w:tab/>
        <w:tab/>
        <w:tab/>
        <w:t xml:space="preserve">  28.883,00 EUR</w:t>
      </w:r>
    </w:p>
    <w:p>
      <w:pPr>
        <w:pStyle w:val="Normal"/>
        <w:rPr>
          <w:b w:val="false"/>
          <w:b w:val="false"/>
          <w:bCs w:val="false"/>
          <w:color w:val="auto"/>
          <w:sz w:val="24"/>
          <w:szCs w:val="24"/>
        </w:rPr>
      </w:pPr>
      <w:r>
        <w:rPr>
          <w:b w:val="false"/>
          <w:bCs w:val="false"/>
          <w:color w:val="auto"/>
          <w:sz w:val="24"/>
          <w:szCs w:val="24"/>
        </w:rPr>
        <w:tab/>
        <w:t>- prijatý úver ŠFRB – výstavba bytovky</w:t>
        <w:tab/>
        <w:tab/>
        <w:t xml:space="preserve">            396.580,00 EUR</w:t>
      </w:r>
    </w:p>
    <w:p>
      <w:pPr>
        <w:pStyle w:val="Normal"/>
        <w:rPr>
          <w:b w:val="false"/>
          <w:b w:val="false"/>
          <w:color w:val="auto"/>
          <w:sz w:val="24"/>
          <w:szCs w:val="24"/>
        </w:rPr>
      </w:pPr>
      <w:r>
        <w:rPr>
          <w:b w:val="false"/>
          <w:bCs w:val="false"/>
          <w:color w:val="auto"/>
          <w:sz w:val="24"/>
          <w:szCs w:val="24"/>
        </w:rPr>
        <w:tab/>
      </w:r>
    </w:p>
    <w:p>
      <w:pPr>
        <w:pStyle w:val="Normal"/>
        <w:rPr>
          <w:bCs w:val="false"/>
        </w:rPr>
      </w:pPr>
      <w:r>
        <w:rPr>
          <w:bCs w:val="false"/>
        </w:rPr>
      </w:r>
    </w:p>
    <w:p>
      <w:pPr>
        <w:pStyle w:val="Normal"/>
        <w:rPr>
          <w:bCs w:val="false"/>
        </w:rPr>
      </w:pPr>
      <w:r>
        <w:rPr>
          <w:bCs w:val="false"/>
        </w:rPr>
      </w:r>
    </w:p>
    <w:p>
      <w:pPr>
        <w:pStyle w:val="Odsekzoznamu"/>
        <w:ind w:left="-18" w:right="0" w:hanging="0"/>
        <w:rPr/>
      </w:pPr>
      <w:r>
        <w:rPr>
          <w:b/>
          <w:bCs/>
          <w:color w:val="CE181E"/>
          <w:sz w:val="32"/>
          <w:szCs w:val="32"/>
          <w:lang w:val="sk-SK"/>
        </w:rPr>
        <w:tab/>
        <w:tab/>
        <w:t xml:space="preserve">       </w:t>
      </w:r>
      <w:r>
        <w:rPr>
          <w:rFonts w:cs="Times New Roman"/>
          <w:b/>
          <w:bCs/>
          <w:color w:val="auto"/>
          <w:sz w:val="28"/>
          <w:szCs w:val="28"/>
          <w:lang w:val="sk-SK"/>
        </w:rPr>
        <w:t>2.4  Príjmy rozpočtovej organizácie s právnou subjektivitou - ZŠ</w:t>
      </w:r>
    </w:p>
    <w:tbl>
      <w:tblPr>
        <w:tblW w:w="8791" w:type="dxa"/>
        <w:jc w:val="left"/>
        <w:tblInd w:w="884"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093"/>
        <w:gridCol w:w="3265"/>
        <w:gridCol w:w="1433"/>
      </w:tblGrid>
      <w:tr>
        <w:trPr/>
        <w:tc>
          <w:tcPr>
            <w:tcW w:w="40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14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0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58.000,000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79.293,36</w:t>
            </w:r>
          </w:p>
        </w:tc>
        <w:tc>
          <w:tcPr>
            <w:tcW w:w="14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136,71</w:t>
            </w:r>
          </w:p>
        </w:tc>
      </w:tr>
    </w:tbl>
    <w:p>
      <w:pPr>
        <w:pStyle w:val="Normal"/>
        <w:ind w:left="1440" w:right="0" w:hanging="0"/>
        <w:rPr>
          <w:bCs/>
          <w:smallCaps/>
          <w:color w:val="CE181E"/>
        </w:rPr>
      </w:pPr>
      <w:r>
        <w:rPr>
          <w:bCs/>
          <w:smallCaps/>
          <w:color w:val="CE181E"/>
        </w:rPr>
      </w:r>
    </w:p>
    <w:p>
      <w:pPr>
        <w:pStyle w:val="Normal"/>
        <w:jc w:val="both"/>
        <w:rPr>
          <w:color w:val="auto"/>
        </w:rPr>
      </w:pPr>
      <w:r>
        <w:rPr>
          <w:color w:val="auto"/>
        </w:rPr>
        <w:tab/>
        <w:t xml:space="preserve">Z rozpočtovaných bežných príjmov 58.000,00 EUR bol skutočný príjem k 31.12.2020 </w:t>
        <w:tab/>
      </w:r>
    </w:p>
    <w:p>
      <w:pPr>
        <w:pStyle w:val="Normal"/>
        <w:jc w:val="both"/>
        <w:rPr>
          <w:color w:val="auto"/>
        </w:rPr>
      </w:pPr>
      <w:r>
        <w:rPr>
          <w:color w:val="auto"/>
        </w:rPr>
        <w:tab/>
        <w:t xml:space="preserve">v  sume  79.293,36 EUR, čo predstavuje 136,71% plnenie. </w:t>
      </w:r>
    </w:p>
    <w:p>
      <w:pPr>
        <w:pStyle w:val="Normal"/>
        <w:rPr>
          <w:color w:val="CE181E"/>
        </w:rPr>
      </w:pPr>
      <w:r>
        <w:rPr>
          <w:color w:val="CE181E"/>
        </w:rPr>
      </w:r>
    </w:p>
    <w:p>
      <w:pPr>
        <w:pStyle w:val="Normal"/>
        <w:rPr>
          <w:sz w:val="24"/>
          <w:szCs w:val="24"/>
        </w:rPr>
      </w:pPr>
      <w:r>
        <w:rPr>
          <w:b/>
          <w:color w:val="CE181E"/>
          <w:sz w:val="24"/>
          <w:szCs w:val="24"/>
        </w:rPr>
        <w:tab/>
      </w:r>
      <w:r>
        <w:rPr>
          <w:b/>
          <w:color w:val="auto"/>
          <w:sz w:val="24"/>
          <w:szCs w:val="24"/>
        </w:rPr>
        <w:t>Bežné príjmy rozpočtových organizácií s právnou subjektivitou z toho:</w:t>
      </w:r>
    </w:p>
    <w:p>
      <w:pPr>
        <w:pStyle w:val="Normal"/>
        <w:rPr>
          <w:b/>
          <w:b/>
          <w:color w:val="auto"/>
          <w:sz w:val="24"/>
          <w:szCs w:val="24"/>
        </w:rPr>
      </w:pPr>
      <w:r>
        <w:rPr>
          <w:b/>
          <w:color w:val="auto"/>
          <w:sz w:val="24"/>
          <w:szCs w:val="24"/>
        </w:rPr>
        <w:tab/>
        <w:t xml:space="preserve">Základná škola             </w:t>
        <w:tab/>
        <w:t xml:space="preserve">  79.293,36 EUR</w:t>
      </w:r>
    </w:p>
    <w:p>
      <w:pPr>
        <w:pStyle w:val="Normal"/>
        <w:ind w:left="708" w:hanging="0"/>
        <w:rPr>
          <w:color w:val="EF413D"/>
        </w:rPr>
      </w:pPr>
      <w:r>
        <w:rPr>
          <w:color w:val="EF413D"/>
        </w:rPr>
      </w:r>
    </w:p>
    <w:p>
      <w:pPr>
        <w:pStyle w:val="ListParagraph"/>
        <w:ind w:left="708" w:hanging="0"/>
        <w:jc w:val="left"/>
        <w:rPr>
          <w:sz w:val="32"/>
          <w:szCs w:val="32"/>
        </w:rPr>
      </w:pPr>
      <w:r>
        <w:rPr>
          <w:b/>
          <w:color w:val="auto"/>
          <w:sz w:val="32"/>
          <w:szCs w:val="32"/>
        </w:rPr>
        <w:t>Rozbor čerpania výdavkov za rok 2020</w:t>
      </w:r>
    </w:p>
    <w:p>
      <w:pPr>
        <w:pStyle w:val="Normal"/>
        <w:rPr>
          <w:color w:val="auto"/>
        </w:rPr>
      </w:pPr>
      <w:r>
        <w:rPr>
          <w:color w:val="auto"/>
        </w:rPr>
      </w:r>
    </w:p>
    <w:tbl>
      <w:tblPr>
        <w:tblW w:w="9520" w:type="dxa"/>
        <w:jc w:val="left"/>
        <w:tblInd w:w="34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99"/>
        <w:gridCol w:w="3055"/>
        <w:gridCol w:w="2866"/>
      </w:tblGrid>
      <w:tr>
        <w:trPr/>
        <w:tc>
          <w:tcPr>
            <w:tcW w:w="359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2020</w:t>
            </w:r>
          </w:p>
        </w:tc>
        <w:tc>
          <w:tcPr>
            <w:tcW w:w="305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31.12.2020</w:t>
            </w:r>
          </w:p>
        </w:tc>
        <w:tc>
          <w:tcPr>
            <w:tcW w:w="2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5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2.617.648,40</w:t>
            </w:r>
          </w:p>
        </w:tc>
        <w:tc>
          <w:tcPr>
            <w:tcW w:w="305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2.539.318,29</w:t>
            </w:r>
          </w:p>
        </w:tc>
        <w:tc>
          <w:tcPr>
            <w:tcW w:w="2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97,01</w:t>
            </w:r>
          </w:p>
        </w:tc>
      </w:tr>
    </w:tbl>
    <w:p>
      <w:pPr>
        <w:pStyle w:val="Normal"/>
        <w:ind w:left="360" w:right="0" w:hanging="0"/>
        <w:jc w:val="both"/>
        <w:rPr>
          <w:color w:val="CE181E"/>
        </w:rPr>
      </w:pPr>
      <w:r>
        <w:rPr>
          <w:color w:val="CE181E"/>
        </w:rPr>
      </w:r>
    </w:p>
    <w:p>
      <w:pPr>
        <w:pStyle w:val="Normal"/>
        <w:rPr/>
      </w:pPr>
      <w:r>
        <w:rPr>
          <w:b/>
          <w:color w:val="CE181E"/>
          <w:sz w:val="28"/>
          <w:szCs w:val="28"/>
        </w:rPr>
        <w:tab/>
      </w:r>
      <w:r>
        <w:rPr>
          <w:b/>
          <w:color w:val="auto"/>
          <w:sz w:val="28"/>
          <w:szCs w:val="28"/>
        </w:rPr>
        <w:t xml:space="preserve">2.1 Bežné výdavky </w:t>
      </w:r>
    </w:p>
    <w:p>
      <w:pPr>
        <w:pStyle w:val="Normal"/>
        <w:rPr>
          <w:b/>
          <w:b/>
          <w:color w:val="auto"/>
        </w:rPr>
      </w:pPr>
      <w:r>
        <w:rPr>
          <w:b/>
          <w:color w:val="auto"/>
        </w:rPr>
        <w:t xml:space="preserve"> </w:t>
      </w:r>
    </w:p>
    <w:tbl>
      <w:tblPr>
        <w:tblW w:w="9520" w:type="dxa"/>
        <w:jc w:val="left"/>
        <w:tblInd w:w="34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86"/>
        <w:gridCol w:w="3069"/>
        <w:gridCol w:w="2865"/>
      </w:tblGrid>
      <w:tr>
        <w:trPr/>
        <w:tc>
          <w:tcPr>
            <w:tcW w:w="358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2020</w:t>
            </w:r>
          </w:p>
        </w:tc>
        <w:tc>
          <w:tcPr>
            <w:tcW w:w="306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31.12.2020</w:t>
            </w:r>
          </w:p>
        </w:tc>
        <w:tc>
          <w:tcPr>
            <w:tcW w:w="28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rHeight w:val="190" w:hRule="atLeast"/>
        </w:trPr>
        <w:tc>
          <w:tcPr>
            <w:tcW w:w="358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462.980,00</w:t>
            </w:r>
          </w:p>
        </w:tc>
        <w:tc>
          <w:tcPr>
            <w:tcW w:w="306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436.823,30</w:t>
            </w:r>
          </w:p>
        </w:tc>
        <w:tc>
          <w:tcPr>
            <w:tcW w:w="28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94,35</w:t>
            </w:r>
          </w:p>
        </w:tc>
      </w:tr>
    </w:tbl>
    <w:p>
      <w:pPr>
        <w:pStyle w:val="Normal"/>
        <w:rPr>
          <w:color w:val="CE181E"/>
        </w:rPr>
      </w:pPr>
      <w:r>
        <w:rPr>
          <w:color w:val="CE181E"/>
        </w:rPr>
      </w:r>
    </w:p>
    <w:p>
      <w:pPr>
        <w:pStyle w:val="Normal"/>
        <w:rPr/>
      </w:pPr>
      <w:r>
        <w:rPr>
          <w:color w:val="CE181E"/>
        </w:rPr>
        <w:tab/>
      </w:r>
      <w:r>
        <w:rPr>
          <w:color w:val="auto"/>
        </w:rPr>
        <w:t xml:space="preserve">V tom </w:t>
      </w:r>
      <w:r>
        <w:rPr>
          <w:b/>
          <w:color w:val="auto"/>
        </w:rPr>
        <w:t>:</w:t>
      </w:r>
    </w:p>
    <w:tbl>
      <w:tblPr>
        <w:tblW w:w="10060" w:type="dxa"/>
        <w:jc w:val="left"/>
        <w:tblInd w:w="91"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40"/>
        <w:gridCol w:w="1514"/>
        <w:gridCol w:w="2318"/>
        <w:gridCol w:w="2587"/>
      </w:tblGrid>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Funkčná klasifikácia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color w:val="auto"/>
              </w:rPr>
            </w:pPr>
            <w:r>
              <w:rPr>
                <w:rFonts w:eastAsia="Arial"/>
                <w:color w:val="auto"/>
              </w:rPr>
              <w:t>Výkonné a zákonodarné orgány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216.932,00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208.746,92</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96,23</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Civilná ochrana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4.935,00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4.929,17</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99,88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Ochrana pred požiarmi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4.295,00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2.589,50</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60,29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Cestná doprava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7.660,00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7.623,09</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99,52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Nakladanie s odpadmi a ochrana ŽP</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40.380,00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40.344,82</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Ochrana prírody a krajiny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74.480,00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74.269,81</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bývania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317,84</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23,54</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obce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30.458,00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27.053,52</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88,82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Verejné osvetlenie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8.005,00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7.653,96</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95,61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Všeobecná zdravotná starostlivosť</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2.500,00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540,42</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21,62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Rekreačné a športové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6.440,00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4.783,57</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74,28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Kultúrne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36.711,00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31.618,26</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86,13</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Vysielacie a vydavateľské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15.800,00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15.761,94</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99,76</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Náboženské a iné spoloč.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8.006,00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6.495,97</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81,14</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Vzdelávacie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168,00</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28,00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Staroba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782,00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581,30</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74,34</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Rodina a deti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3.246,00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2.945,21</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90,73</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 xml:space="preserve">Sociálna pomoc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400,00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400,00</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100,00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SPOLU:</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462.980,00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436.823,30</w:t>
            </w:r>
          </w:p>
        </w:tc>
        <w:tc>
          <w:tcPr>
            <w:tcW w:w="25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color w:val="auto"/>
              </w:rPr>
            </w:pPr>
            <w:r>
              <w:rPr>
                <w:b/>
                <w:color w:val="auto"/>
              </w:rPr>
              <w:t>94,35</w:t>
            </w:r>
          </w:p>
        </w:tc>
      </w:tr>
    </w:tbl>
    <w:p>
      <w:pPr>
        <w:pStyle w:val="Normal"/>
        <w:tabs>
          <w:tab w:val="right" w:pos="284" w:leader="none"/>
        </w:tabs>
        <w:ind w:right="0" w:hanging="0"/>
        <w:jc w:val="both"/>
        <w:rPr>
          <w:b/>
          <w:b/>
          <w:color w:val="auto"/>
        </w:rPr>
      </w:pPr>
      <w:r>
        <w:rPr>
          <w:b/>
          <w:color w:val="auto"/>
        </w:rPr>
        <w:t>a) Mzdy, platy, služobné príjmy a ostatné osobné vyrovnania</w:t>
      </w:r>
    </w:p>
    <w:p>
      <w:pPr>
        <w:pStyle w:val="Normal"/>
        <w:tabs>
          <w:tab w:val="left" w:pos="286" w:leader="none"/>
        </w:tabs>
        <w:jc w:val="both"/>
        <w:rPr>
          <w:color w:val="auto"/>
        </w:rPr>
      </w:pPr>
      <w:r>
        <w:rPr>
          <w:color w:val="auto"/>
        </w:rPr>
        <w:tab/>
        <w:t xml:space="preserve">Z rozpočtovaných 107.160,00,- EUR bolo skutočné čerpanie k 31.12.2020 v sume 103.613,92,- </w:t>
        <w:tab/>
        <w:t>EUR, čo je 96,69% čerpanie. Patria sem mzdové prostriedky všetkých pracovníkov obce.</w:t>
      </w:r>
    </w:p>
    <w:p>
      <w:pPr>
        <w:pStyle w:val="Normal"/>
        <w:tabs>
          <w:tab w:val="right" w:pos="284" w:leader="none"/>
        </w:tabs>
        <w:ind w:left="284" w:right="0" w:hanging="284"/>
        <w:jc w:val="both"/>
        <w:rPr>
          <w:b/>
          <w:b/>
          <w:color w:val="auto"/>
        </w:rPr>
      </w:pPr>
      <w:r>
        <w:rPr>
          <w:b/>
          <w:color w:val="auto"/>
        </w:rPr>
        <w:t>b) Poistné a príspevok do poisťovní</w:t>
      </w:r>
    </w:p>
    <w:p>
      <w:pPr>
        <w:pStyle w:val="Normal"/>
        <w:tabs>
          <w:tab w:val="left" w:pos="327" w:leader="none"/>
        </w:tabs>
        <w:ind w:left="53" w:right="0" w:hanging="0"/>
        <w:jc w:val="both"/>
        <w:rPr>
          <w:color w:val="auto"/>
        </w:rPr>
      </w:pPr>
      <w:r>
        <w:rPr>
          <w:color w:val="auto"/>
        </w:rPr>
        <w:tab/>
        <w:t xml:space="preserve">Z rozpočtovaných  43.060,00,- EUR bolo skutočne čerpané k 31.12.2020 v sume 39.946,61,- </w:t>
        <w:tab/>
        <w:t xml:space="preserve">EUR, čo je 92,77% čerpanie. </w:t>
      </w:r>
    </w:p>
    <w:p>
      <w:pPr>
        <w:pStyle w:val="Normal"/>
        <w:tabs>
          <w:tab w:val="right" w:pos="284" w:leader="none"/>
        </w:tabs>
        <w:ind w:left="284" w:right="0" w:hanging="284"/>
        <w:jc w:val="both"/>
        <w:rPr>
          <w:b/>
          <w:b/>
          <w:color w:val="auto"/>
        </w:rPr>
      </w:pPr>
      <w:r>
        <w:rPr>
          <w:b/>
          <w:color w:val="auto"/>
        </w:rPr>
        <w:t>c) Tovary a služby</w:t>
      </w:r>
    </w:p>
    <w:p>
      <w:pPr>
        <w:pStyle w:val="Normal"/>
        <w:tabs>
          <w:tab w:val="left" w:pos="314" w:leader="none"/>
        </w:tabs>
        <w:jc w:val="both"/>
        <w:rPr>
          <w:color w:val="auto"/>
        </w:rPr>
      </w:pPr>
      <w:r>
        <w:rPr>
          <w:color w:val="auto"/>
        </w:rPr>
        <w:tab/>
        <w:t xml:space="preserve">Z rozpočtovaných 285.993,00,- EUR bolo skutočne čerpané k 31.12.2020 v sume 274.039,27,- </w:t>
        <w:tab/>
        <w:t xml:space="preserve">EUR, čo je 95,82 % čerpanie. Ide o prevádzkové výdavky všetkých stredísk OcÚ, ako sú cestovné </w:t>
        <w:tab/>
        <w:t xml:space="preserve">náhrady, energie, materiál, dopravné, rutinná a štandardná údržba, nájomné za nájom a ostatné </w:t>
        <w:tab/>
        <w:t>tovary a služby.</w:t>
      </w:r>
    </w:p>
    <w:p>
      <w:pPr>
        <w:pStyle w:val="Normal"/>
        <w:tabs>
          <w:tab w:val="right" w:pos="284" w:leader="none"/>
        </w:tabs>
        <w:ind w:left="284" w:right="0" w:hanging="284"/>
        <w:jc w:val="both"/>
        <w:rPr>
          <w:b/>
          <w:b/>
          <w:color w:val="auto"/>
        </w:rPr>
      </w:pPr>
      <w:r>
        <w:rPr>
          <w:b/>
          <w:color w:val="auto"/>
        </w:rPr>
        <w:t>d) Bežné transfery</w:t>
      </w:r>
    </w:p>
    <w:p>
      <w:pPr>
        <w:pStyle w:val="Normal"/>
        <w:tabs>
          <w:tab w:val="left" w:pos="286" w:leader="none"/>
        </w:tabs>
        <w:jc w:val="both"/>
        <w:rPr>
          <w:color w:val="auto"/>
        </w:rPr>
      </w:pPr>
      <w:r>
        <w:rPr>
          <w:color w:val="auto"/>
        </w:rPr>
        <w:tab/>
        <w:t xml:space="preserve">Z rozpočtovaných 19.947,00,- EUR bolo skutočne čerpané k 31.12.2020 v sume 14.348,28,- EUR, </w:t>
      </w:r>
    </w:p>
    <w:p>
      <w:pPr>
        <w:pStyle w:val="Normal"/>
        <w:tabs>
          <w:tab w:val="left" w:pos="286" w:leader="none"/>
        </w:tabs>
        <w:jc w:val="both"/>
        <w:rPr>
          <w:color w:val="auto"/>
        </w:rPr>
      </w:pPr>
      <w:r>
        <w:rPr>
          <w:color w:val="auto"/>
        </w:rPr>
        <w:tab/>
        <w:t>čo predstavuje 71,93 % čerpanie.</w:t>
      </w:r>
    </w:p>
    <w:p>
      <w:pPr>
        <w:pStyle w:val="Normal"/>
        <w:tabs>
          <w:tab w:val="left" w:pos="286" w:leader="none"/>
        </w:tabs>
        <w:jc w:val="both"/>
        <w:rPr>
          <w:b/>
          <w:b/>
          <w:bCs/>
          <w:color w:val="auto"/>
        </w:rPr>
      </w:pPr>
      <w:r>
        <w:rPr>
          <w:b/>
          <w:bCs/>
          <w:color w:val="auto"/>
        </w:rPr>
        <w:t>e)  Úroky z úverov</w:t>
      </w:r>
    </w:p>
    <w:p>
      <w:pPr>
        <w:pStyle w:val="Normal"/>
        <w:tabs>
          <w:tab w:val="left" w:pos="286" w:leader="none"/>
        </w:tabs>
        <w:jc w:val="both"/>
        <w:rPr>
          <w:color w:val="auto"/>
        </w:rPr>
      </w:pPr>
      <w:r>
        <w:rPr>
          <w:color w:val="auto"/>
        </w:rPr>
        <w:tab/>
        <w:t xml:space="preserve">Z rozpočtovaných 6.820,00,- EUR bolo skutočne čerpané k 31.12.2020 v sume 4.875,12,- EUR, </w:t>
      </w:r>
    </w:p>
    <w:p>
      <w:pPr>
        <w:pStyle w:val="Normal"/>
        <w:tabs>
          <w:tab w:val="left" w:pos="286" w:leader="none"/>
        </w:tabs>
        <w:jc w:val="both"/>
        <w:rPr>
          <w:b w:val="false"/>
          <w:b w:val="false"/>
          <w:bCs w:val="false"/>
          <w:i w:val="false"/>
          <w:i w:val="false"/>
          <w:iCs w:val="false"/>
          <w:color w:val="auto"/>
        </w:rPr>
      </w:pPr>
      <w:r>
        <w:rPr>
          <w:b w:val="false"/>
          <w:bCs w:val="false"/>
          <w:i w:val="false"/>
          <w:iCs w:val="false"/>
          <w:color w:val="auto"/>
        </w:rPr>
        <w:tab/>
        <w:t>čo predstavuje 71,48% čerpanie.</w:t>
      </w:r>
    </w:p>
    <w:p>
      <w:pPr>
        <w:pStyle w:val="Normal"/>
        <w:rPr>
          <w:b/>
          <w:b/>
          <w:i/>
          <w:i/>
          <w:color w:val="CE181E"/>
        </w:rPr>
      </w:pPr>
      <w:r>
        <w:rPr>
          <w:b/>
          <w:i/>
          <w:color w:val="CE181E"/>
        </w:rPr>
      </w:r>
    </w:p>
    <w:p>
      <w:pPr>
        <w:pStyle w:val="Normal"/>
        <w:rPr/>
      </w:pPr>
      <w:r>
        <w:rPr>
          <w:b/>
          <w:color w:val="CE181E"/>
          <w:sz w:val="32"/>
        </w:rPr>
        <w:tab/>
      </w:r>
      <w:r>
        <w:rPr>
          <w:b/>
          <w:color w:val="auto"/>
          <w:sz w:val="32"/>
        </w:rPr>
        <w:t>2.2 Kapitálové výdavky :</w:t>
      </w:r>
    </w:p>
    <w:p>
      <w:pPr>
        <w:pStyle w:val="Normal"/>
        <w:rPr>
          <w:b/>
          <w:b/>
          <w:color w:val="auto"/>
        </w:rPr>
      </w:pPr>
      <w:r>
        <w:rPr>
          <w:b/>
          <w:color w:val="auto"/>
        </w:rPr>
        <w:t xml:space="preserve"> </w:t>
      </w:r>
    </w:p>
    <w:tbl>
      <w:tblPr>
        <w:tblW w:w="9165" w:type="dxa"/>
        <w:jc w:val="left"/>
        <w:tblInd w:w="593"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75"/>
        <w:gridCol w:w="2713"/>
        <w:gridCol w:w="2877"/>
      </w:tblGrid>
      <w:tr>
        <w:trPr/>
        <w:tc>
          <w:tcPr>
            <w:tcW w:w="35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2020</w:t>
            </w:r>
          </w:p>
        </w:tc>
        <w:tc>
          <w:tcPr>
            <w:tcW w:w="271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31.12.2020</w:t>
            </w:r>
          </w:p>
        </w:tc>
        <w:tc>
          <w:tcPr>
            <w:tcW w:w="2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57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1.200.298,00</w:t>
            </w:r>
          </w:p>
        </w:tc>
        <w:tc>
          <w:tcPr>
            <w:tcW w:w="271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1.057.160,92</w:t>
            </w:r>
          </w:p>
        </w:tc>
        <w:tc>
          <w:tcPr>
            <w:tcW w:w="28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88,07</w:t>
            </w:r>
          </w:p>
        </w:tc>
      </w:tr>
    </w:tbl>
    <w:p>
      <w:pPr>
        <w:pStyle w:val="Normal"/>
        <w:jc w:val="both"/>
        <w:rPr>
          <w:color w:val="auto"/>
        </w:rPr>
      </w:pPr>
      <w:r>
        <w:rPr>
          <w:color w:val="auto"/>
        </w:rPr>
      </w:r>
    </w:p>
    <w:p>
      <w:pPr>
        <w:pStyle w:val="Normal"/>
        <w:ind w:left="0" w:right="0" w:hanging="0"/>
        <w:jc w:val="both"/>
        <w:rPr>
          <w:b/>
          <w:b/>
          <w:color w:val="auto"/>
        </w:rPr>
      </w:pPr>
      <w:r>
        <w:rPr>
          <w:b/>
          <w:color w:val="auto"/>
        </w:rPr>
        <w:tab/>
        <w:t>Ide o nasledovné investičné akcie :</w:t>
      </w:r>
    </w:p>
    <w:p>
      <w:pPr>
        <w:pStyle w:val="Normal"/>
        <w:ind w:left="0" w:right="0" w:hanging="0"/>
        <w:jc w:val="both"/>
        <w:rPr>
          <w:b/>
          <w:b/>
          <w:color w:val="auto"/>
        </w:rPr>
      </w:pPr>
      <w:r>
        <w:rPr>
          <w:b/>
          <w:color w:val="auto"/>
        </w:rPr>
      </w:r>
    </w:p>
    <w:p>
      <w:pPr>
        <w:pStyle w:val="Normal"/>
        <w:ind w:left="0" w:right="0" w:hanging="0"/>
        <w:jc w:val="both"/>
        <w:rPr/>
      </w:pPr>
      <w:r>
        <w:rPr>
          <w:b w:val="false"/>
          <w:bCs w:val="false"/>
          <w:color w:val="auto"/>
        </w:rPr>
        <w:t xml:space="preserve"> </w:t>
      </w:r>
      <w:r>
        <w:rPr>
          <w:b w:val="false"/>
          <w:bCs w:val="false"/>
          <w:color w:val="auto"/>
        </w:rPr>
        <w:tab/>
        <w:t>Nákup pozemku z úveru ČSOB                        33.240,00,- EUR</w:t>
      </w:r>
    </w:p>
    <w:p>
      <w:pPr>
        <w:pStyle w:val="Normal"/>
        <w:ind w:left="0" w:right="0" w:hanging="0"/>
        <w:jc w:val="both"/>
        <w:rPr>
          <w:b w:val="false"/>
          <w:b w:val="false"/>
          <w:bCs w:val="false"/>
          <w:color w:val="auto"/>
        </w:rPr>
      </w:pPr>
      <w:r>
        <w:rPr>
          <w:b w:val="false"/>
          <w:bCs w:val="false"/>
          <w:color w:val="auto"/>
        </w:rPr>
        <w:tab/>
        <w:t>Nákup pozemku – spolufinancovanie</w:t>
        <w:tab/>
        <w:t xml:space="preserve">         483,36,-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zdravotného strediska              </w:t>
        <w:tab/>
        <w:t xml:space="preserve">   7.406,04,-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KD preklenovací úver VÚB  </w:t>
        <w:tab/>
        <w:t xml:space="preserve"> 33.000,00,-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KD vlastné zdroje             </w:t>
        <w:tab/>
        <w:t xml:space="preserve"> 24.217,54,- EUR</w:t>
      </w:r>
    </w:p>
    <w:p>
      <w:pPr>
        <w:pStyle w:val="Normal"/>
        <w:numPr>
          <w:ilvl w:val="0"/>
          <w:numId w:val="2"/>
        </w:numPr>
        <w:tabs>
          <w:tab w:val="left" w:pos="709" w:leader="none"/>
          <w:tab w:val="left" w:pos="5050" w:leader="none"/>
        </w:tabs>
        <w:ind w:left="360" w:right="0" w:hanging="0"/>
        <w:jc w:val="both"/>
        <w:rPr>
          <w:color w:val="auto"/>
        </w:rPr>
      </w:pPr>
      <w:r>
        <w:rPr>
          <w:color w:val="auto"/>
        </w:rPr>
        <w:t xml:space="preserve">Rekonštrukcia KD – úver SZRB              </w:t>
        <w:tab/>
        <w:t xml:space="preserve"> 165.760,04,- EUR</w:t>
      </w:r>
    </w:p>
    <w:p>
      <w:pPr>
        <w:pStyle w:val="Normal"/>
        <w:numPr>
          <w:ilvl w:val="0"/>
          <w:numId w:val="2"/>
        </w:numPr>
        <w:tabs>
          <w:tab w:val="left" w:pos="709" w:leader="none"/>
          <w:tab w:val="left" w:pos="5100" w:leader="none"/>
        </w:tabs>
        <w:ind w:left="360" w:right="0" w:hanging="0"/>
        <w:jc w:val="both"/>
        <w:rPr>
          <w:color w:val="auto"/>
        </w:rPr>
      </w:pPr>
      <w:r>
        <w:rPr>
          <w:color w:val="auto"/>
        </w:rPr>
        <w:t>Výstavba bytovky – dotácia</w:t>
        <w:tab/>
        <w:t>276.150,00,- EUR</w:t>
      </w:r>
    </w:p>
    <w:p>
      <w:pPr>
        <w:pStyle w:val="Normal"/>
        <w:numPr>
          <w:ilvl w:val="0"/>
          <w:numId w:val="2"/>
        </w:numPr>
        <w:tabs>
          <w:tab w:val="left" w:pos="709" w:leader="none"/>
          <w:tab w:val="left" w:pos="5100" w:leader="none"/>
        </w:tabs>
        <w:ind w:left="360" w:right="0" w:hanging="0"/>
        <w:jc w:val="both"/>
        <w:rPr>
          <w:color w:val="auto"/>
        </w:rPr>
      </w:pPr>
      <w:r>
        <w:rPr>
          <w:color w:val="auto"/>
        </w:rPr>
        <w:t xml:space="preserve">Výstavba bytovky - ŠFRB   </w:t>
        <w:tab/>
        <w:t>396.580,00,- EUR</w:t>
      </w:r>
    </w:p>
    <w:p>
      <w:pPr>
        <w:pStyle w:val="Normal"/>
        <w:numPr>
          <w:ilvl w:val="0"/>
          <w:numId w:val="2"/>
        </w:numPr>
        <w:tabs>
          <w:tab w:val="left" w:pos="709" w:leader="none"/>
          <w:tab w:val="left" w:pos="5100" w:leader="none"/>
        </w:tabs>
        <w:ind w:left="360" w:right="0" w:hanging="0"/>
        <w:jc w:val="both"/>
        <w:rPr>
          <w:color w:val="auto"/>
        </w:rPr>
      </w:pPr>
      <w:r>
        <w:rPr>
          <w:color w:val="auto"/>
        </w:rPr>
        <w:t xml:space="preserve">Výstavba bytovky– úver ČSOB               </w:t>
        <w:tab/>
        <w:t xml:space="preserve">  62.030,00,- EUR</w:t>
      </w:r>
    </w:p>
    <w:p>
      <w:pPr>
        <w:pStyle w:val="Normal"/>
        <w:numPr>
          <w:ilvl w:val="0"/>
          <w:numId w:val="2"/>
        </w:numPr>
        <w:tabs>
          <w:tab w:val="left" w:pos="709" w:leader="none"/>
          <w:tab w:val="left" w:pos="5100" w:leader="none"/>
        </w:tabs>
        <w:ind w:left="360" w:right="0" w:hanging="0"/>
        <w:jc w:val="both"/>
        <w:rPr>
          <w:color w:val="auto"/>
        </w:rPr>
      </w:pPr>
      <w:r>
        <w:rPr>
          <w:color w:val="auto"/>
        </w:rPr>
        <w:t xml:space="preserve">Výstavba bytovky – spolufinancovanie   </w:t>
        <w:tab/>
        <w:t xml:space="preserve">    3.571,62,-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Územný plán NFV                                      </w:t>
        <w:tab/>
        <w:t xml:space="preserve">   7.248,00,- EUR</w:t>
      </w:r>
    </w:p>
    <w:p>
      <w:pPr>
        <w:pStyle w:val="Normal"/>
        <w:numPr>
          <w:ilvl w:val="0"/>
          <w:numId w:val="2"/>
        </w:numPr>
        <w:tabs>
          <w:tab w:val="left" w:pos="709" w:leader="none"/>
          <w:tab w:val="left" w:pos="5163" w:leader="none"/>
        </w:tabs>
        <w:ind w:left="360" w:right="0" w:hanging="0"/>
        <w:jc w:val="both"/>
        <w:rPr>
          <w:color w:val="auto"/>
        </w:rPr>
      </w:pPr>
      <w:r>
        <w:rPr>
          <w:color w:val="auto"/>
        </w:rPr>
        <w:t>Javisková technika NFV</w:t>
        <w:tab/>
        <w:t xml:space="preserve"> 21.635,00,- EUR</w:t>
      </w:r>
    </w:p>
    <w:p>
      <w:pPr>
        <w:pStyle w:val="Normal"/>
        <w:numPr>
          <w:ilvl w:val="0"/>
          <w:numId w:val="2"/>
        </w:numPr>
        <w:tabs>
          <w:tab w:val="left" w:pos="709" w:leader="none"/>
          <w:tab w:val="left" w:pos="5163" w:leader="none"/>
        </w:tabs>
        <w:ind w:left="360" w:right="0" w:hanging="0"/>
        <w:jc w:val="both"/>
        <w:rPr>
          <w:color w:val="auto"/>
        </w:rPr>
      </w:pPr>
      <w:r>
        <w:rPr>
          <w:color w:val="auto"/>
        </w:rPr>
        <w:t>Územný plán – spolufinancovanie</w:t>
        <w:tab/>
        <w:t xml:space="preserve">   1.860,00,- EUR</w:t>
      </w:r>
    </w:p>
    <w:p>
      <w:pPr>
        <w:pStyle w:val="Normal"/>
        <w:numPr>
          <w:ilvl w:val="0"/>
          <w:numId w:val="2"/>
        </w:numPr>
        <w:tabs>
          <w:tab w:val="left" w:pos="709" w:leader="none"/>
          <w:tab w:val="left" w:pos="5163" w:leader="none"/>
        </w:tabs>
        <w:ind w:left="360" w:right="0" w:hanging="0"/>
        <w:jc w:val="both"/>
        <w:rPr>
          <w:color w:val="auto"/>
        </w:rPr>
      </w:pPr>
      <w:r>
        <w:rPr>
          <w:color w:val="auto"/>
        </w:rPr>
        <w:t>Detské ihrisko- dotácia 2019</w:t>
        <w:tab/>
        <w:t xml:space="preserve">   8.000,00,- EUR</w:t>
      </w:r>
    </w:p>
    <w:p>
      <w:pPr>
        <w:pStyle w:val="Normal"/>
        <w:numPr>
          <w:ilvl w:val="0"/>
          <w:numId w:val="2"/>
        </w:numPr>
        <w:tabs>
          <w:tab w:val="left" w:pos="709" w:leader="none"/>
          <w:tab w:val="left" w:pos="5163" w:leader="none"/>
        </w:tabs>
        <w:ind w:left="360" w:right="0" w:hanging="0"/>
        <w:jc w:val="both"/>
        <w:rPr>
          <w:color w:val="auto"/>
        </w:rPr>
      </w:pPr>
      <w:r>
        <w:rPr>
          <w:color w:val="auto"/>
        </w:rPr>
        <w:t>Detské ihrisko – spolufinancovanie</w:t>
        <w:tab/>
        <w:t xml:space="preserve">   3.714,40,- EUR</w:t>
      </w:r>
    </w:p>
    <w:p>
      <w:pPr>
        <w:pStyle w:val="Normal"/>
        <w:numPr>
          <w:ilvl w:val="0"/>
          <w:numId w:val="2"/>
        </w:numPr>
        <w:tabs>
          <w:tab w:val="left" w:pos="709" w:leader="none"/>
          <w:tab w:val="left" w:pos="5163" w:leader="none"/>
        </w:tabs>
        <w:ind w:left="360" w:right="0" w:hanging="0"/>
        <w:jc w:val="both"/>
        <w:rPr>
          <w:color w:val="auto"/>
        </w:rPr>
      </w:pPr>
      <w:r>
        <w:rPr>
          <w:color w:val="auto"/>
        </w:rPr>
        <w:t>Kamerový systém – dotácia 2019</w:t>
        <w:tab/>
        <w:t xml:space="preserve">   7.000,00,- EUR</w:t>
      </w:r>
    </w:p>
    <w:p>
      <w:pPr>
        <w:pStyle w:val="Normal"/>
        <w:numPr>
          <w:ilvl w:val="0"/>
          <w:numId w:val="2"/>
        </w:numPr>
        <w:tabs>
          <w:tab w:val="left" w:pos="709" w:leader="none"/>
          <w:tab w:val="left" w:pos="5163" w:leader="none"/>
        </w:tabs>
        <w:ind w:left="360" w:right="0" w:hanging="0"/>
        <w:jc w:val="both"/>
        <w:rPr>
          <w:color w:val="auto"/>
        </w:rPr>
      </w:pPr>
      <w:r>
        <w:rPr>
          <w:color w:val="auto"/>
        </w:rPr>
        <w:t>Kamerový systém – spolufinancovanie</w:t>
        <w:tab/>
        <w:t xml:space="preserve">   4.074,20,- EUR</w:t>
      </w:r>
    </w:p>
    <w:p>
      <w:pPr>
        <w:pStyle w:val="Normal"/>
        <w:numPr>
          <w:ilvl w:val="0"/>
          <w:numId w:val="2"/>
        </w:numPr>
        <w:tabs>
          <w:tab w:val="left" w:pos="709" w:leader="none"/>
        </w:tabs>
        <w:ind w:left="360" w:right="0" w:hanging="0"/>
        <w:jc w:val="both"/>
        <w:rPr>
          <w:color w:val="auto"/>
        </w:rPr>
      </w:pPr>
      <w:r>
        <w:rPr>
          <w:color w:val="auto"/>
        </w:rPr>
        <w:t>Projektové dokumentácie – kanalizácia</w:t>
        <w:tab/>
        <w:t xml:space="preserve">       1.190,72,- EUR</w:t>
      </w:r>
    </w:p>
    <w:p>
      <w:pPr>
        <w:pStyle w:val="Normal"/>
        <w:numPr>
          <w:ilvl w:val="0"/>
          <w:numId w:val="0"/>
        </w:numPr>
        <w:tabs>
          <w:tab w:val="left" w:pos="709" w:leader="none"/>
        </w:tabs>
        <w:ind w:left="1080" w:right="0" w:hanging="0"/>
        <w:jc w:val="both"/>
        <w:rPr>
          <w:color w:val="auto"/>
        </w:rPr>
      </w:pPr>
      <w:r>
        <w:rPr>
          <w:color w:val="auto"/>
        </w:rPr>
      </w:r>
    </w:p>
    <w:p>
      <w:pPr>
        <w:pStyle w:val="Normal"/>
        <w:tabs>
          <w:tab w:val="left" w:pos="567" w:leader="none"/>
          <w:tab w:val="right" w:pos="5580" w:leader="none"/>
        </w:tabs>
        <w:ind w:left="567" w:right="0" w:hanging="0"/>
        <w:jc w:val="both"/>
        <w:rPr>
          <w:color w:val="CE181E"/>
        </w:rPr>
      </w:pPr>
      <w:r>
        <w:rPr>
          <w:color w:val="CE181E"/>
        </w:rPr>
      </w:r>
    </w:p>
    <w:p>
      <w:pPr>
        <w:pStyle w:val="Normal"/>
        <w:ind w:left="567" w:right="0" w:hanging="0"/>
        <w:rPr>
          <w:b/>
          <w:b/>
          <w:color w:val="auto"/>
          <w:sz w:val="32"/>
        </w:rPr>
      </w:pPr>
      <w:r>
        <w:rPr>
          <w:b/>
          <w:color w:val="auto"/>
          <w:sz w:val="32"/>
        </w:rPr>
        <w:t>2.3 Výdavkové  finančné operácie :</w:t>
      </w:r>
    </w:p>
    <w:p>
      <w:pPr>
        <w:pStyle w:val="Normal"/>
        <w:jc w:val="both"/>
        <w:rPr>
          <w:color w:val="auto"/>
        </w:rPr>
      </w:pPr>
      <w:r>
        <w:rPr>
          <w:color w:val="auto"/>
        </w:rPr>
        <w:t xml:space="preserve">     </w:t>
      </w:r>
    </w:p>
    <w:tbl>
      <w:tblPr>
        <w:tblW w:w="9215" w:type="dxa"/>
        <w:jc w:val="left"/>
        <w:tblInd w:w="543"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737"/>
        <w:gridCol w:w="2950"/>
        <w:gridCol w:w="2528"/>
      </w:tblGrid>
      <w:tr>
        <w:trPr/>
        <w:tc>
          <w:tcPr>
            <w:tcW w:w="3737"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2020</w:t>
            </w:r>
          </w:p>
        </w:tc>
        <w:tc>
          <w:tcPr>
            <w:tcW w:w="295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31.12.2020</w:t>
            </w:r>
          </w:p>
        </w:tc>
        <w:tc>
          <w:tcPr>
            <w:tcW w:w="25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7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75.821,00</w:t>
            </w:r>
          </w:p>
        </w:tc>
        <w:tc>
          <w:tcPr>
            <w:tcW w:w="29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42.773,44</w:t>
            </w:r>
          </w:p>
        </w:tc>
        <w:tc>
          <w:tcPr>
            <w:tcW w:w="25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56,41</w:t>
            </w:r>
          </w:p>
        </w:tc>
      </w:tr>
    </w:tbl>
    <w:p>
      <w:pPr>
        <w:pStyle w:val="Normal"/>
        <w:jc w:val="both"/>
        <w:rPr>
          <w:color w:val="auto"/>
        </w:rPr>
      </w:pPr>
      <w:r>
        <w:rPr>
          <w:color w:val="auto"/>
        </w:rPr>
      </w:r>
    </w:p>
    <w:p>
      <w:pPr>
        <w:pStyle w:val="Normal"/>
        <w:jc w:val="both"/>
        <w:rPr>
          <w:color w:val="auto"/>
        </w:rPr>
      </w:pPr>
      <w:r>
        <w:rPr>
          <w:color w:val="auto"/>
        </w:rPr>
        <w:tab/>
        <w:t xml:space="preserve">Z rozpočtovaných výdavkových finančných operácií vo výške 75.821,00,- EUR bolo skutočné </w:t>
        <w:tab/>
        <w:t>čerpanie k 31.12.2020 vo výške 42.773,44,- EUR, čo predstavuje plnenie na 56,41 %</w:t>
      </w:r>
    </w:p>
    <w:p>
      <w:pPr>
        <w:pStyle w:val="Normal"/>
        <w:tabs>
          <w:tab w:val="left" w:pos="630" w:leader="none"/>
        </w:tabs>
        <w:jc w:val="both"/>
        <w:rPr>
          <w:color w:val="auto"/>
        </w:rPr>
      </w:pPr>
      <w:r>
        <w:rPr>
          <w:color w:val="auto"/>
        </w:rPr>
        <w:tab/>
        <w:t>Čerpanie výdavkových finančných operácii tvorili najmä splátky úverov:</w:t>
      </w:r>
    </w:p>
    <w:p>
      <w:pPr>
        <w:pStyle w:val="Normal"/>
        <w:tabs>
          <w:tab w:val="left" w:pos="630" w:leader="none"/>
        </w:tabs>
        <w:jc w:val="both"/>
        <w:rPr>
          <w:color w:val="auto"/>
        </w:rPr>
      </w:pPr>
      <w:r>
        <w:rPr>
          <w:color w:val="auto"/>
        </w:rPr>
        <w:tab/>
        <w:t>- splátky ŠFRB vo výške                                             7.052,44,- EUR</w:t>
      </w:r>
    </w:p>
    <w:p>
      <w:pPr>
        <w:pStyle w:val="Normal"/>
        <w:tabs>
          <w:tab w:val="left" w:pos="630" w:leader="none"/>
        </w:tabs>
        <w:jc w:val="both"/>
        <w:rPr>
          <w:color w:val="auto"/>
        </w:rPr>
      </w:pPr>
      <w:r>
        <w:rPr>
          <w:color w:val="auto"/>
        </w:rPr>
        <w:tab/>
        <w:t>- splátky bankového úveru SZRB vo výške              24.420,00,- EUR</w:t>
      </w:r>
    </w:p>
    <w:p>
      <w:pPr>
        <w:pStyle w:val="Normal"/>
        <w:tabs>
          <w:tab w:val="left" w:pos="625" w:leader="none"/>
        </w:tabs>
        <w:jc w:val="both"/>
        <w:rPr/>
      </w:pPr>
      <w:r>
        <w:rPr>
          <w:color w:val="ED1C24"/>
        </w:rPr>
        <w:tab/>
      </w:r>
      <w:r>
        <w:rPr>
          <w:color w:val="auto"/>
        </w:rPr>
        <w:t>- splátky bankového úveru ČSOB vo výške               3.501,00,-  EUR</w:t>
      </w:r>
    </w:p>
    <w:p>
      <w:pPr>
        <w:pStyle w:val="Normal"/>
        <w:tabs>
          <w:tab w:val="left" w:pos="625" w:leader="none"/>
        </w:tabs>
        <w:jc w:val="both"/>
        <w:rPr>
          <w:color w:val="auto"/>
        </w:rPr>
      </w:pPr>
      <w:r>
        <w:rPr>
          <w:color w:val="auto"/>
        </w:rPr>
        <w:tab/>
        <w:t>- postúpenie finančné zábezpeky byty SBD vo výške 7.800,00,- EUR</w:t>
      </w:r>
    </w:p>
    <w:p>
      <w:pPr>
        <w:pStyle w:val="Normal"/>
        <w:jc w:val="both"/>
        <w:rPr>
          <w:color w:val="auto"/>
        </w:rPr>
      </w:pPr>
      <w:r>
        <w:rPr>
          <w:color w:val="auto"/>
        </w:rPr>
      </w:r>
    </w:p>
    <w:p>
      <w:pPr>
        <w:pStyle w:val="Normal"/>
        <w:tabs>
          <w:tab w:val="left" w:pos="573" w:leader="none"/>
        </w:tabs>
        <w:rPr>
          <w:b/>
          <w:b/>
          <w:bCs/>
          <w:color w:val="CE181E"/>
          <w:sz w:val="32"/>
          <w:szCs w:val="32"/>
        </w:rPr>
      </w:pPr>
      <w:r>
        <w:rPr>
          <w:b/>
          <w:bCs/>
          <w:color w:val="CE181E"/>
          <w:sz w:val="32"/>
          <w:szCs w:val="32"/>
        </w:rPr>
        <w:tab/>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b/>
          <w:b/>
          <w:bCs/>
          <w:color w:val="auto"/>
          <w:sz w:val="32"/>
          <w:szCs w:val="32"/>
        </w:rPr>
      </w:pPr>
      <w:r>
        <w:rPr>
          <w:b/>
          <w:bCs/>
          <w:color w:val="auto"/>
          <w:sz w:val="32"/>
          <w:szCs w:val="32"/>
        </w:rPr>
        <w:tab/>
        <w:t>2.4 Výdavky rozpočtovej organizácie s právnou subjektivitou – ZŠ</w:t>
      </w:r>
    </w:p>
    <w:p>
      <w:pPr>
        <w:pStyle w:val="Normal"/>
        <w:rPr>
          <w:b/>
          <w:b/>
          <w:bCs/>
          <w:color w:val="CE181E"/>
          <w:sz w:val="28"/>
        </w:rPr>
      </w:pPr>
      <w:r>
        <w:rPr>
          <w:b/>
          <w:bCs/>
          <w:color w:val="CE181E"/>
          <w:sz w:val="28"/>
        </w:rPr>
      </w:r>
    </w:p>
    <w:tbl>
      <w:tblPr>
        <w:tblW w:w="8889" w:type="dxa"/>
        <w:jc w:val="left"/>
        <w:tblInd w:w="86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571"/>
        <w:gridCol w:w="2717"/>
        <w:gridCol w:w="1601"/>
      </w:tblGrid>
      <w:tr>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2020</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31.12.2020</w:t>
            </w:r>
          </w:p>
        </w:tc>
        <w:tc>
          <w:tcPr>
            <w:tcW w:w="1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878.549,40</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1.002.560,63</w:t>
            </w:r>
          </w:p>
        </w:tc>
        <w:tc>
          <w:tcPr>
            <w:tcW w:w="1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114,12</w:t>
            </w:r>
          </w:p>
        </w:tc>
      </w:tr>
    </w:tbl>
    <w:p>
      <w:pPr>
        <w:pStyle w:val="Normal"/>
        <w:rPr>
          <w:bCs/>
          <w:color w:val="CE181E"/>
        </w:rPr>
      </w:pPr>
      <w:r>
        <w:rPr>
          <w:bCs/>
          <w:color w:val="CE181E"/>
        </w:rPr>
      </w:r>
    </w:p>
    <w:p>
      <w:pPr>
        <w:pStyle w:val="Normal"/>
        <w:rPr/>
      </w:pPr>
      <w:r>
        <w:rPr>
          <w:b/>
          <w:bCs/>
          <w:color w:val="CE181E"/>
        </w:rPr>
        <w:tab/>
      </w:r>
      <w:r>
        <w:rPr>
          <w:b/>
          <w:bCs/>
          <w:color w:val="auto"/>
        </w:rPr>
        <w:t xml:space="preserve">1.  Mzdy, ostatné osobné vyrovnania </w:t>
      </w:r>
    </w:p>
    <w:p>
      <w:pPr>
        <w:pStyle w:val="Normal"/>
        <w:ind w:left="0" w:right="0" w:firstLine="360"/>
        <w:jc w:val="both"/>
        <w:rPr/>
      </w:pPr>
      <w:r>
        <w:rPr>
          <w:color w:val="auto"/>
        </w:rPr>
        <w:tab/>
        <w:t>Z rozpočtovaných 514.032,22 EUR bolo skutočné plnenie k 31.12.2020</w:t>
      </w:r>
      <w:r>
        <w:rPr>
          <w:color w:val="CE181E"/>
        </w:rPr>
        <w:t xml:space="preserve"> </w:t>
      </w:r>
      <w:r>
        <w:rPr>
          <w:color w:val="auto"/>
        </w:rPr>
        <w:t>vo výške</w:t>
      </w:r>
    </w:p>
    <w:p>
      <w:pPr>
        <w:pStyle w:val="Normal"/>
        <w:ind w:left="0" w:right="0" w:firstLine="360"/>
        <w:jc w:val="both"/>
        <w:rPr>
          <w:color w:val="auto"/>
        </w:rPr>
      </w:pPr>
      <w:r>
        <w:rPr>
          <w:color w:val="auto"/>
        </w:rPr>
        <w:tab/>
        <w:t xml:space="preserve">585.446,80 EUR, čo predstavuje plnenie  na 113,89 %.  </w:t>
      </w:r>
    </w:p>
    <w:p>
      <w:pPr>
        <w:pStyle w:val="Normal"/>
        <w:ind w:left="0" w:right="0" w:firstLine="360"/>
        <w:jc w:val="both"/>
        <w:rPr>
          <w:color w:val="auto"/>
        </w:rPr>
      </w:pPr>
      <w:r>
        <w:rPr>
          <w:color w:val="auto"/>
        </w:rPr>
      </w:r>
    </w:p>
    <w:p>
      <w:pPr>
        <w:pStyle w:val="Normal"/>
        <w:ind w:left="0" w:right="0" w:firstLine="360"/>
        <w:jc w:val="both"/>
        <w:rPr>
          <w:b/>
          <w:b/>
          <w:bCs/>
          <w:color w:val="auto"/>
        </w:rPr>
      </w:pPr>
      <w:r>
        <w:rPr>
          <w:b/>
          <w:bCs/>
          <w:color w:val="auto"/>
        </w:rPr>
        <w:tab/>
        <w:t>2.  Odvody do poisťovní</w:t>
      </w:r>
    </w:p>
    <w:p>
      <w:pPr>
        <w:pStyle w:val="Normal"/>
        <w:rPr/>
      </w:pPr>
      <w:r>
        <w:rPr>
          <w:b/>
          <w:bCs/>
          <w:color w:val="auto"/>
        </w:rPr>
        <w:tab/>
      </w:r>
      <w:r>
        <w:rPr>
          <w:color w:val="auto"/>
        </w:rPr>
        <w:t>Z rozpočtovaných 183.934,18 EUR bolo skutočné plnenie k 31.12.2020 vo výške</w:t>
      </w:r>
    </w:p>
    <w:p>
      <w:pPr>
        <w:pStyle w:val="Normal"/>
        <w:rPr>
          <w:color w:val="auto"/>
        </w:rPr>
      </w:pPr>
      <w:r>
        <w:rPr>
          <w:color w:val="auto"/>
        </w:rPr>
        <w:tab/>
        <w:t xml:space="preserve">201.021,01 EUR, čo </w:t>
        <w:tab/>
        <w:t xml:space="preserve">predstavuje plnenie  na  109,29 %.  </w:t>
      </w:r>
    </w:p>
    <w:p>
      <w:pPr>
        <w:pStyle w:val="Normal"/>
        <w:rPr>
          <w:color w:val="CE181E"/>
        </w:rPr>
      </w:pPr>
      <w:r>
        <w:rPr>
          <w:color w:val="CE181E"/>
        </w:rPr>
      </w:r>
    </w:p>
    <w:p>
      <w:pPr>
        <w:pStyle w:val="Normal"/>
        <w:rPr>
          <w:b/>
          <w:b/>
          <w:bCs/>
          <w:color w:val="auto"/>
        </w:rPr>
      </w:pPr>
      <w:r>
        <w:rPr>
          <w:b/>
          <w:bCs/>
          <w:color w:val="auto"/>
        </w:rPr>
        <w:tab/>
        <w:t>3.  Tovary a služby</w:t>
      </w:r>
    </w:p>
    <w:p>
      <w:pPr>
        <w:pStyle w:val="Normal"/>
        <w:ind w:left="0" w:right="0" w:firstLine="360"/>
        <w:jc w:val="both"/>
        <w:rPr>
          <w:color w:val="auto"/>
        </w:rPr>
      </w:pPr>
      <w:r>
        <w:rPr>
          <w:color w:val="auto"/>
        </w:rPr>
        <w:tab/>
        <w:t xml:space="preserve">Z rozpočtovaných 167.547,00 EUR bolo skutočné plnenie k 31.12.2020 vo výške 200.496,03 </w:t>
        <w:tab/>
        <w:t xml:space="preserve">EUR, čo prestavuje plnenie na 119,67 %. Sú tu zahrnuté  prevádzkové náklady a to cestovné </w:t>
        <w:tab/>
        <w:t>náklady, energia, voda, dopravné, materiál, náklady sa údržbu a ostatné tovary a služby.</w:t>
      </w:r>
    </w:p>
    <w:p>
      <w:pPr>
        <w:pStyle w:val="Normal"/>
        <w:ind w:left="0" w:right="0" w:firstLine="360"/>
        <w:jc w:val="both"/>
        <w:rPr>
          <w:color w:val="auto"/>
        </w:rPr>
      </w:pPr>
      <w:r>
        <w:rPr>
          <w:color w:val="auto"/>
        </w:rPr>
      </w:r>
    </w:p>
    <w:p>
      <w:pPr>
        <w:pStyle w:val="Normal"/>
        <w:tabs>
          <w:tab w:val="right" w:pos="284" w:leader="none"/>
        </w:tabs>
        <w:ind w:left="284" w:right="0" w:hanging="284"/>
        <w:jc w:val="both"/>
        <w:rPr>
          <w:b/>
          <w:b/>
          <w:color w:val="auto"/>
        </w:rPr>
      </w:pPr>
      <w:r>
        <w:rPr>
          <w:b/>
          <w:color w:val="auto"/>
        </w:rPr>
        <w:tab/>
        <w:tab/>
        <w:t>4.  Bežné transfery</w:t>
      </w:r>
    </w:p>
    <w:p>
      <w:pPr>
        <w:pStyle w:val="Normal"/>
        <w:tabs>
          <w:tab w:val="left" w:pos="286" w:leader="none"/>
        </w:tabs>
        <w:jc w:val="both"/>
        <w:rPr>
          <w:color w:val="auto"/>
        </w:rPr>
      </w:pPr>
      <w:r>
        <w:rPr>
          <w:color w:val="auto"/>
        </w:rPr>
        <w:tab/>
        <w:tab/>
        <w:t xml:space="preserve">Z rozpočtovaných 13.036,00 EUR bolo skutočne čerpané k 31.12.2020 v sume 15.596,79 </w:t>
        <w:tab/>
        <w:tab/>
        <w:t>EUR,</w:t>
      </w:r>
      <w:r>
        <w:rPr>
          <w:b w:val="false"/>
          <w:bCs w:val="false"/>
          <w:color w:val="auto"/>
        </w:rPr>
        <w:t xml:space="preserve"> čo predstavuje 119,64 % čerpanie.</w:t>
      </w:r>
    </w:p>
    <w:p>
      <w:pPr>
        <w:pStyle w:val="Normal"/>
        <w:tabs>
          <w:tab w:val="right" w:pos="1134" w:leader="none"/>
        </w:tabs>
        <w:jc w:val="both"/>
        <w:rPr>
          <w:b/>
          <w:b/>
          <w:bCs/>
          <w:color w:val="ED1C24"/>
          <w:highlight w:val="red"/>
        </w:rPr>
      </w:pPr>
      <w:r>
        <w:rPr>
          <w:b/>
          <w:bCs/>
          <w:color w:val="ED1C24"/>
          <w:highlight w:val="red"/>
        </w:rPr>
      </w:r>
    </w:p>
    <w:p>
      <w:pPr>
        <w:pStyle w:val="Normal"/>
        <w:rPr>
          <w:b/>
          <w:b/>
          <w:bCs/>
          <w:color w:val="ED1C24"/>
          <w:highlight w:val="red"/>
        </w:rPr>
      </w:pPr>
      <w:r>
        <w:rPr>
          <w:b/>
          <w:bCs/>
          <w:color w:val="ED1C24"/>
          <w:highlight w:val="red"/>
        </w:rPr>
      </w:r>
    </w:p>
    <w:p>
      <w:pPr>
        <w:pStyle w:val="Normal"/>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bCs/>
          <w:color w:val="ED1C24"/>
          <w:sz w:val="28"/>
          <w:szCs w:val="28"/>
        </w:rPr>
      </w:pPr>
      <w:r>
        <w:rPr>
          <w:b/>
          <w:bCs/>
          <w:color w:val="ED1C24"/>
          <w:sz w:val="28"/>
          <w:szCs w:val="28"/>
        </w:rPr>
      </w:r>
    </w:p>
    <w:p>
      <w:pPr>
        <w:pStyle w:val="Normal"/>
        <w:numPr>
          <w:ilvl w:val="0"/>
          <w:numId w:val="0"/>
        </w:numPr>
        <w:tabs>
          <w:tab w:val="left" w:pos="-3060" w:leader="none"/>
          <w:tab w:val="right" w:pos="5040" w:leader="none"/>
        </w:tabs>
        <w:ind w:left="720" w:hanging="0"/>
        <w:jc w:val="left"/>
        <w:rPr/>
      </w:pPr>
      <w:r>
        <w:rPr>
          <w:b/>
          <w:bCs/>
          <w:color w:val="auto"/>
          <w:sz w:val="28"/>
          <w:szCs w:val="28"/>
        </w:rPr>
        <w:t>3.</w:t>
      </w:r>
      <w:r>
        <w:rPr>
          <w:b w:val="false"/>
          <w:bCs w:val="false"/>
          <w:color w:val="auto"/>
          <w:sz w:val="28"/>
          <w:szCs w:val="28"/>
        </w:rPr>
        <w:t xml:space="preserve">  </w:t>
      </w:r>
      <w:r>
        <w:rPr>
          <w:b/>
          <w:color w:val="auto"/>
          <w:sz w:val="28"/>
          <w:szCs w:val="28"/>
        </w:rPr>
        <w:t>Hospodárenie  obce  a rozdelenie výsledku hospodárenia  za rok 2020</w:t>
      </w:r>
    </w:p>
    <w:p>
      <w:pPr>
        <w:pStyle w:val="Normal"/>
        <w:numPr>
          <w:ilvl w:val="0"/>
          <w:numId w:val="0"/>
        </w:numPr>
        <w:tabs>
          <w:tab w:val="left" w:pos="-3060" w:leader="none"/>
          <w:tab w:val="right" w:pos="5040" w:leader="none"/>
        </w:tabs>
        <w:ind w:left="720" w:hanging="0"/>
        <w:jc w:val="left"/>
        <w:rPr>
          <w:b/>
          <w:b/>
          <w:color w:val="auto"/>
          <w:sz w:val="28"/>
          <w:szCs w:val="28"/>
        </w:rPr>
      </w:pPr>
      <w:r>
        <w:rPr/>
      </w:r>
    </w:p>
    <w:p>
      <w:pPr>
        <w:pStyle w:val="Normal"/>
        <w:tabs>
          <w:tab w:val="left" w:pos="-3060" w:leader="none"/>
          <w:tab w:val="right" w:pos="5040" w:leader="none"/>
        </w:tabs>
        <w:rPr>
          <w:color w:val="ED1C24"/>
        </w:rPr>
      </w:pPr>
      <w:r>
        <w:rPr>
          <w:color w:val="ED1C24"/>
        </w:rPr>
        <w:object>
          <v:shape id="ole_rId8" style="width:516.8pt;height:697.55pt" o:ole="">
            <v:imagedata r:id="rId9" o:title=""/>
          </v:shape>
          <o:OLEObject Type="Embed" ProgID="Excel.Sheet.12" ShapeID="ole_rId8" DrawAspect="Content" ObjectID="_1551378813" r:id="rId8"/>
        </w:object>
      </w:r>
    </w:p>
    <w:p>
      <w:pPr>
        <w:pStyle w:val="Normal"/>
        <w:tabs>
          <w:tab w:val="left" w:pos="-3060" w:leader="none"/>
          <w:tab w:val="right" w:pos="5040" w:leader="none"/>
        </w:tabs>
        <w:rPr>
          <w:color w:val="ED1C24"/>
        </w:rPr>
      </w:pPr>
      <w:r>
        <w:rPr/>
      </w:r>
    </w:p>
    <w:p>
      <w:pPr>
        <w:pStyle w:val="Normal"/>
        <w:jc w:val="both"/>
        <w:rPr>
          <w:color w:val="auto"/>
        </w:rPr>
      </w:pPr>
      <w:r>
        <w:rPr>
          <w:color w:val="auto"/>
        </w:rPr>
        <w:t xml:space="preserve">Rozpočtový výsledok obce za rok 2020 zistený podľa ustanovenia § 10 ods. 3 písm. a) a b zákona č. 583/2004 Z. z. o rozpočtových pravidlách územnej samosprávy v aktuálnom znení dosiahol prebytok vo výške 26.632,55 EUR. </w:t>
      </w:r>
    </w:p>
    <w:p>
      <w:pPr>
        <w:pStyle w:val="Normal"/>
        <w:suppressAutoHyphens w:val="false"/>
        <w:rPr>
          <w:color w:val="000000"/>
          <w:lang w:eastAsia="sk-SK"/>
        </w:rPr>
      </w:pPr>
      <w:r>
        <w:rPr>
          <w:color w:val="000000"/>
          <w:lang w:eastAsia="sk-SK"/>
        </w:rPr>
        <w:t>V zmysle ustanovenia § 16 odsek 6 zákona č.583/2004 Z. z. o rozpočtových pravidlách územnej</w:t>
      </w:r>
    </w:p>
    <w:p>
      <w:pPr>
        <w:pStyle w:val="Normal"/>
        <w:suppressAutoHyphens w:val="false"/>
        <w:rPr>
          <w:color w:val="000000"/>
          <w:lang w:eastAsia="sk-SK"/>
        </w:rPr>
      </w:pPr>
      <w:r>
        <w:rPr>
          <w:color w:val="000000"/>
          <w:lang w:eastAsia="sk-SK"/>
        </w:rPr>
        <w:t>samosprávy a o zmene a doplnení niektorých zákonov v znení neskorších predpisov sa na účely tvorby</w:t>
      </w:r>
    </w:p>
    <w:p>
      <w:pPr>
        <w:pStyle w:val="Normal"/>
        <w:suppressAutoHyphens w:val="false"/>
        <w:rPr>
          <w:color w:val="000000"/>
          <w:lang w:eastAsia="sk-SK"/>
        </w:rPr>
      </w:pPr>
      <w:r>
        <w:rPr>
          <w:color w:val="000000"/>
          <w:lang w:eastAsia="sk-SK"/>
        </w:rPr>
        <w:t>peňažných fondov pri usporiadaní prebytku rozpočtu obce podľa § 10 ods. 3 písm. a) a b) citovaného</w:t>
      </w:r>
    </w:p>
    <w:p>
      <w:pPr>
        <w:pStyle w:val="Normal"/>
        <w:suppressAutoHyphens w:val="false"/>
        <w:jc w:val="both"/>
        <w:rPr/>
      </w:pPr>
      <w:r>
        <w:rPr>
          <w:color w:val="000000"/>
          <w:lang w:eastAsia="sk-SK"/>
        </w:rPr>
        <w:t xml:space="preserve">zákona, z tohto </w:t>
      </w:r>
      <w:r>
        <w:rPr>
          <w:b/>
          <w:bCs/>
          <w:color w:val="000000"/>
          <w:lang w:eastAsia="sk-SK"/>
        </w:rPr>
        <w:t>prebytku vylučujú :</w:t>
      </w:r>
    </w:p>
    <w:p>
      <w:pPr>
        <w:pStyle w:val="Normal"/>
        <w:jc w:val="both"/>
        <w:rPr>
          <w:color w:val="auto"/>
        </w:rPr>
      </w:pPr>
      <w:r>
        <w:rPr>
          <w:color w:val="auto"/>
        </w:rPr>
        <w:t>-  Zostatok finančných prostriedkov ZŠ     16.845,00  EUR</w:t>
      </w:r>
    </w:p>
    <w:p>
      <w:pPr>
        <w:pStyle w:val="Normal"/>
        <w:jc w:val="both"/>
        <w:rPr>
          <w:b/>
          <w:b/>
          <w:bCs/>
          <w:color w:val="auto"/>
        </w:rPr>
      </w:pPr>
      <w:r>
        <w:rPr>
          <w:b/>
          <w:bCs/>
          <w:color w:val="auto"/>
        </w:rPr>
        <w:t>SPOLU:                                                      16.845,00 EUR</w:t>
      </w:r>
    </w:p>
    <w:p>
      <w:pPr>
        <w:pStyle w:val="Normal"/>
        <w:jc w:val="both"/>
        <w:rPr>
          <w:b/>
          <w:b/>
          <w:bCs/>
          <w:color w:val="auto"/>
        </w:rPr>
      </w:pPr>
      <w:r>
        <w:rPr>
          <w:b/>
          <w:bCs/>
          <w:color w:val="auto"/>
        </w:rPr>
      </w:r>
    </w:p>
    <w:p>
      <w:pPr>
        <w:pStyle w:val="Normal"/>
        <w:jc w:val="both"/>
        <w:rPr/>
      </w:pPr>
      <w:r>
        <w:rPr>
          <w:color w:val="auto"/>
        </w:rPr>
        <w:t xml:space="preserve">Finančný výsledok obce za rok 2020 na vysporiadanie v záverečnom účte, dosiahol sumu 9.787,55 EUR. </w:t>
      </w:r>
      <w:r>
        <w:rPr>
          <w:b w:val="false"/>
          <w:bCs w:val="false"/>
          <w:color w:val="auto"/>
        </w:rPr>
        <w:t>Finančné prostriedky vo výške 9.787,55</w:t>
      </w:r>
      <w:bookmarkStart w:id="2" w:name="OLE_LINK262"/>
      <w:bookmarkStart w:id="3" w:name="OLE_LINK2511"/>
      <w:bookmarkStart w:id="4" w:name="OLE_LINK2411"/>
      <w:bookmarkStart w:id="5" w:name="OLE_LINK911"/>
      <w:r>
        <w:rPr>
          <w:b w:val="false"/>
          <w:bCs w:val="false"/>
          <w:color w:val="auto"/>
        </w:rPr>
        <w:t xml:space="preserve"> </w:t>
      </w:r>
      <w:bookmarkEnd w:id="2"/>
      <w:bookmarkEnd w:id="3"/>
      <w:bookmarkEnd w:id="4"/>
      <w:bookmarkEnd w:id="5"/>
      <w:r>
        <w:rPr>
          <w:b w:val="false"/>
          <w:bCs w:val="false"/>
          <w:color w:val="auto"/>
        </w:rPr>
        <w:t>EUR boli prevedené do rezervného fondu obce</w:t>
      </w:r>
    </w:p>
    <w:p>
      <w:pPr>
        <w:pStyle w:val="Normal"/>
        <w:ind w:left="0" w:right="0" w:hanging="0"/>
        <w:jc w:val="both"/>
        <w:rPr>
          <w:b/>
          <w:b/>
          <w:bCs/>
          <w:color w:val="auto"/>
        </w:rPr>
      </w:pPr>
      <w:r>
        <w:rPr>
          <w:b/>
          <w:bCs/>
          <w:color w:val="auto"/>
        </w:rPr>
      </w:r>
    </w:p>
    <w:p>
      <w:pPr>
        <w:pStyle w:val="Normal"/>
        <w:jc w:val="both"/>
        <w:rPr>
          <w:b w:val="false"/>
          <w:b w:val="false"/>
          <w:bCs w:val="false"/>
          <w:color w:val="auto"/>
        </w:rPr>
      </w:pPr>
      <w:r>
        <w:rPr>
          <w:b w:val="false"/>
          <w:bCs w:val="false"/>
          <w:color w:val="auto"/>
        </w:rPr>
      </w:r>
    </w:p>
    <w:p>
      <w:pPr>
        <w:pStyle w:val="Normal"/>
        <w:tabs>
          <w:tab w:val="left" w:pos="-3060" w:leader="none"/>
          <w:tab w:val="right" w:pos="5040" w:leader="none"/>
        </w:tabs>
        <w:ind w:firstLine="708"/>
        <w:jc w:val="both"/>
        <w:rPr>
          <w:color w:val="ED1C24"/>
        </w:rPr>
      </w:pPr>
      <w:r>
        <w:rPr>
          <w:color w:val="ED1C24"/>
        </w:rPr>
      </w:r>
    </w:p>
    <w:p>
      <w:pPr>
        <w:pStyle w:val="Normal"/>
        <w:jc w:val="both"/>
        <w:rPr/>
      </w:pPr>
      <w:r>
        <w:rPr>
          <w:b/>
          <w:color w:val="auto"/>
          <w:sz w:val="28"/>
          <w:szCs w:val="28"/>
        </w:rPr>
        <w:t>4. Bilancia aktív a pasív k 31.12.2020</w:t>
      </w:r>
    </w:p>
    <w:p>
      <w:pPr>
        <w:pStyle w:val="Normal"/>
        <w:rPr>
          <w:b/>
          <w:b/>
          <w:color w:val="auto"/>
          <w:sz w:val="28"/>
          <w:szCs w:val="28"/>
          <w:highlight w:val="red"/>
        </w:rPr>
      </w:pPr>
      <w:r>
        <w:rPr>
          <w:b/>
          <w:color w:val="auto"/>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color w:val="auto"/>
              </w:rPr>
            </w:pPr>
            <w:r>
              <w:rPr>
                <w:b/>
                <w:color w:val="auto"/>
              </w:rPr>
              <w:t>ZS  k  1.1.2020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b/>
                <w:b/>
                <w:color w:val="auto"/>
              </w:rPr>
            </w:pPr>
            <w:r>
              <w:rPr>
                <w:b/>
                <w:color w:val="auto"/>
              </w:rPr>
              <w:t>KZ  k  31.12.2020</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1.747.729,63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2.887.925,46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1.659.582,41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2.830.632,13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9.108,00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1.659.582,41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2.522.159,73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299.364,40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86.368,32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55.079,96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1.927,25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32.273,95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10.063,20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54.094,37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43.089,51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1.778,90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2.213,37</w:t>
            </w:r>
          </w:p>
        </w:tc>
      </w:tr>
    </w:tbl>
    <w:p>
      <w:pPr>
        <w:pStyle w:val="Normal"/>
        <w:jc w:val="both"/>
        <w:rPr>
          <w:b/>
          <w:b/>
          <w:color w:val="auto"/>
          <w:sz w:val="28"/>
          <w:szCs w:val="28"/>
        </w:rPr>
      </w:pPr>
      <w:r>
        <w:rPr>
          <w:b/>
          <w:color w:val="auto"/>
          <w:sz w:val="28"/>
          <w:szCs w:val="28"/>
        </w:rPr>
      </w:r>
    </w:p>
    <w:p>
      <w:pPr>
        <w:pStyle w:val="Normal"/>
        <w:jc w:val="both"/>
        <w:rPr>
          <w:b/>
          <w:b/>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color w:val="auto"/>
              </w:rPr>
            </w:pPr>
            <w:r>
              <w:rPr>
                <w:b/>
                <w:color w:val="auto"/>
              </w:rPr>
              <w:t>ZS  k  1.1.2020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b/>
                <w:b/>
                <w:color w:val="auto"/>
              </w:rPr>
            </w:pPr>
            <w:r>
              <w:rPr>
                <w:b/>
                <w:color w:val="auto"/>
              </w:rPr>
              <w:t>KZ  k  31.12.2020</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1.747.729,63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2.887.925,46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738.402,95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1.013.219,36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738.402,95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1.013.219,36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222.396,21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839.796,02</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1.200,00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1.200,00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32.179,96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16.845,00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1.087,75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378.579,96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78.958,55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39.209,07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108.969,95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403.961,99</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786.930,47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1.034.910,08</w:t>
            </w:r>
          </w:p>
        </w:tc>
      </w:tr>
    </w:tbl>
    <w:p>
      <w:pPr>
        <w:pStyle w:val="Normal"/>
        <w:rPr>
          <w:b/>
          <w:b/>
          <w:color w:val="auto"/>
          <w:sz w:val="28"/>
          <w:szCs w:val="28"/>
        </w:rPr>
      </w:pPr>
      <w:r>
        <w:rPr>
          <w:b/>
          <w:color w:val="auto"/>
          <w:sz w:val="28"/>
          <w:szCs w:val="28"/>
        </w:rPr>
      </w:r>
    </w:p>
    <w:p>
      <w:pPr>
        <w:pStyle w:val="Normal"/>
        <w:rPr>
          <w:b/>
          <w:b/>
          <w:color w:val="auto"/>
          <w:sz w:val="28"/>
          <w:szCs w:val="28"/>
        </w:rPr>
      </w:pPr>
      <w:r>
        <w:rPr>
          <w:b/>
          <w:color w:val="auto"/>
          <w:sz w:val="28"/>
          <w:szCs w:val="28"/>
        </w:rPr>
      </w:r>
    </w:p>
    <w:p>
      <w:pPr>
        <w:pStyle w:val="Normal"/>
        <w:rPr/>
      </w:pPr>
      <w:r>
        <w:rPr>
          <w:b/>
          <w:color w:val="auto"/>
          <w:sz w:val="28"/>
          <w:szCs w:val="28"/>
        </w:rPr>
        <w:t>5. Vývoj  pohľadávok a záväzkov  k  31.12.2020</w:t>
      </w:r>
    </w:p>
    <w:p>
      <w:pPr>
        <w:pStyle w:val="Normal"/>
        <w:rPr>
          <w:b/>
          <w:b/>
          <w:color w:val="ED1C24"/>
          <w:sz w:val="28"/>
          <w:szCs w:val="28"/>
        </w:rPr>
      </w:pPr>
      <w:r>
        <w:rPr>
          <w:b/>
          <w:color w:val="ED1C24"/>
          <w:sz w:val="28"/>
          <w:szCs w:val="28"/>
        </w:rPr>
      </w:r>
    </w:p>
    <w:p>
      <w:pPr>
        <w:pStyle w:val="Normal"/>
        <w:rPr>
          <w:color w:val="auto"/>
        </w:rPr>
      </w:pPr>
      <w:r>
        <w:rPr>
          <w:b/>
          <w:color w:val="auto"/>
          <w:sz w:val="28"/>
          <w:szCs w:val="28"/>
        </w:rPr>
        <w:t>Pohľadávky</w:t>
      </w:r>
    </w:p>
    <w:p>
      <w:pPr>
        <w:pStyle w:val="Normal"/>
        <w:rPr>
          <w:b/>
          <w:b/>
          <w:color w:val="auto"/>
          <w:sz w:val="28"/>
          <w:szCs w:val="28"/>
        </w:rPr>
      </w:pPr>
      <w:r>
        <w:rPr>
          <w:b/>
          <w:color w:val="auto"/>
          <w:sz w:val="28"/>
          <w:szCs w:val="28"/>
        </w:rPr>
      </w:r>
    </w:p>
    <w:p>
      <w:pPr>
        <w:pStyle w:val="Normal"/>
        <w:ind w:left="360" w:right="0" w:hanging="0"/>
        <w:jc w:val="both"/>
        <w:rPr>
          <w:color w:val="auto"/>
        </w:rPr>
      </w:pPr>
      <w:r>
        <w:rPr>
          <w:color w:val="auto"/>
        </w:rPr>
        <w:t>Obec k 31.12.2020 evidovala krátkodobé pohľadávky vo výške 10.063,20 EUR  z toho:</w:t>
      </w:r>
    </w:p>
    <w:p>
      <w:pPr>
        <w:pStyle w:val="Normal"/>
        <w:ind w:left="360" w:right="0" w:hanging="0"/>
        <w:jc w:val="both"/>
        <w:rPr>
          <w:color w:val="auto"/>
        </w:rPr>
      </w:pPr>
      <w:r>
        <w:rPr>
          <w:color w:val="auto"/>
        </w:rPr>
        <w:t>-    Nedaňové pohľadávky  (TKO)</w:t>
        <w:tab/>
        <w:tab/>
        <w:tab/>
        <w:t xml:space="preserve"> 1.080,00 EUR</w:t>
      </w:r>
    </w:p>
    <w:p>
      <w:pPr>
        <w:pStyle w:val="Normal"/>
        <w:ind w:left="360" w:right="0" w:hanging="0"/>
        <w:jc w:val="both"/>
        <w:rPr>
          <w:color w:val="auto"/>
        </w:rPr>
      </w:pPr>
      <w:r>
        <w:rPr>
          <w:color w:val="auto"/>
        </w:rPr>
        <w:t>-    Daňové pohľadávky (DzN)</w:t>
        <w:tab/>
        <w:tab/>
        <w:tab/>
        <w:t xml:space="preserve">                637,50 EUR</w:t>
      </w:r>
    </w:p>
    <w:p>
      <w:pPr>
        <w:pStyle w:val="Normal"/>
        <w:ind w:left="360" w:right="0" w:hanging="0"/>
        <w:jc w:val="both"/>
        <w:rPr>
          <w:color w:val="auto"/>
        </w:rPr>
      </w:pPr>
      <w:r>
        <w:rPr>
          <w:color w:val="auto"/>
        </w:rPr>
        <w:t>-    Opravné položky k pohľadávkam (TKO+DzN)</w:t>
        <w:tab/>
        <w:t xml:space="preserve">    - 91,27 EUR</w:t>
      </w:r>
    </w:p>
    <w:p>
      <w:pPr>
        <w:pStyle w:val="Normal"/>
        <w:ind w:left="360" w:right="0" w:hanging="0"/>
        <w:jc w:val="both"/>
        <w:rPr>
          <w:color w:val="auto"/>
          <w:u w:val="none"/>
        </w:rPr>
      </w:pPr>
      <w:r>
        <w:rPr>
          <w:color w:val="auto"/>
          <w:u w:val="none"/>
        </w:rPr>
        <w:t>-    Pohľadávka SBD (bytovky FO + zábezpeky)</w:t>
        <w:tab/>
        <w:t xml:space="preserve">  8.436,97 EUR</w:t>
      </w:r>
    </w:p>
    <w:p>
      <w:pPr>
        <w:pStyle w:val="Normal"/>
        <w:ind w:left="360" w:right="0" w:hanging="0"/>
        <w:jc w:val="both"/>
        <w:rPr>
          <w:color w:val="auto"/>
        </w:rPr>
      </w:pPr>
      <w:r>
        <w:rPr>
          <w:color w:val="auto"/>
        </w:rPr>
      </w:r>
    </w:p>
    <w:p>
      <w:pPr>
        <w:pStyle w:val="Normal"/>
        <w:tabs>
          <w:tab w:val="left" w:pos="-3060" w:leader="none"/>
        </w:tabs>
        <w:jc w:val="both"/>
        <w:rPr>
          <w:color w:val="auto"/>
        </w:rPr>
      </w:pPr>
      <w:r>
        <w:rPr>
          <w:b/>
          <w:color w:val="auto"/>
          <w:sz w:val="28"/>
          <w:szCs w:val="28"/>
        </w:rPr>
        <w:t>Záväzky</w:t>
      </w:r>
    </w:p>
    <w:p>
      <w:pPr>
        <w:pStyle w:val="Normal"/>
        <w:tabs>
          <w:tab w:val="left" w:pos="-3060" w:leader="none"/>
        </w:tabs>
        <w:jc w:val="both"/>
        <w:rPr>
          <w:b/>
          <w:b/>
          <w:color w:val="ED1C24"/>
          <w:sz w:val="28"/>
          <w:szCs w:val="28"/>
        </w:rPr>
      </w:pPr>
      <w:r>
        <w:rPr>
          <w:b/>
          <w:color w:val="ED1C24"/>
          <w:sz w:val="28"/>
          <w:szCs w:val="28"/>
        </w:rPr>
      </w:r>
    </w:p>
    <w:p>
      <w:pPr>
        <w:pStyle w:val="Normal"/>
        <w:jc w:val="both"/>
        <w:rPr/>
      </w:pPr>
      <w:r>
        <w:rPr>
          <w:color w:val="ED1C24"/>
        </w:rPr>
        <w:t xml:space="preserve">   </w:t>
      </w:r>
      <w:r>
        <w:rPr>
          <w:color w:val="auto"/>
        </w:rPr>
        <w:t xml:space="preserve">    </w:t>
      </w:r>
      <w:r>
        <w:rPr>
          <w:color w:val="auto"/>
        </w:rPr>
        <w:t>Obec k 31.12.2020 eviduje záväzky vo výške 839.796,02 EUR z toho:</w:t>
      </w:r>
    </w:p>
    <w:p>
      <w:pPr>
        <w:pStyle w:val="Normal"/>
        <w:tabs>
          <w:tab w:val="left" w:pos="450" w:leader="none"/>
        </w:tabs>
        <w:jc w:val="both"/>
        <w:rPr>
          <w:color w:val="auto"/>
        </w:rPr>
      </w:pPr>
      <w:r>
        <w:rPr>
          <w:color w:val="auto"/>
        </w:rPr>
        <w:tab/>
        <w:t>-     Rezerva na audit</w:t>
        <w:tab/>
        <w:tab/>
        <w:t xml:space="preserve"> </w:t>
        <w:tab/>
        <w:tab/>
        <w:t xml:space="preserve"> </w:t>
        <w:tab/>
        <w:t xml:space="preserve">  1.200,00 EUR</w:t>
      </w:r>
    </w:p>
    <w:p>
      <w:pPr>
        <w:pStyle w:val="Normal"/>
        <w:numPr>
          <w:ilvl w:val="1"/>
          <w:numId w:val="3"/>
        </w:numPr>
        <w:tabs>
          <w:tab w:val="left" w:pos="851" w:leader="none"/>
        </w:tabs>
        <w:ind w:left="851" w:right="0" w:hanging="360"/>
        <w:jc w:val="both"/>
        <w:rPr/>
      </w:pPr>
      <w:r>
        <w:rPr>
          <w:color w:val="auto"/>
        </w:rPr>
        <w:t>Neuhradené faktúry v lehote splatnosti</w:t>
        <w:tab/>
        <w:tab/>
        <w:t xml:space="preserve">     209,39 EUR</w:t>
      </w:r>
    </w:p>
    <w:p>
      <w:pPr>
        <w:pStyle w:val="Normal"/>
        <w:numPr>
          <w:ilvl w:val="1"/>
          <w:numId w:val="3"/>
        </w:numPr>
        <w:tabs>
          <w:tab w:val="left" w:pos="851" w:leader="none"/>
        </w:tabs>
        <w:ind w:left="851" w:right="0" w:hanging="360"/>
        <w:jc w:val="both"/>
        <w:rPr>
          <w:color w:val="auto"/>
        </w:rPr>
      </w:pPr>
      <w:r>
        <w:rPr>
          <w:color w:val="auto"/>
        </w:rPr>
        <w:t>Nevyplatené mzdy 12/20 v lehote splatnosti</w:t>
        <w:tab/>
        <w:t xml:space="preserve">  9.847,43 EUR</w:t>
      </w:r>
    </w:p>
    <w:p>
      <w:pPr>
        <w:pStyle w:val="Normal"/>
        <w:numPr>
          <w:ilvl w:val="1"/>
          <w:numId w:val="3"/>
        </w:numPr>
        <w:tabs>
          <w:tab w:val="left" w:pos="851" w:leader="none"/>
        </w:tabs>
        <w:ind w:left="851" w:right="0" w:hanging="360"/>
        <w:jc w:val="both"/>
        <w:rPr>
          <w:color w:val="auto"/>
        </w:rPr>
      </w:pPr>
      <w:r>
        <w:rPr>
          <w:color w:val="auto"/>
        </w:rPr>
        <w:t>Ostatné záväzky voči zamestnancom</w:t>
        <w:tab/>
        <w:t xml:space="preserve">                 460,08 EUR</w:t>
      </w:r>
    </w:p>
    <w:p>
      <w:pPr>
        <w:pStyle w:val="Normal"/>
        <w:numPr>
          <w:ilvl w:val="1"/>
          <w:numId w:val="3"/>
        </w:numPr>
        <w:tabs>
          <w:tab w:val="left" w:pos="851" w:leader="none"/>
        </w:tabs>
        <w:ind w:left="851" w:right="0" w:hanging="360"/>
        <w:jc w:val="both"/>
        <w:rPr>
          <w:color w:val="auto"/>
        </w:rPr>
      </w:pPr>
      <w:r>
        <w:rPr>
          <w:color w:val="auto"/>
        </w:rPr>
        <w:t>Záväzky do poisťovní (mzdy 12/20)</w:t>
        <w:tab/>
        <w:tab/>
        <w:t xml:space="preserve">  6.291,25 EUR</w:t>
      </w:r>
    </w:p>
    <w:p>
      <w:pPr>
        <w:pStyle w:val="Normal"/>
        <w:numPr>
          <w:ilvl w:val="1"/>
          <w:numId w:val="3"/>
        </w:numPr>
        <w:tabs>
          <w:tab w:val="left" w:pos="851" w:leader="none"/>
        </w:tabs>
        <w:ind w:left="851" w:right="0" w:hanging="360"/>
        <w:jc w:val="both"/>
        <w:rPr>
          <w:color w:val="auto"/>
        </w:rPr>
      </w:pPr>
      <w:r>
        <w:rPr>
          <w:color w:val="auto"/>
        </w:rPr>
        <w:t>Daň zo mzdy (12/20)</w:t>
        <w:tab/>
        <w:tab/>
        <w:tab/>
        <w:t xml:space="preserve">              1.965,06 EUR</w:t>
      </w:r>
    </w:p>
    <w:p>
      <w:pPr>
        <w:pStyle w:val="Normal"/>
        <w:numPr>
          <w:ilvl w:val="1"/>
          <w:numId w:val="3"/>
        </w:numPr>
        <w:tabs>
          <w:tab w:val="left" w:pos="851" w:leader="none"/>
        </w:tabs>
        <w:ind w:left="851" w:right="0" w:hanging="360"/>
        <w:rPr>
          <w:color w:val="auto"/>
        </w:rPr>
      </w:pPr>
      <w:r>
        <w:rPr>
          <w:color w:val="auto"/>
        </w:rPr>
        <w:t>Záväzky zo SF</w:t>
        <w:tab/>
        <w:tab/>
        <w:tab/>
        <w:tab/>
        <w:tab/>
        <w:t xml:space="preserve">  1.051,29 EUR</w:t>
      </w:r>
    </w:p>
    <w:p>
      <w:pPr>
        <w:pStyle w:val="Normal"/>
        <w:numPr>
          <w:ilvl w:val="1"/>
          <w:numId w:val="3"/>
        </w:numPr>
        <w:tabs>
          <w:tab w:val="left" w:pos="851" w:leader="none"/>
        </w:tabs>
        <w:ind w:left="851" w:right="0" w:hanging="360"/>
        <w:rPr>
          <w:color w:val="auto"/>
        </w:rPr>
      </w:pPr>
      <w:r>
        <w:rPr>
          <w:color w:val="auto"/>
        </w:rPr>
        <w:t>Návratná finančná výpomoc MFSR</w:t>
        <w:tab/>
        <w:tab/>
        <w:t>28.883,00 EUR</w:t>
      </w:r>
    </w:p>
    <w:p>
      <w:pPr>
        <w:pStyle w:val="Normal"/>
        <w:numPr>
          <w:ilvl w:val="1"/>
          <w:numId w:val="3"/>
        </w:numPr>
        <w:tabs>
          <w:tab w:val="left" w:pos="851" w:leader="none"/>
          <w:tab w:val="left" w:pos="5550" w:leader="none"/>
        </w:tabs>
        <w:ind w:left="851" w:right="0" w:hanging="360"/>
        <w:rPr>
          <w:color w:val="auto"/>
        </w:rPr>
      </w:pPr>
      <w:r>
        <w:rPr>
          <w:color w:val="auto"/>
        </w:rPr>
        <w:t>ŠFRB – bytovky</w:t>
        <w:tab/>
        <w:t>389.527,56 EUR</w:t>
      </w:r>
    </w:p>
    <w:p>
      <w:pPr>
        <w:pStyle w:val="Normal"/>
        <w:numPr>
          <w:ilvl w:val="1"/>
          <w:numId w:val="3"/>
        </w:numPr>
        <w:tabs>
          <w:tab w:val="left" w:pos="851" w:leader="none"/>
        </w:tabs>
        <w:ind w:left="851" w:right="0" w:hanging="360"/>
        <w:rPr>
          <w:color w:val="auto"/>
        </w:rPr>
      </w:pPr>
      <w:r>
        <w:rPr>
          <w:color w:val="auto"/>
        </w:rPr>
        <w:t>Bankové úvery</w:t>
        <w:tab/>
        <w:tab/>
        <w:tab/>
        <w:tab/>
        <w:t xml:space="preserve">          375.078,99 EUR</w:t>
      </w:r>
    </w:p>
    <w:p>
      <w:pPr>
        <w:pStyle w:val="Normal"/>
        <w:numPr>
          <w:ilvl w:val="1"/>
          <w:numId w:val="3"/>
        </w:numPr>
        <w:tabs>
          <w:tab w:val="left" w:pos="851" w:leader="none"/>
        </w:tabs>
        <w:ind w:left="851" w:right="0" w:hanging="360"/>
        <w:rPr>
          <w:color w:val="auto"/>
        </w:rPr>
      </w:pPr>
      <w:r>
        <w:rPr>
          <w:color w:val="auto"/>
        </w:rPr>
        <w:t>Zúčtovanie dotácií ZŠ (KŠÚ a UPSVaR)</w:t>
        <w:tab/>
        <w:tab/>
        <w:t>16.845,00 EUR</w:t>
      </w:r>
    </w:p>
    <w:p>
      <w:pPr>
        <w:pStyle w:val="Normal"/>
        <w:numPr>
          <w:ilvl w:val="1"/>
          <w:numId w:val="3"/>
        </w:numPr>
        <w:tabs>
          <w:tab w:val="left" w:pos="851" w:leader="none"/>
        </w:tabs>
        <w:ind w:left="851" w:right="0" w:hanging="360"/>
        <w:rPr>
          <w:color w:val="auto"/>
        </w:rPr>
      </w:pPr>
      <w:r>
        <w:rPr>
          <w:color w:val="auto"/>
        </w:rPr>
        <w:t>Fond opráv – nájomné byty</w:t>
        <w:tab/>
        <w:tab/>
        <w:tab/>
        <w:tab/>
        <w:t xml:space="preserve">     636,97 EUR</w:t>
      </w:r>
    </w:p>
    <w:p>
      <w:pPr>
        <w:pStyle w:val="Normal"/>
        <w:jc w:val="both"/>
        <w:rPr>
          <w:color w:val="auto"/>
        </w:rPr>
      </w:pPr>
      <w:r>
        <w:rPr>
          <w:color w:val="auto"/>
        </w:rPr>
        <w:tab/>
        <w:t xml:space="preserve">  Prijaté zábezpeky – nájomné byty</w:t>
        <w:tab/>
        <w:tab/>
        <w:tab/>
        <w:t xml:space="preserve">  7.800,00 EUR</w:t>
      </w:r>
    </w:p>
    <w:p>
      <w:pPr>
        <w:pStyle w:val="Normal"/>
        <w:tabs>
          <w:tab w:val="left" w:pos="851" w:leader="none"/>
        </w:tabs>
        <w:ind w:hanging="0"/>
        <w:jc w:val="both"/>
        <w:rPr>
          <w:b w:val="false"/>
          <w:b w:val="false"/>
          <w:bCs w:val="false"/>
          <w:color w:val="auto"/>
          <w:sz w:val="24"/>
          <w:szCs w:val="24"/>
        </w:rPr>
      </w:pPr>
      <w:r>
        <w:rPr>
          <w:b w:val="false"/>
          <w:bCs w:val="false"/>
          <w:color w:val="auto"/>
          <w:sz w:val="24"/>
          <w:szCs w:val="24"/>
        </w:rPr>
      </w:r>
    </w:p>
    <w:p>
      <w:pPr>
        <w:pStyle w:val="Normal"/>
        <w:ind w:left="0" w:right="0" w:firstLine="426"/>
        <w:rPr>
          <w:color w:val="auto"/>
        </w:rPr>
      </w:pPr>
      <w:r>
        <w:rPr>
          <w:color w:val="auto"/>
        </w:rPr>
        <w:t>Obec má so ŠFRB uzatvorenú zmluvu č. 500/234/2018 o poskytnutí podpory vo forme úveru</w:t>
      </w:r>
    </w:p>
    <w:p>
      <w:pPr>
        <w:pStyle w:val="Normal"/>
        <w:ind w:left="0" w:right="0" w:firstLine="426"/>
        <w:rPr>
          <w:color w:val="auto"/>
        </w:rPr>
      </w:pPr>
      <w:r>
        <w:rPr>
          <w:color w:val="auto"/>
        </w:rPr>
        <w:t>vo výške 361.270,00 EUR za účelom výstavby nájomných bytov, ktorý bol čerpaný</w:t>
      </w:r>
    </w:p>
    <w:p>
      <w:pPr>
        <w:pStyle w:val="Normal"/>
        <w:ind w:left="0" w:right="0" w:firstLine="426"/>
        <w:rPr>
          <w:color w:val="auto"/>
        </w:rPr>
      </w:pPr>
      <w:r>
        <w:rPr>
          <w:color w:val="auto"/>
        </w:rPr>
        <w:t>dňa 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16.05.2050.</w:t>
      </w:r>
    </w:p>
    <w:p>
      <w:pPr>
        <w:pStyle w:val="Normal"/>
        <w:ind w:left="0" w:right="0" w:firstLine="426"/>
        <w:rPr>
          <w:color w:val="auto"/>
        </w:rPr>
      </w:pPr>
      <w:r>
        <w:rPr>
          <w:color w:val="auto"/>
        </w:rPr>
        <w:tab/>
        <w:t xml:space="preserve">Tento úver nebol k 31. 12. 2020 vyrovnaný a vykazoval zostatok vo výške 355.157,58 EUR. </w:t>
      </w:r>
    </w:p>
    <w:p>
      <w:pPr>
        <w:pStyle w:val="Normal"/>
        <w:ind w:left="0" w:right="0" w:firstLine="426"/>
        <w:rPr>
          <w:color w:val="auto"/>
        </w:rPr>
      </w:pPr>
      <w:r>
        <w:rPr>
          <w:color w:val="auto"/>
        </w:rPr>
      </w:r>
    </w:p>
    <w:p>
      <w:pPr>
        <w:pStyle w:val="Normal"/>
        <w:ind w:left="0" w:right="0" w:firstLine="426"/>
        <w:rPr>
          <w:color w:val="auto"/>
        </w:rPr>
      </w:pPr>
      <w:r>
        <w:rPr>
          <w:color w:val="auto"/>
        </w:rPr>
        <w:t>Obec má so ŠFRB uzatvorenú zmluvu č. 500/235/2018 o poskytnutí podpory vo forme úveru</w:t>
      </w:r>
    </w:p>
    <w:p>
      <w:pPr>
        <w:pStyle w:val="Normal"/>
        <w:ind w:left="0" w:right="0" w:firstLine="426"/>
        <w:rPr>
          <w:color w:val="auto"/>
        </w:rPr>
      </w:pPr>
      <w:r>
        <w:rPr>
          <w:color w:val="auto"/>
        </w:rPr>
        <w:t xml:space="preserve">vo výške 35.310,00 EUR za účelom výstavby nájomných bytov, ktorý bol čerpaný dňa </w:t>
        <w:tab/>
        <w:t>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15.05.2040.</w:t>
      </w:r>
    </w:p>
    <w:p>
      <w:pPr>
        <w:pStyle w:val="Normal"/>
        <w:ind w:left="0" w:right="0" w:firstLine="426"/>
        <w:rPr>
          <w:color w:val="auto"/>
        </w:rPr>
      </w:pPr>
      <w:r>
        <w:rPr>
          <w:color w:val="auto"/>
        </w:rPr>
        <w:t xml:space="preserve">Tento úver nebol k 31. 12. 2020 vyrovnaný a vykazoval zostatok vo výške 34.369,98 EUR. </w:t>
      </w:r>
    </w:p>
    <w:p>
      <w:pPr>
        <w:pStyle w:val="Normal"/>
        <w:ind w:left="0" w:right="0" w:firstLine="426"/>
        <w:rPr>
          <w:color w:val="ED1C24"/>
        </w:rPr>
      </w:pPr>
      <w:r>
        <w:rPr>
          <w:color w:val="ED1C24"/>
        </w:rPr>
      </w:r>
    </w:p>
    <w:p>
      <w:pPr>
        <w:pStyle w:val="Normal"/>
        <w:tabs>
          <w:tab w:val="left" w:pos="450" w:leader="none"/>
        </w:tabs>
        <w:ind w:left="0" w:right="0" w:firstLine="426"/>
        <w:rPr>
          <w:color w:val="auto"/>
        </w:rPr>
      </w:pPr>
      <w:r>
        <w:rPr>
          <w:color w:val="auto"/>
        </w:rPr>
        <w:t xml:space="preserve">Obec má s Ministerstvom financií SR uzatvorenú zmluvu o poskytnutí návratnej finančnej </w:t>
        <w:tab/>
        <w:t xml:space="preserve">výpomoci vo výške 28.883,00 EUR ako kompenzáciu výpadku DPFO v roku 2020 v dôsledku </w:t>
        <w:tab/>
        <w:t xml:space="preserve">pandémie COVID 19, ktorá bola poskytnutá na základe uznesenia vlády SR č.494 z 12.08.2020 </w:t>
        <w:tab/>
        <w:t>a rozhodnutím obecného zastupiteľstva uznesením 32/2020 z 28.9.2020.</w:t>
      </w:r>
    </w:p>
    <w:p>
      <w:pPr>
        <w:pStyle w:val="Normal"/>
        <w:ind w:left="1080" w:right="0" w:hanging="654"/>
        <w:rPr/>
      </w:pPr>
      <w:r>
        <w:rPr>
          <w:color w:val="auto"/>
        </w:rPr>
        <w:t xml:space="preserve">   </w:t>
      </w:r>
      <w:r>
        <w:rPr>
          <w:color w:val="auto"/>
        </w:rPr>
        <w:t>-  Lehota splatnosti úveru  je do 31.10.2027.</w:t>
      </w:r>
    </w:p>
    <w:p>
      <w:pPr>
        <w:pStyle w:val="Normal"/>
        <w:tabs>
          <w:tab w:val="left" w:pos="851" w:leader="none"/>
        </w:tabs>
        <w:ind w:left="0" w:right="0" w:firstLine="426"/>
        <w:rPr/>
      </w:pPr>
      <w:r>
        <w:rPr>
          <w:color w:val="auto"/>
        </w:rPr>
        <w:t xml:space="preserve">Táto finančná výpomoc  nebola k 31. 12. 2020 vyrovnaná a  zostatok vykazoval </w:t>
      </w:r>
    </w:p>
    <w:p>
      <w:pPr>
        <w:pStyle w:val="Normal"/>
        <w:tabs>
          <w:tab w:val="left" w:pos="851" w:leader="none"/>
        </w:tabs>
        <w:ind w:left="0" w:right="0" w:firstLine="426"/>
        <w:rPr/>
      </w:pPr>
      <w:r>
        <w:rPr>
          <w:color w:val="auto"/>
        </w:rPr>
        <w:t>výšku 28.883 EUR.</w:t>
      </w:r>
      <w:r>
        <w:rPr>
          <w:color w:val="ED1C24"/>
        </w:rPr>
        <w:t xml:space="preserve"> </w:t>
      </w:r>
    </w:p>
    <w:p>
      <w:pPr>
        <w:pStyle w:val="Normal"/>
        <w:tabs>
          <w:tab w:val="left" w:pos="851" w:leader="none"/>
        </w:tabs>
        <w:ind w:left="491" w:right="0" w:hanging="0"/>
        <w:jc w:val="both"/>
        <w:rPr>
          <w:b/>
          <w:b/>
          <w:color w:val="CE181E"/>
        </w:rPr>
      </w:pPr>
      <w:r>
        <w:rPr>
          <w:b/>
          <w:color w:val="CE181E"/>
        </w:rPr>
      </w:r>
    </w:p>
    <w:p>
      <w:pPr>
        <w:pStyle w:val="Normal"/>
        <w:jc w:val="both"/>
        <w:rPr>
          <w:b/>
          <w:b/>
          <w:color w:val="CE181E"/>
        </w:rPr>
      </w:pPr>
      <w:r>
        <w:rPr>
          <w:b/>
          <w:color w:val="CE181E"/>
        </w:rPr>
        <w:tab/>
      </w:r>
    </w:p>
    <w:p>
      <w:pPr>
        <w:pStyle w:val="Normal"/>
        <w:jc w:val="both"/>
        <w:rPr>
          <w:b/>
          <w:b/>
          <w:color w:val="CE181E"/>
        </w:rPr>
      </w:pPr>
      <w:r>
        <w:rPr>
          <w:b/>
          <w:color w:val="CE181E"/>
        </w:rPr>
      </w:r>
    </w:p>
    <w:p>
      <w:pPr>
        <w:pStyle w:val="Normal"/>
        <w:jc w:val="both"/>
        <w:rPr>
          <w:b/>
          <w:b/>
          <w:color w:val="CE181E"/>
        </w:rPr>
      </w:pPr>
      <w:r>
        <w:rPr>
          <w:b/>
          <w:color w:val="CE181E"/>
        </w:rPr>
      </w:r>
    </w:p>
    <w:p>
      <w:pPr>
        <w:pStyle w:val="Normal"/>
        <w:jc w:val="both"/>
        <w:rPr>
          <w:b/>
          <w:b/>
          <w:color w:val="CE181E"/>
        </w:rPr>
      </w:pPr>
      <w:r>
        <w:rPr>
          <w:b/>
          <w:color w:val="CE181E"/>
        </w:rPr>
      </w:r>
    </w:p>
    <w:p>
      <w:pPr>
        <w:pStyle w:val="Normal"/>
        <w:jc w:val="both"/>
        <w:rPr>
          <w:b/>
          <w:b/>
          <w:color w:val="CE181E"/>
        </w:rPr>
      </w:pPr>
      <w:r>
        <w:rPr>
          <w:b/>
          <w:color w:val="CE181E"/>
        </w:rPr>
      </w:r>
    </w:p>
    <w:p>
      <w:pPr>
        <w:pStyle w:val="Normal"/>
        <w:tabs>
          <w:tab w:val="left" w:pos="426" w:leader="none"/>
        </w:tabs>
        <w:ind w:left="0" w:right="0" w:firstLine="426"/>
        <w:jc w:val="both"/>
        <w:rPr>
          <w:color w:val="auto"/>
        </w:rPr>
      </w:pPr>
      <w:r>
        <w:rPr>
          <w:color w:val="auto"/>
        </w:rPr>
        <w:t>Obec má k 31.12.2020 nesplatené nasledovné bankové úvery:</w:t>
      </w:r>
    </w:p>
    <w:tbl>
      <w:tblPr>
        <w:tblW w:w="10629"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1874"/>
        <w:gridCol w:w="1476"/>
        <w:gridCol w:w="1638"/>
        <w:gridCol w:w="1537"/>
        <w:gridCol w:w="1525"/>
        <w:gridCol w:w="1650"/>
        <w:gridCol w:w="928"/>
      </w:tblGrid>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Veriteľ</w:t>
            </w:r>
          </w:p>
        </w:tc>
        <w:tc>
          <w:tcPr>
            <w:tcW w:w="1476"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Účel</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Výška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poskytnutého úveru</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istiny 2020</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 úrokov 2020</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úveru (istiny)               k 31.12.2020</w:t>
            </w:r>
          </w:p>
        </w:tc>
        <w:tc>
          <w:tcPr>
            <w:tcW w:w="928"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b/>
                <w:b/>
                <w:bCs/>
                <w:i/>
                <w:i/>
                <w:iCs/>
                <w:color w:val="auto"/>
                <w:sz w:val="20"/>
                <w:szCs w:val="20"/>
                <w:lang w:eastAsia="sk-SK"/>
              </w:rPr>
            </w:pPr>
            <w:r>
              <w:rPr>
                <w:rFonts w:cs="Arial" w:ascii="Arial" w:hAnsi="Arial"/>
                <w:b/>
                <w:bCs/>
                <w:i/>
                <w:iCs/>
                <w:color w:val="auto"/>
                <w:sz w:val="20"/>
                <w:szCs w:val="20"/>
                <w:lang w:eastAsia="sk-SK"/>
              </w:rPr>
              <w:t>Rok splatnosti</w:t>
            </w:r>
          </w:p>
        </w:tc>
      </w:tr>
      <w:tr>
        <w:trPr>
          <w:trHeight w:val="24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6"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92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6"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92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6" w:type="dxa"/>
            <w:vMerge w:val="restart"/>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rFonts w:ascii="Arial" w:hAnsi="Arial" w:cs="Arial"/>
                <w:color w:val="auto"/>
                <w:sz w:val="20"/>
                <w:szCs w:val="20"/>
                <w:lang w:eastAsia="sk-SK"/>
              </w:rPr>
            </w:pPr>
            <w:r>
              <w:rPr>
                <w:rFonts w:cs="Arial" w:ascii="Arial" w:hAnsi="Arial"/>
                <w:color w:val="auto"/>
                <w:sz w:val="20"/>
                <w:szCs w:val="20"/>
                <w:lang w:eastAsia="sk-SK"/>
              </w:rPr>
              <w:t>229.999,99 EUR</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24.420,00 EUR</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1.664,62 EUR</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205.579,99 EUR</w:t>
            </w:r>
          </w:p>
        </w:tc>
        <w:tc>
          <w:tcPr>
            <w:tcW w:w="928"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2029</w:t>
            </w:r>
          </w:p>
        </w:tc>
      </w:tr>
      <w:tr>
        <w:trPr>
          <w:trHeight w:val="51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6" w:type="dxa"/>
            <w:vMerge w:val="continue"/>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92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Československá obchodná banka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6" w:type="dxa"/>
            <w:vMerge w:val="restart"/>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materskej školy</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140.000,00 EUR</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3.501,00 EUR</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913,05 EUR</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136.499,00 EUR</w:t>
            </w:r>
          </w:p>
        </w:tc>
        <w:tc>
          <w:tcPr>
            <w:tcW w:w="928"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2030</w:t>
            </w:r>
          </w:p>
        </w:tc>
      </w:tr>
      <w:tr>
        <w:trPr>
          <w:trHeight w:val="51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6" w:type="dxa"/>
            <w:vMerge w:val="continue"/>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92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405" w:hRule="atLeast"/>
        </w:trPr>
        <w:tc>
          <w:tcPr>
            <w:tcW w:w="187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VÚB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6"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33.000,00 EUR</w:t>
            </w:r>
          </w:p>
        </w:tc>
        <w:tc>
          <w:tcPr>
            <w:tcW w:w="15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0,00 EUR</w:t>
            </w:r>
          </w:p>
        </w:tc>
        <w:tc>
          <w:tcPr>
            <w:tcW w:w="15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79,20 EUR</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33.000,00 EUR</w:t>
            </w:r>
          </w:p>
        </w:tc>
        <w:tc>
          <w:tcPr>
            <w:tcW w:w="9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2021</w:t>
            </w:r>
          </w:p>
        </w:tc>
      </w:tr>
      <w:tr>
        <w:trPr>
          <w:trHeight w:val="405" w:hRule="atLeast"/>
        </w:trPr>
        <w:tc>
          <w:tcPr>
            <w:tcW w:w="187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SPOLU:</w:t>
            </w:r>
          </w:p>
        </w:tc>
        <w:tc>
          <w:tcPr>
            <w:tcW w:w="1476"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 </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402.999,99 EUR</w:t>
            </w:r>
          </w:p>
        </w:tc>
        <w:tc>
          <w:tcPr>
            <w:tcW w:w="15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27.921,00 EUR</w:t>
            </w:r>
          </w:p>
        </w:tc>
        <w:tc>
          <w:tcPr>
            <w:tcW w:w="15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2.656,87  EUR</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375.078,99 EUR</w:t>
            </w:r>
          </w:p>
        </w:tc>
        <w:tc>
          <w:tcPr>
            <w:tcW w:w="9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rPr>
                <w:rFonts w:ascii="Arial" w:hAnsi="Arial" w:cs="Arial"/>
                <w:b/>
                <w:b/>
                <w:bCs/>
                <w:color w:val="CE181E"/>
                <w:sz w:val="20"/>
                <w:szCs w:val="20"/>
                <w:lang w:eastAsia="sk-SK"/>
              </w:rPr>
            </w:pPr>
            <w:r>
              <w:rPr>
                <w:rFonts w:cs="Arial" w:ascii="Arial" w:hAnsi="Arial"/>
                <w:b/>
                <w:bCs/>
                <w:color w:val="CE181E"/>
                <w:sz w:val="20"/>
                <w:szCs w:val="20"/>
                <w:lang w:eastAsia="sk-SK"/>
              </w:rPr>
              <w:t> </w:t>
            </w:r>
          </w:p>
        </w:tc>
      </w:tr>
    </w:tbl>
    <w:p>
      <w:pPr>
        <w:pStyle w:val="Normal"/>
        <w:tabs>
          <w:tab w:val="left" w:pos="426" w:leader="none"/>
        </w:tabs>
        <w:ind w:left="1080" w:right="0" w:hanging="0"/>
        <w:jc w:val="both"/>
        <w:rPr>
          <w:b/>
          <w:b/>
          <w:color w:val="CE181E"/>
          <w:sz w:val="32"/>
          <w:szCs w:val="28"/>
        </w:rPr>
      </w:pPr>
      <w:r>
        <w:rPr>
          <w:b/>
          <w:color w:val="CE181E"/>
          <w:sz w:val="32"/>
          <w:szCs w:val="28"/>
        </w:rPr>
      </w:r>
    </w:p>
    <w:p>
      <w:pPr>
        <w:pStyle w:val="Normal"/>
        <w:rPr>
          <w:b w:val="false"/>
          <w:b w:val="false"/>
          <w:bCs w:val="false"/>
          <w:color w:val="auto"/>
          <w:sz w:val="24"/>
          <w:szCs w:val="24"/>
        </w:rPr>
      </w:pPr>
      <w:r>
        <w:rPr>
          <w:b w:val="false"/>
          <w:bCs w:val="false"/>
          <w:color w:val="auto"/>
          <w:sz w:val="24"/>
          <w:szCs w:val="24"/>
        </w:rPr>
        <w:t>1.  Bankový úver vo výške 230.000,00 EUR bol čerpaný na základe úverovej zmluvy</w:t>
      </w:r>
    </w:p>
    <w:p>
      <w:pPr>
        <w:pStyle w:val="Normal"/>
        <w:rPr>
          <w:b w:val="false"/>
          <w:b w:val="false"/>
          <w:bCs w:val="false"/>
          <w:color w:val="auto"/>
          <w:sz w:val="24"/>
          <w:szCs w:val="24"/>
        </w:rPr>
      </w:pPr>
      <w:r>
        <w:rPr>
          <w:b w:val="false"/>
          <w:bCs w:val="false"/>
          <w:color w:val="auto"/>
          <w:sz w:val="24"/>
          <w:szCs w:val="24"/>
        </w:rPr>
        <w:t xml:space="preserve">č. 307141-2019 zo dňa 15. júla 2019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21. októbra 2019. Mesačné splátky sú splatné ku 21.dňu mesiaca. </w:t>
      </w:r>
    </w:p>
    <w:p>
      <w:pPr>
        <w:pStyle w:val="Normal"/>
        <w:rPr>
          <w:b w:val="false"/>
          <w:b w:val="false"/>
          <w:bCs w:val="false"/>
          <w:color w:val="auto"/>
          <w:sz w:val="24"/>
          <w:szCs w:val="24"/>
        </w:rPr>
      </w:pPr>
      <w:r>
        <w:rPr>
          <w:b w:val="false"/>
          <w:bCs w:val="false"/>
          <w:color w:val="auto"/>
          <w:sz w:val="24"/>
          <w:szCs w:val="24"/>
        </w:rPr>
        <w:t>Bankový úver je splatný do 21. mája 2029</w:t>
      </w:r>
    </w:p>
    <w:p>
      <w:pPr>
        <w:pStyle w:val="Normal"/>
        <w:tabs>
          <w:tab w:val="left" w:pos="426" w:leader="none"/>
          <w:tab w:val="left" w:pos="993" w:leader="none"/>
        </w:tabs>
        <w:ind w:left="0" w:right="0" w:hanging="0"/>
        <w:jc w:val="both"/>
        <w:rPr>
          <w:color w:val="CE181E"/>
        </w:rPr>
      </w:pPr>
      <w:r>
        <w:rPr>
          <w:color w:val="CE181E"/>
        </w:rPr>
      </w:r>
    </w:p>
    <w:p>
      <w:pPr>
        <w:pStyle w:val="Normal"/>
        <w:tabs>
          <w:tab w:val="left" w:pos="426" w:leader="none"/>
          <w:tab w:val="left" w:pos="993" w:leader="none"/>
        </w:tabs>
        <w:ind w:left="0" w:right="0" w:hanging="0"/>
        <w:jc w:val="both"/>
        <w:rPr>
          <w:color w:val="auto"/>
        </w:rPr>
      </w:pPr>
      <w:r>
        <w:rPr>
          <w:color w:val="auto"/>
        </w:rPr>
        <w:t>2.  Bankový úver vo výške 140.000,00 EUR bol čerpaný na základe zmluvy o účelovom úvere</w:t>
      </w:r>
    </w:p>
    <w:p>
      <w:pPr>
        <w:pStyle w:val="Normal"/>
        <w:tabs>
          <w:tab w:val="left" w:pos="426" w:leader="none"/>
          <w:tab w:val="left" w:pos="993" w:leader="none"/>
        </w:tabs>
        <w:ind w:left="0" w:right="0" w:hanging="0"/>
        <w:jc w:val="both"/>
        <w:rPr>
          <w:color w:val="auto"/>
        </w:rPr>
      </w:pPr>
      <w:r>
        <w:rPr>
          <w:color w:val="auto"/>
        </w:rPr>
        <w:t xml:space="preserve">č. 0490/19/08637 zo dňa 15. júla 2019 s úrokovou sadzbou 0,95 % p. a. </w:t>
      </w:r>
    </w:p>
    <w:p>
      <w:pPr>
        <w:pStyle w:val="Normal"/>
        <w:tabs>
          <w:tab w:val="left" w:pos="426" w:leader="none"/>
          <w:tab w:val="left" w:pos="993" w:leader="none"/>
        </w:tabs>
        <w:ind w:left="0" w:right="0" w:hanging="0"/>
        <w:jc w:val="both"/>
        <w:rPr>
          <w:color w:val="auto"/>
        </w:rPr>
      </w:pPr>
      <w:r>
        <w:rPr>
          <w:color w:val="auto"/>
        </w:rPr>
        <w:t xml:space="preserve">Prvé čerpanie úveru bolo dňa 14. augusta 2019. Mesačné splátky sú splatné ku 20.dňu mesiaca. </w:t>
      </w:r>
    </w:p>
    <w:p>
      <w:pPr>
        <w:pStyle w:val="Normal"/>
        <w:tabs>
          <w:tab w:val="left" w:pos="426" w:leader="none"/>
          <w:tab w:val="left" w:pos="993" w:leader="none"/>
        </w:tabs>
        <w:ind w:left="0" w:right="0" w:hanging="0"/>
        <w:jc w:val="both"/>
        <w:rPr>
          <w:color w:val="auto"/>
        </w:rPr>
      </w:pPr>
      <w:r>
        <w:rPr>
          <w:color w:val="auto"/>
        </w:rPr>
        <w:t>Bankový úver je splatný do 20. septembra 2030.</w:t>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t>3.  Bankový úver vo výške 33.000,00 EUR bol čerpaný na základe zmluvy o kontokorentnom úvere</w:t>
      </w:r>
    </w:p>
    <w:p>
      <w:pPr>
        <w:pStyle w:val="Normal"/>
        <w:tabs>
          <w:tab w:val="left" w:pos="426" w:leader="none"/>
          <w:tab w:val="left" w:pos="993" w:leader="none"/>
        </w:tabs>
        <w:ind w:left="0" w:right="0" w:hanging="0"/>
        <w:jc w:val="both"/>
        <w:rPr>
          <w:color w:val="auto"/>
        </w:rPr>
      </w:pPr>
      <w:r>
        <w:rPr>
          <w:color w:val="auto"/>
        </w:rPr>
        <w:t xml:space="preserve">č. 190/2020/UZ zo dňa 4. marca 2020 s úrokovou sadzbou 0,99 % p. a. </w:t>
      </w:r>
    </w:p>
    <w:p>
      <w:pPr>
        <w:pStyle w:val="Normal"/>
        <w:tabs>
          <w:tab w:val="left" w:pos="426" w:leader="none"/>
          <w:tab w:val="left" w:pos="993" w:leader="none"/>
        </w:tabs>
        <w:ind w:left="0" w:right="0" w:hanging="0"/>
        <w:jc w:val="both"/>
        <w:rPr>
          <w:color w:val="auto"/>
        </w:rPr>
      </w:pPr>
      <w:r>
        <w:rPr>
          <w:color w:val="auto"/>
        </w:rPr>
        <w:t xml:space="preserve">Prvé čerpanie úveru bolo dňa 5. marca 2020. Splátky sú splatné vždy v posledný deň posledného obdobia podľa špecifických podmienok úveru t. j. 29. december 2021. </w:t>
      </w:r>
    </w:p>
    <w:p>
      <w:pPr>
        <w:pStyle w:val="Normal"/>
        <w:tabs>
          <w:tab w:val="left" w:pos="426" w:leader="none"/>
          <w:tab w:val="left" w:pos="993" w:leader="none"/>
        </w:tabs>
        <w:ind w:left="0" w:right="0" w:hanging="0"/>
        <w:jc w:val="both"/>
        <w:rPr>
          <w:color w:val="auto"/>
        </w:rPr>
      </w:pPr>
      <w:r>
        <w:rPr>
          <w:color w:val="auto"/>
        </w:rPr>
        <w:t>Bankový úver je splatný do 29. december 2021.</w:t>
      </w:r>
    </w:p>
    <w:p>
      <w:pPr>
        <w:pStyle w:val="Normal"/>
        <w:tabs>
          <w:tab w:val="left" w:pos="426" w:leader="none"/>
          <w:tab w:val="left" w:pos="993" w:leader="none"/>
        </w:tabs>
        <w:ind w:left="709" w:right="0" w:hanging="0"/>
        <w:jc w:val="both"/>
        <w:rPr>
          <w:color w:val="CE181E"/>
        </w:rPr>
      </w:pPr>
      <w:r>
        <w:rPr>
          <w:color w:val="CE181E"/>
        </w:rPr>
      </w:r>
    </w:p>
    <w:p>
      <w:pPr>
        <w:pStyle w:val="Normal"/>
        <w:tabs>
          <w:tab w:val="left" w:pos="426" w:leader="none"/>
        </w:tabs>
        <w:suppressAutoHyphens w:val="false"/>
        <w:rPr>
          <w:b/>
          <w:b/>
          <w:bCs/>
          <w:color w:val="auto"/>
          <w:lang w:eastAsia="sk-SK"/>
        </w:rPr>
      </w:pPr>
      <w:r>
        <w:rPr>
          <w:b/>
          <w:bCs/>
          <w:color w:val="auto"/>
          <w:lang w:eastAsia="sk-SK"/>
        </w:rPr>
        <w:t>Dodržiavanie pravidiel používania návratných zdrojov financovania:</w:t>
      </w:r>
    </w:p>
    <w:p>
      <w:pPr>
        <w:pStyle w:val="Normal"/>
        <w:tabs>
          <w:tab w:val="left" w:pos="426" w:leader="none"/>
        </w:tabs>
        <w:suppressAutoHyphens w:val="false"/>
        <w:rPr>
          <w:b/>
          <w:b/>
          <w:bCs/>
          <w:color w:val="auto"/>
          <w:lang w:eastAsia="sk-SK"/>
        </w:rPr>
      </w:pPr>
      <w:r>
        <w:rPr>
          <w:b/>
          <w:bCs/>
          <w:color w:val="auto"/>
          <w:lang w:eastAsia="sk-SK"/>
        </w:rPr>
      </w:r>
    </w:p>
    <w:p>
      <w:pPr>
        <w:pStyle w:val="Normal"/>
        <w:tabs>
          <w:tab w:val="left" w:pos="426" w:leader="none"/>
        </w:tabs>
        <w:suppressAutoHyphens w:val="false"/>
        <w:rPr>
          <w:color w:val="auto"/>
          <w:lang w:eastAsia="sk-SK"/>
        </w:rPr>
      </w:pPr>
      <w:r>
        <w:rPr>
          <w:color w:val="auto"/>
          <w:lang w:eastAsia="sk-SK"/>
        </w:rPr>
        <w:t>Obec v zmysle ustanovenia § 17 ods. 6 zákona c.583/2004 Z. z. o rozpočtových pravidlách územnej samosprávy a o zmene a doplnení niektorých zákonov v z. n. p., môže na plnenie svo</w:t>
        <w:tab/>
        <w:t>jich úloh prijať návratné zdroje financovania, len ak:</w:t>
      </w:r>
    </w:p>
    <w:p>
      <w:pPr>
        <w:pStyle w:val="Normal"/>
        <w:tabs>
          <w:tab w:val="left" w:pos="426" w:leader="none"/>
        </w:tabs>
        <w:suppressAutoHyphens w:val="false"/>
        <w:rPr/>
      </w:pPr>
      <w:r>
        <w:rPr>
          <w:color w:val="auto"/>
          <w:lang w:eastAsia="sk-SK"/>
        </w:rPr>
        <w:t xml:space="preserve">a) celková suma dlhu obce neprekročí </w:t>
      </w:r>
      <w:r>
        <w:rPr>
          <w:b/>
          <w:bCs/>
          <w:color w:val="auto"/>
          <w:lang w:eastAsia="sk-SK"/>
        </w:rPr>
        <w:t xml:space="preserve">60% </w:t>
      </w:r>
      <w:r>
        <w:rPr>
          <w:color w:val="auto"/>
          <w:lang w:eastAsia="sk-SK"/>
        </w:rPr>
        <w:t>skutočných bežných príjmov predchádzajúceho</w:t>
      </w:r>
    </w:p>
    <w:p>
      <w:pPr>
        <w:pStyle w:val="Normal"/>
        <w:tabs>
          <w:tab w:val="left" w:pos="426" w:leader="none"/>
        </w:tabs>
        <w:suppressAutoHyphens w:val="false"/>
        <w:rPr>
          <w:color w:val="auto"/>
          <w:lang w:eastAsia="sk-SK"/>
        </w:rPr>
      </w:pPr>
      <w:r>
        <w:rPr>
          <w:color w:val="auto"/>
          <w:lang w:eastAsia="sk-SK"/>
        </w:rPr>
        <w:tab/>
        <w:t>rozpočtového roka a</w:t>
      </w:r>
    </w:p>
    <w:p>
      <w:pPr>
        <w:pStyle w:val="Normal"/>
        <w:tabs>
          <w:tab w:val="left" w:pos="426" w:leader="none"/>
        </w:tabs>
        <w:suppressAutoHyphens w:val="false"/>
        <w:rPr/>
      </w:pPr>
      <w:r>
        <w:rPr>
          <w:color w:val="auto"/>
          <w:lang w:eastAsia="sk-SK"/>
        </w:rPr>
        <w:t xml:space="preserve">b) suma ročných splátok návratných zdrojov financovania vrátane úhrady výnosov neprekročí </w:t>
      </w:r>
      <w:r>
        <w:rPr>
          <w:b/>
          <w:bCs/>
          <w:color w:val="auto"/>
          <w:lang w:eastAsia="sk-SK"/>
        </w:rPr>
        <w:t>25%</w:t>
      </w:r>
    </w:p>
    <w:p>
      <w:pPr>
        <w:pStyle w:val="Normal"/>
        <w:tabs>
          <w:tab w:val="left" w:pos="426" w:leader="none"/>
        </w:tabs>
        <w:suppressAutoHyphens w:val="false"/>
        <w:rPr>
          <w:color w:val="auto"/>
          <w:lang w:eastAsia="sk-SK"/>
        </w:rPr>
      </w:pPr>
      <w:r>
        <w:rPr>
          <w:color w:val="auto"/>
          <w:lang w:eastAsia="sk-SK"/>
        </w:rPr>
        <w:tab/>
        <w:t>skutočných bežných príjmov predchádzajúceho rozpočtového roka.</w:t>
      </w:r>
    </w:p>
    <w:p>
      <w:pPr>
        <w:pStyle w:val="Normal"/>
        <w:tabs>
          <w:tab w:val="left" w:pos="426" w:leader="none"/>
        </w:tabs>
        <w:suppressAutoHyphens w:val="false"/>
        <w:rPr/>
      </w:pPr>
      <w:r>
        <w:rPr>
          <w:b/>
          <w:bCs/>
          <w:color w:val="CE181E"/>
          <w:lang w:eastAsia="sk-SK"/>
        </w:rPr>
        <w:tab/>
      </w:r>
      <w:r>
        <w:rPr>
          <w:b/>
          <w:bCs/>
          <w:color w:val="auto"/>
          <w:lang w:eastAsia="sk-SK"/>
        </w:rPr>
        <w:t>Skutočné bežné príjmy obce v roku 2019:</w:t>
      </w:r>
    </w:p>
    <w:p>
      <w:pPr>
        <w:pStyle w:val="Normal"/>
        <w:tabs>
          <w:tab w:val="left" w:pos="426" w:leader="none"/>
        </w:tabs>
        <w:suppressAutoHyphens w:val="false"/>
        <w:rPr>
          <w:color w:val="auto"/>
          <w:lang w:eastAsia="sk-SK"/>
        </w:rPr>
      </w:pPr>
      <w:r>
        <w:rPr>
          <w:color w:val="auto"/>
          <w:lang w:eastAsia="sk-SK"/>
        </w:rPr>
        <w:tab/>
        <w:t>- bežné príjmy rozpočtované vykázané v I. časti výkazu FIN 1-12 1.295.577,21 EUR</w:t>
      </w:r>
    </w:p>
    <w:p>
      <w:pPr>
        <w:pStyle w:val="Normal"/>
        <w:tabs>
          <w:tab w:val="left" w:pos="426" w:leader="none"/>
          <w:tab w:val="left" w:pos="6096" w:leader="none"/>
        </w:tabs>
        <w:suppressAutoHyphens w:val="false"/>
        <w:rPr/>
      </w:pPr>
      <w:r>
        <w:rPr>
          <w:b/>
          <w:bCs/>
          <w:color w:val="auto"/>
          <w:lang w:eastAsia="sk-SK"/>
        </w:rPr>
        <w:t xml:space="preserve">                                                                                                      </w:t>
      </w:r>
      <w:r>
        <w:rPr>
          <w:b/>
          <w:bCs/>
          <w:color w:val="auto"/>
          <w:lang w:eastAsia="sk-SK"/>
        </w:rPr>
        <w:t>Spolu 1.295.577,21 EUR</w:t>
      </w:r>
    </w:p>
    <w:p>
      <w:pPr>
        <w:pStyle w:val="Normal"/>
        <w:tabs>
          <w:tab w:val="left" w:pos="426" w:leader="none"/>
          <w:tab w:val="left" w:pos="6096" w:leader="none"/>
        </w:tabs>
        <w:suppressAutoHyphens w:val="false"/>
        <w:rPr>
          <w:color w:val="auto"/>
        </w:rPr>
      </w:pPr>
      <w:r>
        <w:rPr>
          <w:color w:val="auto"/>
        </w:rPr>
      </w:r>
    </w:p>
    <w:p>
      <w:pPr>
        <w:pStyle w:val="Normal"/>
        <w:tabs>
          <w:tab w:val="left" w:pos="426" w:leader="none"/>
        </w:tabs>
        <w:suppressAutoHyphens w:val="false"/>
        <w:rPr/>
      </w:pPr>
      <w:r>
        <w:rPr>
          <w:color w:val="auto"/>
          <w:lang w:eastAsia="sk-SK"/>
        </w:rPr>
        <w:tab/>
        <w:t xml:space="preserve">- </w:t>
      </w:r>
      <w:r>
        <w:rPr>
          <w:b/>
          <w:bCs/>
          <w:color w:val="auto"/>
          <w:lang w:eastAsia="sk-SK"/>
        </w:rPr>
        <w:t>z toho 60 % 777.346,32 EUR</w:t>
      </w:r>
    </w:p>
    <w:p>
      <w:pPr>
        <w:pStyle w:val="Normal"/>
        <w:tabs>
          <w:tab w:val="left" w:pos="426" w:leader="none"/>
        </w:tabs>
        <w:suppressAutoHyphens w:val="false"/>
        <w:rPr>
          <w:b/>
          <w:b/>
          <w:bCs/>
          <w:color w:val="auto"/>
          <w:lang w:eastAsia="sk-SK"/>
        </w:rPr>
      </w:pPr>
      <w:r>
        <w:rPr>
          <w:b/>
          <w:bCs/>
          <w:color w:val="auto"/>
          <w:lang w:eastAsia="sk-SK"/>
        </w:rPr>
        <w:tab/>
        <w:t>- z toho 25 % 156.681,98 EUR (poníženie o dotácie)</w:t>
      </w:r>
    </w:p>
    <w:p>
      <w:pPr>
        <w:pStyle w:val="Normal"/>
        <w:tabs>
          <w:tab w:val="left" w:pos="426" w:leader="none"/>
        </w:tabs>
        <w:suppressAutoHyphens w:val="false"/>
        <w:rPr>
          <w:color w:val="auto"/>
        </w:rPr>
      </w:pPr>
      <w:r>
        <w:rPr>
          <w:color w:val="auto"/>
        </w:rPr>
      </w:r>
    </w:p>
    <w:p>
      <w:pPr>
        <w:pStyle w:val="Normal"/>
        <w:tabs>
          <w:tab w:val="left" w:pos="426" w:leader="none"/>
          <w:tab w:val="left" w:pos="6096" w:leader="none"/>
        </w:tabs>
        <w:suppressAutoHyphens w:val="false"/>
        <w:rPr>
          <w:b/>
          <w:b/>
          <w:bCs/>
          <w:color w:val="auto"/>
          <w:lang w:eastAsia="sk-SK"/>
        </w:rPr>
      </w:pPr>
      <w:r>
        <w:rPr>
          <w:b/>
          <w:bCs/>
          <w:color w:val="auto"/>
          <w:lang w:eastAsia="sk-SK"/>
        </w:rPr>
        <w:tab/>
        <w:t>Celkové bežné príjmy za r. 2019 znížené o dotačné zdroje (kód 111) :</w:t>
      </w:r>
    </w:p>
    <w:p>
      <w:pPr>
        <w:pStyle w:val="Normal"/>
        <w:tabs>
          <w:tab w:val="left" w:pos="426" w:leader="none"/>
          <w:tab w:val="left" w:pos="6096" w:leader="none"/>
        </w:tabs>
        <w:suppressAutoHyphens w:val="false"/>
        <w:rPr>
          <w:b/>
          <w:b/>
          <w:bCs/>
          <w:color w:val="auto"/>
          <w:lang w:eastAsia="sk-SK"/>
        </w:rPr>
      </w:pPr>
      <w:r>
        <w:rPr>
          <w:b/>
          <w:bCs/>
          <w:color w:val="auto"/>
          <w:lang w:eastAsia="sk-SK"/>
        </w:rPr>
        <w:tab/>
        <w:t>1.295.577,21 – 668.849,27  EUR =  626.727,94 EUR.</w:t>
      </w:r>
    </w:p>
    <w:p>
      <w:pPr>
        <w:pStyle w:val="Normal"/>
        <w:tabs>
          <w:tab w:val="left" w:pos="426" w:leader="none"/>
        </w:tabs>
        <w:suppressAutoHyphens w:val="false"/>
        <w:rPr>
          <w:color w:val="auto"/>
          <w:lang w:eastAsia="sk-SK"/>
        </w:rPr>
      </w:pPr>
      <w:r>
        <w:rPr>
          <w:color w:val="auto"/>
          <w:lang w:eastAsia="sk-SK"/>
        </w:rPr>
        <w:tab/>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color w:val="auto"/>
          <w:lang w:eastAsia="sk-SK"/>
        </w:rPr>
      </w:pPr>
      <w:r>
        <w:rPr>
          <w:color w:val="auto"/>
          <w:lang w:eastAsia="sk-SK"/>
        </w:rPr>
      </w:r>
    </w:p>
    <w:p>
      <w:pPr>
        <w:pStyle w:val="Normal"/>
        <w:tabs>
          <w:tab w:val="left" w:pos="426" w:leader="none"/>
        </w:tabs>
        <w:suppressAutoHyphens w:val="false"/>
        <w:rPr>
          <w:b/>
          <w:b/>
          <w:bCs/>
          <w:color w:val="auto"/>
          <w:lang w:eastAsia="sk-SK"/>
        </w:rPr>
      </w:pPr>
      <w:r>
        <w:rPr>
          <w:b/>
          <w:bCs/>
          <w:color w:val="auto"/>
          <w:lang w:eastAsia="sk-SK"/>
        </w:rPr>
        <w:tab/>
        <w:t>Celková suma dlhu obce k 31.12.2020:</w:t>
      </w:r>
    </w:p>
    <w:p>
      <w:pPr>
        <w:pStyle w:val="Normal"/>
        <w:tabs>
          <w:tab w:val="left" w:pos="426" w:leader="none"/>
        </w:tabs>
        <w:suppressAutoHyphens w:val="false"/>
        <w:rPr>
          <w:color w:val="auto"/>
          <w:lang w:eastAsia="sk-SK"/>
        </w:rPr>
      </w:pPr>
      <w:r>
        <w:rPr>
          <w:color w:val="auto"/>
          <w:lang w:eastAsia="sk-SK"/>
        </w:rPr>
        <w:tab/>
        <w:t>- zostatok istiny z bankových úverov 375.078,99 EUR</w:t>
      </w:r>
    </w:p>
    <w:p>
      <w:pPr>
        <w:pStyle w:val="Normal"/>
        <w:tabs>
          <w:tab w:val="left" w:pos="426" w:leader="none"/>
        </w:tabs>
        <w:suppressAutoHyphens w:val="false"/>
        <w:rPr>
          <w:color w:val="auto"/>
          <w:lang w:eastAsia="sk-SK"/>
        </w:rPr>
      </w:pPr>
      <w:r>
        <w:rPr>
          <w:color w:val="auto"/>
          <w:lang w:eastAsia="sk-SK"/>
        </w:rPr>
        <w:tab/>
        <w:t>- zostatok istiny z úverov zo ŠFRB   389.527,56 EUR</w:t>
      </w:r>
    </w:p>
    <w:p>
      <w:pPr>
        <w:pStyle w:val="Normal"/>
        <w:tabs>
          <w:tab w:val="left" w:pos="426" w:leader="none"/>
        </w:tabs>
        <w:suppressAutoHyphens w:val="false"/>
        <w:rPr>
          <w:color w:val="auto"/>
          <w:lang w:eastAsia="sk-SK"/>
        </w:rPr>
      </w:pPr>
      <w:r>
        <w:rPr>
          <w:color w:val="auto"/>
          <w:lang w:eastAsia="sk-SK"/>
        </w:rPr>
        <w:tab/>
        <w:t>- zostatok istiny z návratných finančných výpomocí 28.883,00 EUR</w:t>
      </w:r>
    </w:p>
    <w:p>
      <w:pPr>
        <w:pStyle w:val="Normal"/>
        <w:tabs>
          <w:tab w:val="left" w:pos="426" w:leader="none"/>
        </w:tabs>
        <w:jc w:val="both"/>
        <w:rPr/>
      </w:pPr>
      <w:r>
        <w:rPr>
          <w:b/>
          <w:bCs/>
          <w:color w:val="CE181E"/>
          <w:lang w:eastAsia="sk-SK"/>
        </w:rPr>
        <w:tab/>
      </w:r>
      <w:r>
        <w:rPr>
          <w:b/>
          <w:bCs/>
          <w:color w:val="auto"/>
          <w:lang w:eastAsia="sk-SK"/>
        </w:rPr>
        <w:t>SPOLU celková suma dlhu obce 793.489,55 EUR</w:t>
      </w:r>
    </w:p>
    <w:p>
      <w:pPr>
        <w:pStyle w:val="Normal"/>
        <w:tabs>
          <w:tab w:val="left" w:pos="450" w:leader="none"/>
        </w:tabs>
        <w:suppressAutoHyphens w:val="false"/>
        <w:rPr>
          <w:b/>
          <w:b/>
          <w:bCs/>
          <w:color w:val="auto"/>
          <w:lang w:eastAsia="sk-SK"/>
        </w:rPr>
      </w:pPr>
      <w:r>
        <w:rPr>
          <w:b/>
          <w:bCs/>
          <w:color w:val="auto"/>
          <w:lang w:eastAsia="sk-SK"/>
        </w:rPr>
        <w:tab/>
        <w:t>Do celkovej sumy sa nezapočítavajú záväzky</w:t>
      </w:r>
    </w:p>
    <w:p>
      <w:pPr>
        <w:pStyle w:val="Normal"/>
        <w:suppressAutoHyphens w:val="false"/>
        <w:rPr>
          <w:color w:val="auto"/>
          <w:lang w:eastAsia="sk-SK"/>
        </w:rPr>
      </w:pPr>
      <w:r>
        <w:rPr>
          <w:color w:val="auto"/>
          <w:lang w:eastAsia="sk-SK"/>
        </w:rPr>
        <w:tab/>
        <w:t>- z úverov zo ŠFRB 389.527,56 EUR</w:t>
      </w:r>
    </w:p>
    <w:p>
      <w:pPr>
        <w:pStyle w:val="Normal"/>
        <w:tabs>
          <w:tab w:val="left" w:pos="426" w:leader="none"/>
        </w:tabs>
        <w:jc w:val="both"/>
        <w:rPr>
          <w:b/>
          <w:b/>
          <w:bCs/>
          <w:color w:val="auto"/>
          <w:lang w:eastAsia="sk-SK"/>
        </w:rPr>
      </w:pPr>
      <w:r>
        <w:rPr>
          <w:b/>
          <w:bCs/>
          <w:color w:val="auto"/>
          <w:lang w:eastAsia="sk-SK"/>
        </w:rPr>
        <w:tab/>
        <w:t>SPOLU celková suma dlhu obce upravená o úver zo ŠFRB  403.961,99 EUR</w:t>
      </w:r>
    </w:p>
    <w:p>
      <w:pPr>
        <w:pStyle w:val="Normal"/>
        <w:tabs>
          <w:tab w:val="left" w:pos="426" w:leader="none"/>
        </w:tabs>
        <w:jc w:val="both"/>
        <w:rPr>
          <w:b/>
          <w:b/>
          <w:bCs/>
          <w:color w:val="CE181E"/>
          <w:lang w:eastAsia="sk-SK"/>
        </w:rPr>
      </w:pPr>
      <w:r>
        <w:rPr>
          <w:b/>
          <w:bCs/>
          <w:color w:val="CE181E"/>
          <w:lang w:eastAsia="sk-SK"/>
        </w:rPr>
      </w:r>
    </w:p>
    <w:p>
      <w:pPr>
        <w:pStyle w:val="Normal"/>
        <w:tabs>
          <w:tab w:val="left" w:pos="426" w:leader="none"/>
        </w:tabs>
        <w:jc w:val="both"/>
        <w:rPr>
          <w:color w:val="CE181E"/>
        </w:rPr>
      </w:pPr>
      <w:r>
        <w:rPr>
          <w:color w:val="CE181E"/>
        </w:rPr>
        <w:tab/>
      </w:r>
    </w:p>
    <w:p>
      <w:pPr>
        <w:pStyle w:val="Normal"/>
        <w:jc w:val="both"/>
        <w:rPr>
          <w:color w:val="CE181E"/>
        </w:rPr>
      </w:pPr>
      <w:r>
        <w:rPr>
          <w:color w:val="CE181E"/>
        </w:rPr>
      </w:r>
    </w:p>
    <w:tbl>
      <w:tblPr>
        <w:tblW w:w="6933" w:type="dxa"/>
        <w:jc w:val="left"/>
        <w:tblInd w:w="1701"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100"/>
        <w:gridCol w:w="2735"/>
        <w:gridCol w:w="2098"/>
      </w:tblGrid>
      <w:tr>
        <w:trPr>
          <w:trHeight w:val="255" w:hRule="atLeast"/>
        </w:trPr>
        <w:tc>
          <w:tcPr>
            <w:tcW w:w="210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31.12.2020</w:t>
            </w:r>
          </w:p>
        </w:tc>
        <w:tc>
          <w:tcPr>
            <w:tcW w:w="273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Skutočné bežné príjmy</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k 31.12.2019</w:t>
            </w:r>
          </w:p>
        </w:tc>
        <w:tc>
          <w:tcPr>
            <w:tcW w:w="2098"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a)</w:t>
            </w:r>
          </w:p>
        </w:tc>
      </w:tr>
      <w:tr>
        <w:trPr>
          <w:trHeight w:val="255" w:hRule="atLeast"/>
        </w:trPr>
        <w:tc>
          <w:tcPr>
            <w:tcW w:w="210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CE181E"/>
                <w:sz w:val="20"/>
                <w:szCs w:val="20"/>
                <w:lang w:eastAsia="sk-SK"/>
              </w:rPr>
            </w:pPr>
            <w:r>
              <w:rPr>
                <w:rFonts w:cs="Arial" w:ascii="Arial" w:hAnsi="Arial"/>
                <w:b/>
                <w:bCs/>
                <w:color w:val="CE181E"/>
                <w:sz w:val="20"/>
                <w:szCs w:val="20"/>
                <w:lang w:eastAsia="sk-SK"/>
              </w:rPr>
            </w:r>
          </w:p>
        </w:tc>
        <w:tc>
          <w:tcPr>
            <w:tcW w:w="273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09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100"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403.961,99 EUR</w:t>
            </w:r>
          </w:p>
        </w:tc>
        <w:tc>
          <w:tcPr>
            <w:tcW w:w="273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1.295.577,21</w:t>
            </w:r>
          </w:p>
        </w:tc>
        <w:tc>
          <w:tcPr>
            <w:tcW w:w="20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31,18 %</w:t>
            </w:r>
          </w:p>
        </w:tc>
      </w:tr>
    </w:tbl>
    <w:p>
      <w:pPr>
        <w:pStyle w:val="Normal"/>
        <w:jc w:val="both"/>
        <w:rPr>
          <w:color w:val="auto"/>
        </w:rPr>
      </w:pPr>
      <w:r>
        <w:rPr>
          <w:color w:val="auto"/>
        </w:rPr>
      </w:r>
    </w:p>
    <w:p>
      <w:pPr>
        <w:pStyle w:val="Normal"/>
        <w:jc w:val="both"/>
        <w:rPr/>
      </w:pPr>
      <w:r>
        <w:rPr>
          <w:rFonts w:cs="Times-Roman;Times New Roman" w:ascii="Times-Roman;Times New Roman" w:hAnsi="Times-Roman;Times New Roman"/>
          <w:color w:val="auto"/>
          <w:lang w:eastAsia="sk-SK"/>
        </w:rPr>
        <w:tab/>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a)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jc w:val="both"/>
        <w:rPr>
          <w:color w:val="CE181E"/>
        </w:rPr>
      </w:pPr>
      <w:r>
        <w:rPr>
          <w:color w:val="CE181E"/>
        </w:rPr>
      </w:r>
    </w:p>
    <w:p>
      <w:pPr>
        <w:pStyle w:val="Normal"/>
        <w:jc w:val="both"/>
        <w:rPr>
          <w:color w:val="CE181E"/>
        </w:rPr>
      </w:pPr>
      <w:r>
        <w:rPr>
          <w:color w:val="CE181E"/>
        </w:rPr>
      </w:r>
    </w:p>
    <w:tbl>
      <w:tblPr>
        <w:tblW w:w="6911"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100"/>
        <w:gridCol w:w="2725"/>
        <w:gridCol w:w="2086"/>
      </w:tblGrid>
      <w:tr>
        <w:trPr>
          <w:trHeight w:val="255" w:hRule="atLeast"/>
        </w:trPr>
        <w:tc>
          <w:tcPr>
            <w:tcW w:w="210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31.12.2020</w:t>
            </w:r>
          </w:p>
        </w:tc>
        <w:tc>
          <w:tcPr>
            <w:tcW w:w="272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Skutočné bežné príjmy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k 31.12.2019</w:t>
            </w:r>
          </w:p>
        </w:tc>
        <w:tc>
          <w:tcPr>
            <w:tcW w:w="208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b)</w:t>
            </w:r>
          </w:p>
        </w:tc>
      </w:tr>
      <w:tr>
        <w:trPr>
          <w:trHeight w:val="255" w:hRule="atLeast"/>
        </w:trPr>
        <w:tc>
          <w:tcPr>
            <w:tcW w:w="210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72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08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100"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30.577,87 EUR</w:t>
            </w:r>
          </w:p>
        </w:tc>
        <w:tc>
          <w:tcPr>
            <w:tcW w:w="272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626.727,94</w:t>
            </w:r>
          </w:p>
        </w:tc>
        <w:tc>
          <w:tcPr>
            <w:tcW w:w="208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4,88%</w:t>
            </w:r>
          </w:p>
        </w:tc>
      </w:tr>
    </w:tbl>
    <w:p>
      <w:pPr>
        <w:pStyle w:val="Normal"/>
        <w:tabs>
          <w:tab w:val="left" w:pos="2310" w:leader="none"/>
        </w:tabs>
        <w:jc w:val="both"/>
        <w:rPr>
          <w:color w:val="CE181E"/>
        </w:rPr>
      </w:pPr>
      <w:r>
        <w:rPr>
          <w:color w:val="CE181E"/>
        </w:rPr>
      </w:r>
    </w:p>
    <w:p>
      <w:pPr>
        <w:pStyle w:val="Normal"/>
        <w:jc w:val="both"/>
        <w:rPr>
          <w:color w:val="CE181E"/>
        </w:rPr>
      </w:pPr>
      <w:r>
        <w:rPr>
          <w:color w:val="CE181E"/>
        </w:rPr>
      </w:r>
    </w:p>
    <w:p>
      <w:pPr>
        <w:pStyle w:val="Normal"/>
        <w:tabs>
          <w:tab w:val="left" w:pos="709" w:leader="none"/>
        </w:tabs>
        <w:ind w:left="0" w:right="0" w:hanging="0"/>
        <w:jc w:val="both"/>
        <w:rPr/>
      </w:pPr>
      <w:r>
        <w:rPr>
          <w:rFonts w:cs="Times-Roman;Times New Roman" w:ascii="Times-Roman;Times New Roman" w:hAnsi="Times-Roman;Times New Roman"/>
          <w:color w:val="auto"/>
          <w:lang w:eastAsia="sk-SK"/>
        </w:rPr>
        <w:tab/>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b)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tabs>
          <w:tab w:val="left" w:pos="851" w:leader="none"/>
        </w:tabs>
        <w:ind w:hanging="0"/>
        <w:jc w:val="both"/>
        <w:rPr>
          <w:b w:val="false"/>
          <w:b w:val="false"/>
          <w:bCs w:val="false"/>
          <w:color w:val="auto"/>
          <w:sz w:val="24"/>
          <w:szCs w:val="24"/>
        </w:rPr>
      </w:pPr>
      <w:r>
        <w:rPr>
          <w:b w:val="false"/>
          <w:bCs w:val="false"/>
          <w:color w:val="auto"/>
          <w:sz w:val="24"/>
          <w:szCs w:val="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1087" w:leader="none"/>
        </w:tabs>
        <w:ind w:left="54" w:hanging="0"/>
        <w:jc w:val="both"/>
        <w:rPr>
          <w:b/>
          <w:b/>
          <w:color w:val="2E74B5"/>
          <w:sz w:val="28"/>
          <w:szCs w:val="28"/>
        </w:rPr>
      </w:pPr>
      <w:r>
        <w:rPr>
          <w:b/>
          <w:color w:val="auto"/>
          <w:sz w:val="28"/>
          <w:szCs w:val="28"/>
        </w:rPr>
        <w:t>6. Ostatné dôležité informácie</w:t>
      </w:r>
    </w:p>
    <w:p>
      <w:pPr>
        <w:pStyle w:val="Normal"/>
        <w:tabs>
          <w:tab w:val="left" w:pos="1087" w:leader="none"/>
        </w:tabs>
        <w:ind w:left="54" w:hanging="0"/>
        <w:jc w:val="both"/>
        <w:rPr>
          <w:b/>
          <w:b/>
          <w:color w:val="auto"/>
          <w:sz w:val="28"/>
          <w:szCs w:val="28"/>
        </w:rPr>
      </w:pPr>
      <w:r>
        <w:rPr>
          <w:b/>
          <w:color w:val="auto"/>
          <w:sz w:val="28"/>
          <w:szCs w:val="28"/>
        </w:rPr>
      </w:r>
    </w:p>
    <w:p>
      <w:pPr>
        <w:pStyle w:val="Normal"/>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color w:val="auto"/>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D1C24"/>
          <w:highlight w:val="lightGray"/>
        </w:rPr>
      </w:pPr>
      <w:r>
        <w:rPr>
          <w:color w:val="ED1C24"/>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266.658,77</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266.658,77</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p>
      <w:pPr>
        <w:pStyle w:val="Normal"/>
        <w:ind w:left="360" w:hanging="0"/>
        <w:jc w:val="both"/>
        <w:rPr>
          <w:color w:val="ED1C24"/>
        </w:rPr>
      </w:pPr>
      <w:r>
        <w:rPr>
          <w:color w:val="ED1C24"/>
        </w:rPr>
      </w:r>
    </w:p>
    <w:tbl>
      <w:tblPr>
        <w:tblW w:w="10104"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285"/>
        <w:gridCol w:w="2551"/>
        <w:gridCol w:w="1364"/>
        <w:gridCol w:w="1474"/>
        <w:gridCol w:w="1430"/>
      </w:tblGrid>
      <w:tr>
        <w:trPr/>
        <w:tc>
          <w:tcPr>
            <w:tcW w:w="3285"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Poskytovateľ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t xml:space="preserve">   </w:t>
            </w:r>
          </w:p>
          <w:p>
            <w:pPr>
              <w:pStyle w:val="Normal"/>
              <w:rPr/>
            </w:pPr>
            <w:r>
              <w:rPr>
                <w:b/>
                <w:color w:val="auto"/>
                <w:sz w:val="20"/>
                <w:szCs w:val="20"/>
              </w:rPr>
              <w:t xml:space="preserve">        </w:t>
            </w:r>
            <w:r>
              <w:rPr>
                <w:b/>
                <w:color w:val="auto"/>
                <w:sz w:val="20"/>
                <w:szCs w:val="20"/>
              </w:rPr>
              <w:t>- 1 -</w:t>
            </w:r>
          </w:p>
        </w:tc>
        <w:tc>
          <w:tcPr>
            <w:tcW w:w="2551"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Účelové určenie grantu, transferu uviesť : školstvo, matrika, .... </w:t>
            </w:r>
          </w:p>
          <w:p>
            <w:pPr>
              <w:pStyle w:val="Normal"/>
              <w:rPr>
                <w:b/>
                <w:b/>
                <w:color w:val="auto"/>
                <w:sz w:val="20"/>
                <w:szCs w:val="20"/>
              </w:rPr>
            </w:pPr>
            <w:r>
              <w:rPr>
                <w:b/>
                <w:color w:val="auto"/>
                <w:sz w:val="20"/>
                <w:szCs w:val="20"/>
              </w:rPr>
              <w:t>- bežné výdavky</w:t>
            </w:r>
          </w:p>
          <w:p>
            <w:pPr>
              <w:pStyle w:val="Normal"/>
              <w:rPr>
                <w:b/>
                <w:b/>
                <w:color w:val="auto"/>
                <w:sz w:val="20"/>
                <w:szCs w:val="20"/>
              </w:rPr>
            </w:pPr>
            <w:r>
              <w:rPr>
                <w:b/>
                <w:color w:val="auto"/>
                <w:sz w:val="20"/>
                <w:szCs w:val="20"/>
              </w:rPr>
              <w:t>- kapitálové výdavky</w:t>
            </w:r>
          </w:p>
          <w:p>
            <w:pPr>
              <w:pStyle w:val="Normal"/>
              <w:jc w:val="center"/>
              <w:rPr>
                <w:b/>
                <w:b/>
                <w:color w:val="auto"/>
                <w:sz w:val="20"/>
                <w:szCs w:val="20"/>
              </w:rPr>
            </w:pPr>
            <w:r>
              <w:rPr>
                <w:b/>
                <w:color w:val="auto"/>
                <w:sz w:val="20"/>
                <w:szCs w:val="20"/>
              </w:rPr>
              <w:t>- 2 -</w:t>
            </w:r>
          </w:p>
        </w:tc>
        <w:tc>
          <w:tcPr>
            <w:tcW w:w="1364"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Suma  poskytnutých</w:t>
            </w:r>
          </w:p>
          <w:p>
            <w:pPr>
              <w:pStyle w:val="Normal"/>
              <w:rPr>
                <w:b/>
                <w:b/>
                <w:color w:val="auto"/>
                <w:sz w:val="20"/>
                <w:szCs w:val="20"/>
              </w:rPr>
            </w:pPr>
            <w:r>
              <w:rPr>
                <w:b/>
                <w:color w:val="auto"/>
                <w:sz w:val="20"/>
                <w:szCs w:val="20"/>
              </w:rPr>
              <w:t xml:space="preserve">finančných prostriedkov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- 3 -</w:t>
            </w:r>
          </w:p>
        </w:tc>
        <w:tc>
          <w:tcPr>
            <w:tcW w:w="1474"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Suma skutočne použitých finančných prostriedkov  </w:t>
            </w:r>
          </w:p>
          <w:p>
            <w:pPr>
              <w:pStyle w:val="Normal"/>
              <w:jc w:val="center"/>
              <w:rPr>
                <w:b/>
                <w:b/>
                <w:color w:val="auto"/>
                <w:sz w:val="20"/>
                <w:szCs w:val="20"/>
              </w:rPr>
            </w:pPr>
            <w:r>
              <w:rPr>
                <w:b/>
                <w:color w:val="auto"/>
                <w:sz w:val="20"/>
                <w:szCs w:val="20"/>
              </w:rPr>
              <w:t>- 4 -</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rPr>
                <w:b/>
                <w:b/>
                <w:color w:val="auto"/>
                <w:sz w:val="20"/>
                <w:szCs w:val="20"/>
              </w:rPr>
            </w:pPr>
            <w:r>
              <w:rPr>
                <w:b/>
                <w:color w:val="auto"/>
                <w:sz w:val="20"/>
                <w:szCs w:val="20"/>
              </w:rPr>
              <w:t>Rozdiel</w:t>
            </w:r>
          </w:p>
          <w:p>
            <w:pPr>
              <w:pStyle w:val="Normal"/>
              <w:rPr>
                <w:b/>
                <w:b/>
                <w:color w:val="auto"/>
                <w:sz w:val="20"/>
                <w:szCs w:val="20"/>
              </w:rPr>
            </w:pPr>
            <w:r>
              <w:rPr>
                <w:b/>
                <w:color w:val="auto"/>
                <w:sz w:val="20"/>
                <w:szCs w:val="20"/>
              </w:rPr>
              <w:t>(stĺ.3 - stĺ.4 )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- 5 -</w:t>
            </w:r>
          </w:p>
        </w:tc>
      </w:tr>
      <w:tr>
        <w:trPr>
          <w:trHeight w:val="278"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Register obyvateľ. adries</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3.286,56</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3.286,56</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Krajský stavebný  úrad </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Stavebný úrad </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1.623,41</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1.623,41</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Krajský úrad cestná dopr.</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Doprava a komunikácie</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48,05</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48,05</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Voľby </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974,14</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974,14</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98"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MŽP SR</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Životné prostredie</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105,64</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105,64</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5"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zxx" w:eastAsia="zxx" w:bidi="zxx"/>
              </w:rPr>
              <w:t xml:space="preserve">         </w:t>
            </w:r>
            <w:r>
              <w:rPr>
                <w:color w:val="auto"/>
                <w:lang w:val="zxx" w:eastAsia="zxx" w:bidi="zxx"/>
              </w:rPr>
              <w:t>UPSVaR</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Osobitý príjemca</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2.141,43</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2.141,43</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9"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Matrika</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5.629,44</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5.629,44</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7"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Mimo VS</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DHZ </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88"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ZŠ</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711.466,31</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7694.621,31</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16.845,00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MŠ</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2.843,00</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2.843,00</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 xml:space="preserve">UPSVaR ZŠ                                                      </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ŽS -Stravovacie návyky</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30.385,20</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30.385,20</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Obvodný úrad</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Povodne</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74.479,81</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74.479,81</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MŽP SR</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KD – bežné výdavky</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4.422,49</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4.422,49</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Obvodný úrad</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COVID</w:t>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2.677,08</w:t>
            </w:r>
          </w:p>
        </w:tc>
        <w:tc>
          <w:tcPr>
            <w:tcW w:w="147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2.677,08</w:t>
            </w:r>
          </w:p>
        </w:tc>
        <w:tc>
          <w:tcPr>
            <w:tcW w:w="14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tabs>
          <w:tab w:val="left" w:pos="690" w:leader="none"/>
        </w:tabs>
        <w:ind w:left="426" w:hanging="426"/>
        <w:jc w:val="both"/>
        <w:rPr>
          <w:b/>
          <w:b/>
          <w:bCs/>
          <w:color w:val="auto"/>
        </w:rPr>
      </w:pPr>
      <w:r>
        <w:rPr>
          <w:b/>
          <w:bCs/>
          <w:color w:val="auto"/>
        </w:rPr>
      </w:r>
    </w:p>
    <w:p>
      <w:pPr>
        <w:pStyle w:val="Normal"/>
        <w:tabs>
          <w:tab w:val="left" w:pos="690" w:leader="none"/>
        </w:tabs>
        <w:ind w:left="426" w:hanging="426"/>
        <w:jc w:val="both"/>
        <w:rPr>
          <w:b/>
          <w:b/>
          <w:bCs/>
          <w:color w:val="auto"/>
        </w:rPr>
      </w:pPr>
      <w:r>
        <w:rPr>
          <w:b/>
          <w:bCs/>
          <w:color w:val="auto"/>
        </w:rPr>
        <w:t>c) Finančné usporiadanie voči štátnym fondom</w:t>
      </w:r>
    </w:p>
    <w:p>
      <w:pPr>
        <w:pStyle w:val="Normal"/>
        <w:tabs>
          <w:tab w:val="left" w:pos="690" w:leader="none"/>
        </w:tabs>
        <w:ind w:left="426" w:hanging="426"/>
        <w:jc w:val="both"/>
        <w:rPr>
          <w:color w:val="auto"/>
        </w:rPr>
      </w:pPr>
      <w:r>
        <w:rPr>
          <w:color w:val="auto"/>
        </w:rPr>
      </w:r>
    </w:p>
    <w:p>
      <w:pPr>
        <w:pStyle w:val="Normal"/>
        <w:jc w:val="both"/>
        <w:rPr/>
      </w:pPr>
      <w:r>
        <w:rPr>
          <w:b w:val="false"/>
          <w:bCs w:val="false"/>
          <w:color w:val="auto"/>
        </w:rPr>
        <w:tab/>
        <w:t xml:space="preserve">Obec neuzatvorila v roku 2020 žiadnu zmluvu so štátnymi fondmi. </w:t>
      </w:r>
    </w:p>
    <w:p>
      <w:pPr>
        <w:pStyle w:val="Normal"/>
        <w:jc w:val="both"/>
        <w:rPr>
          <w:b w:val="false"/>
          <w:b w:val="false"/>
          <w:bCs w:val="false"/>
          <w:color w:val="auto"/>
        </w:rPr>
      </w:pPr>
      <w:r>
        <w:rPr>
          <w:b w:val="false"/>
          <w:bCs w:val="false"/>
          <w:color w:val="auto"/>
        </w:rPr>
      </w:r>
    </w:p>
    <w:p>
      <w:pPr>
        <w:pStyle w:val="Normal"/>
        <w:tabs>
          <w:tab w:val="left" w:pos="426" w:leader="none"/>
        </w:tabs>
        <w:ind w:left="450" w:hanging="426"/>
        <w:jc w:val="both"/>
        <w:rPr>
          <w:b/>
          <w:b/>
          <w:bCs/>
          <w:color w:val="auto"/>
        </w:rPr>
      </w:pPr>
      <w:r>
        <w:rPr>
          <w:b/>
          <w:bCs/>
          <w:color w:val="auto"/>
        </w:rPr>
        <w:t>d) Finančné usporiadanie voči rozpočtom iných obciam</w:t>
      </w:r>
    </w:p>
    <w:p>
      <w:pPr>
        <w:pStyle w:val="Normal"/>
        <w:tabs>
          <w:tab w:val="left" w:pos="426" w:leader="none"/>
        </w:tabs>
        <w:ind w:left="450" w:hanging="426"/>
        <w:jc w:val="both"/>
        <w:rPr>
          <w:color w:val="auto"/>
        </w:rPr>
      </w:pPr>
      <w:r>
        <w:rPr>
          <w:color w:val="auto"/>
        </w:rPr>
      </w:r>
    </w:p>
    <w:p>
      <w:pPr>
        <w:pStyle w:val="Normal"/>
        <w:tabs>
          <w:tab w:val="left" w:pos="426" w:leader="none"/>
        </w:tabs>
        <w:ind w:left="450" w:hanging="426"/>
        <w:jc w:val="both"/>
        <w:rPr/>
      </w:pPr>
      <w:r>
        <w:rPr>
          <w:b w:val="false"/>
          <w:bCs w:val="false"/>
          <w:color w:val="auto"/>
        </w:rPr>
        <w:t xml:space="preserve">   </w:t>
      </w:r>
      <w:r>
        <w:rPr>
          <w:b w:val="false"/>
          <w:bCs w:val="false"/>
          <w:color w:val="auto"/>
        </w:rPr>
        <w:tab/>
        <w:tab/>
        <w:tab/>
        <w:t xml:space="preserve">Obec neuzatvorila v roku 2020 žiadnu zmluvu s inými obcami. </w:t>
      </w:r>
    </w:p>
    <w:p>
      <w:pPr>
        <w:pStyle w:val="Normal"/>
        <w:jc w:val="both"/>
        <w:rPr>
          <w:b w:val="false"/>
          <w:b w:val="false"/>
          <w:bCs w:val="false"/>
          <w:color w:val="auto"/>
          <w:u w:val="single"/>
        </w:rPr>
      </w:pPr>
      <w:r>
        <w:rPr>
          <w:b w:val="false"/>
          <w:bCs w:val="false"/>
          <w:color w:val="auto"/>
          <w:u w:val="single"/>
        </w:rPr>
      </w:r>
    </w:p>
    <w:p>
      <w:pPr>
        <w:pStyle w:val="Normal"/>
        <w:tabs>
          <w:tab w:val="left" w:pos="426" w:leader="none"/>
          <w:tab w:val="left" w:pos="465" w:leader="none"/>
        </w:tabs>
        <w:ind w:left="426" w:hanging="426"/>
        <w:jc w:val="both"/>
        <w:rPr>
          <w:b/>
          <w:b/>
          <w:bCs/>
          <w:color w:val="auto"/>
        </w:rPr>
      </w:pPr>
      <w:r>
        <w:rPr>
          <w:b/>
          <w:bCs/>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r>
    </w:p>
    <w:p>
      <w:pPr>
        <w:pStyle w:val="Normal"/>
        <w:tabs>
          <w:tab w:val="left" w:pos="426" w:leader="none"/>
          <w:tab w:val="left" w:pos="465" w:leader="none"/>
        </w:tabs>
        <w:ind w:left="426" w:hanging="426"/>
        <w:jc w:val="both"/>
        <w:rPr/>
      </w:pPr>
      <w:r>
        <w:rPr>
          <w:b w:val="false"/>
          <w:bCs w:val="false"/>
          <w:color w:val="auto"/>
        </w:rPr>
        <w:tab/>
        <w:t>Obec neuzatvorila v roku 2020 žiadnu zmluvu s VÚC.</w:t>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jc w:val="both"/>
        <w:rPr>
          <w:color w:val="ED1C24"/>
        </w:rPr>
      </w:pPr>
      <w:r>
        <w:rPr>
          <w:b/>
          <w:bCs/>
          <w:color w:val="auto"/>
          <w:sz w:val="28"/>
          <w:szCs w:val="28"/>
        </w:rPr>
        <w:t>Prehľad o poskytnutých dotáciách</w:t>
      </w:r>
    </w:p>
    <w:p>
      <w:pPr>
        <w:pStyle w:val="Normal"/>
        <w:rPr>
          <w:color w:val="auto"/>
        </w:rPr>
      </w:pPr>
      <w:r>
        <w:rPr>
          <w:color w:val="auto"/>
        </w:rPr>
      </w:r>
    </w:p>
    <w:p>
      <w:pPr>
        <w:pStyle w:val="Normal"/>
        <w:jc w:val="both"/>
        <w:rPr/>
      </w:pPr>
      <w:r>
        <w:rPr>
          <w:color w:val="auto"/>
        </w:rPr>
        <w:t xml:space="preserve">Obec v roku 2020 poskytla dotácie v súlade so VZN obce Ľubeľa na podporu všeobecne </w:t>
        <w:tab/>
        <w:t>prospešných služieb.</w:t>
      </w:r>
    </w:p>
    <w:tbl>
      <w:tblPr>
        <w:tblW w:w="985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520"/>
        <w:gridCol w:w="2126"/>
        <w:gridCol w:w="1576"/>
        <w:gridCol w:w="1632"/>
      </w:tblGrid>
      <w:tr>
        <w:trPr/>
        <w:tc>
          <w:tcPr>
            <w:tcW w:w="4520" w:type="dxa"/>
            <w:tcBorders>
              <w:top w:val="single" w:sz="4" w:space="0" w:color="000000"/>
              <w:left w:val="single" w:sz="4" w:space="0" w:color="000000"/>
              <w:bottom w:val="single" w:sz="4" w:space="0" w:color="000000"/>
              <w:insideH w:val="single" w:sz="4" w:space="0" w:color="000000"/>
            </w:tcBorders>
            <w:shd w:fill="D9D9D9" w:val="clear"/>
          </w:tcPr>
          <w:p>
            <w:pPr>
              <w:pStyle w:val="Normal"/>
              <w:snapToGrid w:val="false"/>
              <w:jc w:val="center"/>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Obec</w:t>
            </w:r>
          </w:p>
          <w:p>
            <w:pPr>
              <w:pStyle w:val="Normal"/>
              <w:jc w:val="center"/>
              <w:rPr>
                <w:b/>
                <w:b/>
                <w:color w:val="auto"/>
                <w:sz w:val="20"/>
                <w:szCs w:val="20"/>
              </w:rPr>
            </w:pPr>
            <w:r>
              <w:rPr>
                <w:b/>
                <w:color w:val="auto"/>
                <w:sz w:val="20"/>
                <w:szCs w:val="20"/>
              </w:rPr>
              <w:t>- 1 -</w:t>
            </w:r>
          </w:p>
        </w:tc>
        <w:tc>
          <w:tcPr>
            <w:tcW w:w="212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poskytnutých</w:t>
            </w:r>
          </w:p>
          <w:p>
            <w:pPr>
              <w:pStyle w:val="Normal"/>
              <w:jc w:val="center"/>
              <w:rPr>
                <w:b/>
                <w:b/>
                <w:color w:val="auto"/>
                <w:sz w:val="20"/>
                <w:szCs w:val="20"/>
              </w:rPr>
            </w:pPr>
            <w:r>
              <w:rPr>
                <w:b/>
                <w:color w:val="auto"/>
                <w:sz w:val="20"/>
                <w:szCs w:val="20"/>
              </w:rPr>
              <w:t>finančných prostriedkov</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- 2 -</w:t>
            </w:r>
          </w:p>
        </w:tc>
        <w:tc>
          <w:tcPr>
            <w:tcW w:w="157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skutočne použitých finančných prostriedkov</w:t>
            </w:r>
          </w:p>
          <w:p>
            <w:pPr>
              <w:pStyle w:val="Normal"/>
              <w:jc w:val="center"/>
              <w:rPr>
                <w:b/>
                <w:b/>
                <w:color w:val="auto"/>
                <w:sz w:val="20"/>
                <w:szCs w:val="20"/>
              </w:rPr>
            </w:pPr>
            <w:r>
              <w:rPr>
                <w:b/>
                <w:color w:val="auto"/>
                <w:sz w:val="20"/>
                <w:szCs w:val="20"/>
              </w:rPr>
              <w:t>- 3-</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sz w:val="20"/>
                <w:szCs w:val="20"/>
              </w:rPr>
            </w:pPr>
            <w:r>
              <w:rPr>
                <w:b/>
                <w:color w:val="auto"/>
                <w:sz w:val="20"/>
                <w:szCs w:val="20"/>
              </w:rPr>
              <w:t>Rozdiel</w:t>
            </w:r>
          </w:p>
          <w:p>
            <w:pPr>
              <w:pStyle w:val="Normal"/>
              <w:jc w:val="center"/>
              <w:rPr>
                <w:b/>
                <w:b/>
                <w:color w:val="auto"/>
                <w:sz w:val="20"/>
                <w:szCs w:val="20"/>
              </w:rPr>
            </w:pPr>
            <w:r>
              <w:rPr>
                <w:b/>
                <w:color w:val="auto"/>
                <w:sz w:val="20"/>
                <w:szCs w:val="20"/>
              </w:rPr>
              <w:t>(stĺ.3 - stĺ.4 )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- 4 -</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Záhradkári</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TJ Partizán Ľubeľa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Ľubeľské ochotnícke divadlo K. O. Urbana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CVČ Liptovský Mikuláš</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168,00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168,00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Slovenský červený kríž</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jc w:val="both"/>
        <w:rPr>
          <w:color w:val="auto"/>
        </w:rPr>
      </w:pPr>
      <w:r>
        <w:rPr>
          <w:color w:val="auto"/>
        </w:rPr>
      </w:r>
    </w:p>
    <w:p>
      <w:pPr>
        <w:pStyle w:val="Normal"/>
        <w:jc w:val="both"/>
        <w:rPr>
          <w:color w:val="auto"/>
        </w:rPr>
      </w:pPr>
      <w:r>
        <w:rPr>
          <w:color w:val="auto"/>
        </w:rPr>
      </w:r>
    </w:p>
    <w:p>
      <w:pPr>
        <w:pStyle w:val="Normal"/>
        <w:jc w:val="both"/>
        <w:rPr/>
      </w:pPr>
      <w:r>
        <w:rPr>
          <w:color w:val="auto"/>
        </w:rPr>
        <w:t>K 31.12.2020 boli vyúčtované všetky dotácie, ktoré boli poskytnuté v súlade so VZN o dotáciách.</w:t>
      </w:r>
    </w:p>
    <w:p>
      <w:pPr>
        <w:pStyle w:val="Normal"/>
        <w:tabs>
          <w:tab w:val="left" w:pos="11880" w:leader="none"/>
        </w:tabs>
        <w:ind w:left="720" w:hanging="0"/>
        <w:jc w:val="both"/>
        <w:rPr>
          <w:bCs/>
          <w:color w:val="ED1C24"/>
          <w:sz w:val="16"/>
          <w:szCs w:val="16"/>
          <w:highlight w:val="red"/>
        </w:rPr>
      </w:pPr>
      <w:r>
        <w:rPr>
          <w:bCs/>
          <w:color w:val="ED1C24"/>
          <w:sz w:val="16"/>
          <w:szCs w:val="16"/>
          <w:highlight w:val="red"/>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pPr>
            <w:r>
              <w:rPr>
                <w:b/>
                <w:color w:val="auto"/>
                <w:sz w:val="22"/>
                <w:szCs w:val="22"/>
              </w:rPr>
              <w:t>k  31.12.2019</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pPr>
            <w:r>
              <w:rPr>
                <w:b/>
                <w:color w:val="auto"/>
                <w:sz w:val="22"/>
                <w:szCs w:val="22"/>
              </w:rPr>
              <w:t>k 31.12.2020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9.108,00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9.108,00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6" w:name="OLE_LINK24"/>
            <w:bookmarkStart w:id="7" w:name="OLE_LINK25"/>
            <w:bookmarkStart w:id="8" w:name="_Hlk431753295"/>
            <w:bookmarkEnd w:id="6"/>
            <w:bookmarkEnd w:id="7"/>
            <w:bookmarkEnd w:id="8"/>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1.659.582,41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2.522.159,73</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112.715,74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17.182,80</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166.571,24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200.294,60</w:t>
            </w:r>
          </w:p>
        </w:tc>
      </w:tr>
      <w:tr>
        <w:trPr>
          <w:trHeight w:val="355"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1.338.688,00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2.266.093,01</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36.150,97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35.966,42</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3.614,00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1.806,68</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1.842,46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816,22</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1.659.582,41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2.830.632,13</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pPr>
      <w:r>
        <w:rPr>
          <w:color w:val="auto"/>
        </w:rPr>
        <w:tab/>
        <w:t>V rámci individuálne účtovnej závierky obce za rok 2020 boli vyčíslené nasledujúce druhy nákladov, ktoré boli zahrnuté vo výkaze ziskov a strát Úč ROPO SFOV 2-01</w:t>
      </w:r>
    </w:p>
    <w:p>
      <w:pPr>
        <w:pStyle w:val="Normal"/>
        <w:ind w:left="54" w:hanging="0"/>
        <w:jc w:val="both"/>
        <w:rPr>
          <w:color w:val="auto"/>
          <w:highlight w:val="red"/>
        </w:rPr>
      </w:pPr>
      <w:r>
        <w:rPr>
          <w:color w:val="auto"/>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ED1C24"/>
        </w:rPr>
      </w:pPr>
      <w:r>
        <w:rPr>
          <w:b/>
          <w:color w:val="ED1C24"/>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2"/>
        <w:gridCol w:w="5964"/>
        <w:gridCol w:w="1416"/>
        <w:gridCol w:w="1478"/>
      </w:tblGrid>
      <w:tr>
        <w:trPr/>
        <w:tc>
          <w:tcPr>
            <w:tcW w:w="112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64"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color w:val="auto"/>
              </w:rPr>
              <w:t>Suma k  31.12.2019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color w:val="auto"/>
              </w:rPr>
              <w:t>Suma k  31.12.2020</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bCs/>
                <w:color w:val="auto"/>
              </w:rPr>
              <w:t>46.898,15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bCs/>
                <w:color w:val="auto"/>
              </w:rPr>
              <w:t>53.375,22</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18.644,97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35.022,84</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28.253,18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18.352,38</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122.898,70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173.033,90</w:t>
            </w:r>
          </w:p>
        </w:tc>
      </w:tr>
      <w:tr>
        <w:trPr/>
        <w:tc>
          <w:tcPr>
            <w:tcW w:w="112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37.413,30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7.224,07</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468.97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789,42</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3.567,01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5.219,00</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81.449,42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159.801,41</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156.297,88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164.871,83</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108.792,48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118.442,27</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39.127,58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38.874,56</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6.937,82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5.560,00</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1.440,00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1.995,00</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242,43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132,50</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242,43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132,50</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4.739,13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3.249,86</w:t>
            </w:r>
          </w:p>
        </w:tc>
      </w:tr>
      <w:tr>
        <w:trPr/>
        <w:tc>
          <w:tcPr>
            <w:tcW w:w="112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4.739,13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3.246,26</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113.883,39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143.930,64</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112.683,39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142.639,37</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1.200,00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1.291,27</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1.227,56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6.425,86</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193,18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4.875,12</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1.034,38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1.550,74</w:t>
            </w:r>
          </w:p>
        </w:tc>
      </w:tr>
      <w:tr>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267.201,47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279.875,25</w:t>
            </w:r>
          </w:p>
        </w:tc>
      </w:tr>
      <w:tr>
        <w:trPr/>
        <w:tc>
          <w:tcPr>
            <w:tcW w:w="112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b w:val="false"/>
                <w:bCs w:val="false"/>
                <w:color w:val="auto"/>
              </w:rPr>
              <w:t>242.463,85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b w:val="false"/>
                <w:bCs w:val="false"/>
                <w:color w:val="auto"/>
              </w:rPr>
              <w:t>266.658,77</w:t>
            </w:r>
          </w:p>
        </w:tc>
      </w:tr>
      <w:tr>
        <w:trPr/>
        <w:tc>
          <w:tcPr>
            <w:tcW w:w="112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5.414,00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6.349,00</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16.148,28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3.944,75</w:t>
            </w:r>
          </w:p>
        </w:tc>
      </w:tr>
      <w:tr>
        <w:trPr/>
        <w:tc>
          <w:tcPr>
            <w:tcW w:w="112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3.175,34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2.922,73</w:t>
            </w:r>
          </w:p>
        </w:tc>
      </w:tr>
      <w:tr>
        <w:trPr>
          <w:trHeight w:val="422" w:hRule="atLeast"/>
        </w:trPr>
        <w:tc>
          <w:tcPr>
            <w:tcW w:w="112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6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713.388,71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824.895,06</w:t>
            </w:r>
          </w:p>
        </w:tc>
      </w:tr>
    </w:tbl>
    <w:p>
      <w:pPr>
        <w:pStyle w:val="Normal"/>
        <w:ind w:left="54" w:hanging="0"/>
        <w:jc w:val="both"/>
        <w:rPr>
          <w:b/>
          <w:b/>
          <w:color w:val="ED1C24"/>
        </w:rPr>
      </w:pPr>
      <w:r>
        <w:rPr>
          <w:b/>
          <w:color w:val="ED1C24"/>
        </w:rPr>
      </w:r>
    </w:p>
    <w:p>
      <w:pPr>
        <w:pStyle w:val="Normal"/>
        <w:ind w:left="54" w:firstLine="654"/>
        <w:jc w:val="both"/>
        <w:rPr>
          <w:b/>
          <w:b/>
          <w:color w:val="FF0000"/>
        </w:rPr>
      </w:pPr>
      <w:r>
        <w:rPr>
          <w:color w:val="ED1C24"/>
        </w:rPr>
        <w:t xml:space="preserve"> </w:t>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auto"/>
        </w:rPr>
      </w:pPr>
      <w:r>
        <w:rPr>
          <w:b/>
          <w:color w:val="auto"/>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12"/>
        <w:gridCol w:w="1416"/>
        <w:gridCol w:w="1448"/>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31.12.2019</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4.424,50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5.332,92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4.424,50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5.332,92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bCs/>
              </w:rPr>
            </w:pPr>
            <w:r>
              <w:rPr>
                <w:b/>
                <w:bCs/>
                <w:color w:val="auto"/>
              </w:rPr>
              <w:t>62</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color w:val="auto"/>
              </w:rPr>
              <w:t>Aktivácia</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528.285,33</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572.555,94</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510.399,67</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546.037,89</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17.885,66</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26.518,05</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9.610,61</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23.647,51</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1.543,52</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8.067,09</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23.647,51</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1.200,00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1.200,00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1.200,00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155.515,08</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208.857,28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20.100,54</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107.790,24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15.974,39</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28.632,72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697 -  Výnosy samosprávy z BT od iných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2.662,80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3.000,00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2"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116.777,35</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69.434,32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1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699.035,52</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811.593,65</w:t>
            </w:r>
          </w:p>
        </w:tc>
      </w:tr>
    </w:tbl>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9"/>
        <w:gridCol w:w="3"/>
        <w:gridCol w:w="1408"/>
        <w:gridCol w:w="3"/>
        <w:gridCol w:w="1453"/>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2"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1"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31.12.2019</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31.12.2020</w:t>
            </w:r>
          </w:p>
        </w:tc>
      </w:tr>
      <w:tr>
        <w:trPr>
          <w:trHeight w:val="310" w:hRule="atLeast"/>
        </w:trPr>
        <w:tc>
          <w:tcPr>
            <w:tcW w:w="7237"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-14.353,19</w:t>
            </w:r>
          </w:p>
        </w:tc>
        <w:tc>
          <w:tcPr>
            <w:tcW w:w="145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bookmarkStart w:id="9" w:name="__DdeLink__4491_2280053969"/>
            <w:r>
              <w:rPr>
                <w:b/>
                <w:bCs/>
                <w:color w:val="auto"/>
              </w:rPr>
              <w:t>-13.301,41</w:t>
            </w:r>
            <w:bookmarkEnd w:id="9"/>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12"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12"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rHeight w:val="436" w:hRule="atLeast"/>
        </w:trPr>
        <w:tc>
          <w:tcPr>
            <w:tcW w:w="7237"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-14.353,19</w:t>
            </w:r>
          </w:p>
        </w:tc>
        <w:tc>
          <w:tcPr>
            <w:tcW w:w="145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-13.301,41</w:t>
            </w:r>
          </w:p>
        </w:tc>
      </w:tr>
    </w:tbl>
    <w:p>
      <w:pPr>
        <w:pStyle w:val="Normal"/>
        <w:tabs>
          <w:tab w:val="left" w:pos="1087" w:leader="none"/>
        </w:tabs>
        <w:jc w:val="both"/>
        <w:rPr>
          <w:color w:val="2E74B5"/>
        </w:rPr>
      </w:pPr>
      <w:r>
        <w:br w:type="page"/>
      </w:r>
      <w:r>
        <w:rPr>
          <w:b/>
          <w:color w:val="auto"/>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10" w:name="OLE_LINK7"/>
      <w:bookmarkStart w:id="11" w:name="OLE_LINK8"/>
      <w:bookmarkStart w:id="12" w:name="OLE_LINK9"/>
      <w:bookmarkStart w:id="13" w:name="OLE_LINK10"/>
      <w:bookmarkStart w:id="14" w:name="OLE_LINK11"/>
      <w:bookmarkStart w:id="15" w:name="OLE_LINK12"/>
      <w:bookmarkStart w:id="16" w:name="OLE_LINK13"/>
      <w:bookmarkStart w:id="17" w:name="OLE_LINK14"/>
      <w:r>
        <w:rPr>
          <w:color w:val="auto"/>
        </w:rPr>
        <w:t xml:space="preserve"> </w:t>
      </w:r>
      <w:bookmarkEnd w:id="10"/>
      <w:bookmarkEnd w:id="11"/>
      <w:bookmarkEnd w:id="12"/>
      <w:bookmarkEnd w:id="13"/>
      <w:bookmarkEnd w:id="14"/>
      <w:bookmarkEnd w:id="15"/>
      <w:bookmarkEnd w:id="16"/>
      <w:bookmarkEnd w:id="17"/>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pPr>
      <w:r>
        <w:rPr>
          <w:rFonts w:eastAsia="TimesNewRoman" w:cs="TimesNewRoman" w:ascii="TimesNewRoman" w:hAnsi="TimesNewRoman"/>
          <w:color w:val="auto"/>
        </w:rPr>
        <w:tab/>
      </w: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2019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Vzhľadom na štruktúru konsolidovaných účtovných jednotiek a majetkovú účasť Obce Ľubeľa je</w:t>
      </w:r>
      <w:r>
        <w:rPr>
          <w:b w:val="false"/>
          <w:bCs w:val="false"/>
          <w:color w:val="auto"/>
        </w:rPr>
        <w:t xml:space="preserve"> vo vzťahu k rozpočtovej organizácii použitá metóda úplnej konsolidácie.</w:t>
      </w:r>
    </w:p>
    <w:p>
      <w:pPr>
        <w:pStyle w:val="Normal"/>
        <w:jc w:val="both"/>
        <w:rPr>
          <w:color w:val="ED1C24"/>
        </w:rPr>
      </w:pPr>
      <w:r>
        <w:rPr>
          <w:color w:val="ED1C24"/>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color w:val="auto"/>
          <w:sz w:val="28"/>
          <w:szCs w:val="28"/>
          <w:highlight w:val="red"/>
        </w:rPr>
      </w:pPr>
      <w:r>
        <w:rPr>
          <w:rFonts w:cs="Calibri-Bold" w:ascii="Calibri-Bold" w:hAnsi="Calibri-Bold"/>
          <w:b/>
          <w:bCs/>
          <w:color w:val="auto"/>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rPr>
          <w:color w:val="00A65D"/>
        </w:rPr>
      </w:pPr>
      <w:r>
        <w:rPr>
          <w:b/>
          <w:color w:val="auto"/>
          <w:sz w:val="28"/>
          <w:szCs w:val="28"/>
        </w:rPr>
        <w:t>Hospodárenie  konsolidovaného  celku za rok 2020</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D1C24"/>
          <w:highlight w:val="red"/>
        </w:rPr>
      </w:pPr>
      <w:r>
        <w:rPr>
          <w:b/>
          <w:color w:val="ED1C24"/>
          <w:highlight w:val="red"/>
        </w:rPr>
      </w:r>
    </w:p>
    <w:tbl>
      <w:tblPr>
        <w:tblW w:w="10827"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472"/>
        <w:gridCol w:w="1418"/>
        <w:gridCol w:w="1309"/>
        <w:gridCol w:w="1527"/>
        <w:gridCol w:w="1077"/>
        <w:gridCol w:w="1133"/>
        <w:gridCol w:w="1419"/>
        <w:gridCol w:w="1470"/>
      </w:tblGrid>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4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3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52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0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31.12.2019</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31.12.2020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9.108,00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9.108,00</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9.108,00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2.522.159,73</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2.522.159,73</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1.659.582,41</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2.522.159,73</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299.364,40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1.858,37</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1.858,37</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1.502,02</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1.858,37</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1.927,25</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3.915,07</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3.915,07</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1.927,25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3.915,07</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10.063,20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10.063,20</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35.854,17</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10.063,20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val="false"/>
                <w:bCs w:val="false"/>
                <w:color w:val="auto"/>
              </w:rPr>
              <w:t>0,00</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val="false"/>
                <w:bCs w:val="false"/>
                <w:color w:val="auto"/>
              </w:rPr>
              <w:t>4.917,63</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val="false"/>
                <w:bCs w:val="false"/>
                <w:color w:val="auto"/>
              </w:rPr>
              <w:t>0,00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43.089,51</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66.213,17</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109.302,68</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100.010,05</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109.302,68</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2.213,37</w:t>
            </w:r>
          </w:p>
        </w:tc>
        <w:tc>
          <w:tcPr>
            <w:tcW w:w="13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32,67</w:t>
            </w:r>
          </w:p>
        </w:tc>
        <w:tc>
          <w:tcPr>
            <w:tcW w:w="152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2.246,04</w:t>
            </w:r>
          </w:p>
        </w:tc>
        <w:tc>
          <w:tcPr>
            <w:tcW w:w="10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1.897,90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2.246,04</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41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2.887.925,46</w:t>
            </w:r>
          </w:p>
        </w:tc>
        <w:tc>
          <w:tcPr>
            <w:tcW w:w="13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72.019,28</w:t>
            </w:r>
          </w:p>
        </w:tc>
        <w:tc>
          <w:tcPr>
            <w:tcW w:w="152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2.958.017,49</w:t>
            </w:r>
          </w:p>
        </w:tc>
        <w:tc>
          <w:tcPr>
            <w:tcW w:w="10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-1.927,25</w:t>
            </w:r>
          </w:p>
        </w:tc>
        <w:tc>
          <w:tcPr>
            <w:tcW w:w="113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41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1.803.764,18</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2.958.017,49</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4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3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52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0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31.12.2019</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Spolu 31.12.2020</w:t>
            </w:r>
          </w:p>
        </w:tc>
      </w:tr>
      <w:tr>
        <w:trPr>
          <w:trHeight w:val="699"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1.013.219,36</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-1.866,54</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1.011.352,82</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ED1C24"/>
              </w:rPr>
            </w:pPr>
            <w:r>
              <w:rPr>
                <w:bCs/>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ED1C24"/>
              </w:rPr>
            </w:pPr>
            <w:r>
              <w:rPr>
                <w:b/>
                <w:bCs/>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719.669,51</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1.011.352,82</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1.026.520,77</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-18.733,44</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1.007.787,33</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751.287,37</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1.007.787,33</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color w:val="auto"/>
              </w:rPr>
              <w:t>Výsledok 2020</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-13.301,41</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16.866,90</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3.565,49</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-31.617,86</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3.565,49</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839.796,02</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73.853,15</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911.721,92</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 xml:space="preserve"> </w:t>
            </w:r>
            <w:r>
              <w:rPr>
                <w:b/>
                <w:color w:val="auto"/>
              </w:rPr>
              <w:t>1.927,25</w:t>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297.045,20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911.721,92</w:t>
            </w:r>
          </w:p>
        </w:tc>
      </w:tr>
      <w:tr>
        <w:trPr>
          <w:trHeight w:val="35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1.200,00</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1.200,00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16.845,00</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1.927,25</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16.845,00</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1.927,25</w:t>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38.687,57</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16.845,00</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378.579,96</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4.717,38</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383.297,34</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4.837,72</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383.297,34</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39.209,07</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67.208,52</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106.417,59</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143.349,96</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106.417,59</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403.691,99</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403.691,33</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108.969,95</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403.691,33</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41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1.034.910,08</w:t>
            </w:r>
          </w:p>
        </w:tc>
        <w:tc>
          <w:tcPr>
            <w:tcW w:w="13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32,67</w:t>
            </w:r>
          </w:p>
        </w:tc>
        <w:tc>
          <w:tcPr>
            <w:tcW w:w="152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1.034.942,75</w:t>
            </w:r>
          </w:p>
        </w:tc>
        <w:tc>
          <w:tcPr>
            <w:tcW w:w="10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13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41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787.049,47</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1.034.942,75</w:t>
            </w:r>
          </w:p>
        </w:tc>
      </w:tr>
      <w:tr>
        <w:trPr>
          <w:trHeight w:val="276" w:hRule="atLeast"/>
        </w:trPr>
        <w:tc>
          <w:tcPr>
            <w:tcW w:w="147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41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2.887.925,46</w:t>
            </w:r>
          </w:p>
        </w:tc>
        <w:tc>
          <w:tcPr>
            <w:tcW w:w="13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72.019,28</w:t>
            </w:r>
          </w:p>
        </w:tc>
        <w:tc>
          <w:tcPr>
            <w:tcW w:w="152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2.958.017,49</w:t>
            </w:r>
          </w:p>
        </w:tc>
        <w:tc>
          <w:tcPr>
            <w:tcW w:w="10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ED1C24"/>
              </w:rPr>
            </w:pPr>
            <w:r>
              <w:rPr>
                <w:bCs/>
                <w:color w:val="ED1C24"/>
              </w:rPr>
            </w:r>
          </w:p>
        </w:tc>
        <w:tc>
          <w:tcPr>
            <w:tcW w:w="113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1.927,25</w:t>
            </w:r>
          </w:p>
        </w:tc>
        <w:tc>
          <w:tcPr>
            <w:tcW w:w="141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1.803.764,18</w:t>
            </w:r>
          </w:p>
        </w:tc>
        <w:tc>
          <w:tcPr>
            <w:tcW w:w="14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2.958.017,49</w:t>
            </w:r>
          </w:p>
        </w:tc>
      </w:tr>
    </w:tbl>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pPr>
      <w:r>
        <w:rPr>
          <w:b/>
          <w:color w:val="auto"/>
        </w:rPr>
        <w:t>Okrem konsolidácie majetku a záväzkov, boli za rok 2020 konsolidované náklady a výnosy</w:t>
      </w:r>
      <w:r>
        <w:rPr>
          <w:b/>
          <w:color w:val="ED1C24"/>
        </w:rPr>
        <w:t xml:space="preserve">. </w:t>
      </w:r>
    </w:p>
    <w:p>
      <w:pPr>
        <w:pStyle w:val="Normal"/>
        <w:tabs>
          <w:tab w:val="left" w:pos="360" w:leader="none"/>
        </w:tabs>
        <w:jc w:val="both"/>
        <w:rPr>
          <w:b/>
          <w:b/>
          <w:color w:val="ED1C24"/>
          <w:sz w:val="20"/>
          <w:szCs w:val="20"/>
        </w:rPr>
      </w:pPr>
      <w:r>
        <w:rPr>
          <w:b/>
          <w:color w:val="ED1C24"/>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268"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82"/>
        <w:gridCol w:w="1418"/>
        <w:gridCol w:w="1326"/>
        <w:gridCol w:w="1413"/>
        <w:gridCol w:w="1299"/>
        <w:gridCol w:w="452"/>
        <w:gridCol w:w="1366"/>
        <w:gridCol w:w="1410"/>
      </w:tblGrid>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4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3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29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3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31.12.2019</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538.593,95</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983.647,23</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1.522.241,18</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1.336.251,68</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sz w:val="22"/>
                <w:szCs w:val="22"/>
              </w:rPr>
              <w:t>1.522.241,18</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53.375,22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135.181,67</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188.556,89</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172.994,27</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188.556,89</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173.033,90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21.900,31</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194.934,21</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185.264,53</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194.934,21</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164.871,83</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801.807,25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966.679,08</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832.534,25</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966.679,08</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132,50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840,00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972,50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1.322,43</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972,50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3.249,86</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23.918,00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27.167,86</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30.252,81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27.167,86</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143.930,64</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143.930,64</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113.883,39</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143.930,64</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6.425,86</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1.419,85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7.845,71</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2.593,91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7.845,71</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6.425,86</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1.419,85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7.845,71</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2.593,91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7.845,71</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0,00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279.875,25</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69.434,32</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13.216,48</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-336.093,09</w:t>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24.737,62</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13.216,48</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41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824.895,06</w:t>
            </w:r>
          </w:p>
        </w:tc>
        <w:tc>
          <w:tcPr>
            <w:tcW w:w="132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1.054.501,40</w:t>
            </w:r>
          </w:p>
        </w:tc>
        <w:tc>
          <w:tcPr>
            <w:tcW w:w="141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1.543.303,37</w:t>
            </w:r>
          </w:p>
        </w:tc>
        <w:tc>
          <w:tcPr>
            <w:tcW w:w="129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-336.093,09</w:t>
            </w:r>
          </w:p>
        </w:tc>
        <w:tc>
          <w:tcPr>
            <w:tcW w:w="4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1.363.583,21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sz w:val="22"/>
                <w:szCs w:val="22"/>
              </w:rPr>
              <w:t>1.543.303,37</w:t>
            </w:r>
          </w:p>
        </w:tc>
      </w:tr>
    </w:tbl>
    <w:p>
      <w:pPr>
        <w:pStyle w:val="Normal"/>
        <w:tabs>
          <w:tab w:val="left" w:pos="360" w:leader="none"/>
        </w:tabs>
        <w:jc w:val="both"/>
        <w:rPr>
          <w:highlight w:val="red"/>
        </w:rPr>
      </w:pPr>
      <w:r>
        <w:rPr>
          <w:color w:val="ED1C24"/>
        </w:rPr>
        <w:tab/>
        <w:tab/>
      </w:r>
    </w:p>
    <w:p>
      <w:pPr>
        <w:pStyle w:val="Normal"/>
        <w:tabs>
          <w:tab w:val="left" w:pos="360" w:leader="none"/>
        </w:tabs>
        <w:jc w:val="both"/>
        <w:rPr>
          <w:color w:val="ED1C24"/>
          <w:highlight w:val="red"/>
        </w:rPr>
      </w:pPr>
      <w:r>
        <w:rPr>
          <w:color w:val="ED1C24"/>
          <w:highlight w:val="red"/>
        </w:rPr>
      </w:r>
    </w:p>
    <w:p>
      <w:pPr>
        <w:pStyle w:val="Normal"/>
        <w:tabs>
          <w:tab w:val="left" w:pos="360" w:leader="none"/>
        </w:tabs>
        <w:jc w:val="both"/>
        <w:rPr>
          <w:color w:val="ED1C24"/>
          <w:highlight w:val="red"/>
        </w:rPr>
      </w:pPr>
      <w:r>
        <w:rPr>
          <w:color w:val="ED1C24"/>
          <w:highlight w:val="red"/>
        </w:rPr>
      </w:r>
    </w:p>
    <w:tbl>
      <w:tblPr>
        <w:tblW w:w="10073"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55"/>
        <w:gridCol w:w="1315"/>
        <w:gridCol w:w="1283"/>
        <w:gridCol w:w="1296"/>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5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1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31.12.2019</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602.736,37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58.655,61</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661.391,98</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616.246,49</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sz w:val="22"/>
                <w:szCs w:val="22"/>
              </w:rPr>
              <w:t>661.391,98</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5.332,92</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49.665,08</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54.998,00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65.730,02</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54.998,00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5.437,53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5.437,53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8.304,03</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5.437,53</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572.555,94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572.555,94</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528.285,33</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572.555,94</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23.647,51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3.553,00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27.200,51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12.727,11</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27.200,51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1.200,00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1.200,00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1.200,00</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1.200,00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7,33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7,33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60,27</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7,33</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7,33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7,33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60,27</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7,33</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1.023,80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1.023,80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1.023,80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1.023.80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1.023,80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1.023,80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208.857,28</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1.011.681,56</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884.445,75</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-336.093,09</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715.658,59</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884.445,75</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811.593,65</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1.071.368,30</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1.546.868,86</w:t>
            </w:r>
          </w:p>
        </w:tc>
        <w:tc>
          <w:tcPr>
            <w:tcW w:w="45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1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-336.093,09</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1.331.965,35</w:t>
            </w:r>
          </w:p>
        </w:tc>
        <w:tc>
          <w:tcPr>
            <w:tcW w:w="12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sz w:val="22"/>
                <w:szCs w:val="22"/>
              </w:rPr>
              <w:t>1.546.868,86</w:t>
            </w:r>
          </w:p>
        </w:tc>
      </w:tr>
    </w:tbl>
    <w:p>
      <w:pPr>
        <w:pStyle w:val="Normal"/>
        <w:tabs>
          <w:tab w:val="left" w:pos="360" w:leader="none"/>
        </w:tabs>
        <w:jc w:val="both"/>
        <w:rPr>
          <w:color w:val="EF413D"/>
        </w:rPr>
      </w:pPr>
      <w:r>
        <w:rPr>
          <w:color w:val="ED1C24"/>
        </w:rPr>
        <w:tab/>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pPr>
      <w:r>
        <w:rPr>
          <w:color w:val="auto"/>
        </w:rPr>
        <w:tab/>
        <w:tab/>
      </w:r>
    </w:p>
    <w:p>
      <w:pPr>
        <w:pStyle w:val="Normal"/>
        <w:tabs>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D1C24"/>
          <w:sz w:val="28"/>
          <w:szCs w:val="28"/>
          <w:highlight w:val="red"/>
        </w:rPr>
      </w:pPr>
      <w:r>
        <w:rPr>
          <w:b/>
          <w:color w:val="ED1C24"/>
          <w:sz w:val="28"/>
          <w:szCs w:val="28"/>
          <w:highlight w:val="red"/>
        </w:rPr>
      </w:r>
    </w:p>
    <w:p>
      <w:pPr>
        <w:pStyle w:val="Normal"/>
        <w:tabs>
          <w:tab w:val="left" w:pos="1087" w:leader="none"/>
        </w:tabs>
        <w:ind w:left="54" w:hanging="0"/>
        <w:jc w:val="both"/>
        <w:rPr>
          <w:b/>
          <w:b/>
          <w:color w:val="auto"/>
          <w:sz w:val="28"/>
          <w:szCs w:val="28"/>
          <w:highlight w:val="red"/>
        </w:rPr>
      </w:pPr>
      <w:r>
        <w:rPr>
          <w:b/>
          <w:color w:val="auto"/>
          <w:sz w:val="28"/>
          <w:szCs w:val="28"/>
          <w:highlight w:val="red"/>
        </w:rPr>
      </w:r>
    </w:p>
    <w:p>
      <w:pPr>
        <w:pStyle w:val="Normal"/>
        <w:tabs>
          <w:tab w:val="left" w:pos="1087" w:leader="none"/>
        </w:tabs>
        <w:ind w:left="54" w:hanging="0"/>
        <w:jc w:val="both"/>
        <w:rPr>
          <w:bCs/>
          <w:sz w:val="20"/>
          <w:szCs w:val="20"/>
        </w:rPr>
      </w:pPr>
      <w:r>
        <w:rPr>
          <w:b/>
          <w:color w:val="auto"/>
          <w:sz w:val="28"/>
          <w:szCs w:val="28"/>
        </w:rPr>
        <w:t>8. Predpokladaný budúci vývoj – zámery obce</w:t>
      </w:r>
    </w:p>
    <w:p>
      <w:pPr>
        <w:pStyle w:val="Normal"/>
        <w:tabs>
          <w:tab w:val="left" w:pos="7380" w:leader="none"/>
          <w:tab w:val="left" w:pos="9720" w:leader="none"/>
          <w:tab w:val="left" w:pos="11880" w:leader="none"/>
        </w:tabs>
        <w:jc w:val="both"/>
        <w:rPr>
          <w:bCs/>
          <w:color w:val="auto"/>
          <w:sz w:val="20"/>
          <w:szCs w:val="20"/>
        </w:rPr>
      </w:pPr>
      <w:r>
        <w:rPr>
          <w:bCs/>
          <w:color w:val="auto"/>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D1C24"/>
          <w:sz w:val="20"/>
          <w:szCs w:val="20"/>
          <w:highlight w:val="red"/>
        </w:rPr>
      </w:pPr>
      <w:r>
        <w:rPr>
          <w:b/>
          <w:color w:val="ED1C24"/>
          <w:sz w:val="20"/>
          <w:szCs w:val="20"/>
          <w:highlight w:val="red"/>
        </w:rPr>
      </w:r>
    </w:p>
    <w:p>
      <w:pPr>
        <w:pStyle w:val="Normal"/>
        <w:jc w:val="both"/>
        <w:rPr>
          <w:color w:val="auto"/>
          <w:sz w:val="20"/>
          <w:szCs w:val="20"/>
          <w:highlight w:val="red"/>
        </w:rPr>
      </w:pPr>
      <w:r>
        <w:rPr>
          <w:color w:val="auto"/>
          <w:sz w:val="20"/>
          <w:szCs w:val="20"/>
          <w:highlight w:val="red"/>
        </w:rPr>
      </w:r>
    </w:p>
    <w:p>
      <w:pPr>
        <w:pStyle w:val="Normal"/>
        <w:tabs>
          <w:tab w:val="left" w:pos="1087" w:leader="none"/>
        </w:tabs>
        <w:ind w:left="54" w:hanging="0"/>
        <w:jc w:val="both"/>
        <w:rPr>
          <w:b/>
          <w:b/>
          <w:bCs/>
          <w:sz w:val="20"/>
          <w:szCs w:val="20"/>
        </w:rPr>
      </w:pPr>
      <w:r>
        <w:rPr>
          <w:b/>
          <w:color w:val="auto"/>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pPr>
      <w:r>
        <w:rPr>
          <w:bCs/>
          <w:color w:val="auto"/>
        </w:rPr>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pPr>
      <w:r>
        <w:rPr>
          <w:bCs/>
          <w:color w:val="auto"/>
        </w:rPr>
        <w:t>Táto výročná správa sa vyhotovuje za účtovné obdobie od 1.1.2020 do 31.12.2020. Obec Ľubeľa</w:t>
      </w:r>
      <w:r>
        <w:rPr>
          <w:color w:val="auto"/>
        </w:rPr>
        <w:t xml:space="preserve"> </w:t>
      </w:r>
      <w:r>
        <w:rPr>
          <w:bCs/>
          <w:color w:val="auto"/>
        </w:rPr>
        <w:t xml:space="preserve">zostavovala za rok 2020 účtovnú závierku za konsolidovaný celok. </w:t>
      </w:r>
    </w:p>
    <w:p>
      <w:pPr>
        <w:pStyle w:val="Normal"/>
        <w:ind w:hanging="0"/>
        <w:jc w:val="both"/>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10"/>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Times-Roman">
    <w:altName w:val="Times New 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27</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3">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4">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5">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58"/>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character" w:styleId="ListLabel93">
    <w:name w:val="ListLabel 93"/>
    <w:qFormat/>
    <w:rPr>
      <w:rFonts w:cs="Symbol"/>
      <w:sz w:val="16"/>
      <w:szCs w:val="16"/>
    </w:rPr>
  </w:style>
  <w:style w:type="character" w:styleId="ListLabel94">
    <w:name w:val="ListLabel 94"/>
    <w:qFormat/>
    <w:rPr>
      <w:rFonts w:cs="Symbol"/>
      <w:sz w:val="16"/>
      <w:szCs w:val="16"/>
    </w:rPr>
  </w:style>
  <w:style w:type="character" w:styleId="ListLabel95">
    <w:name w:val="ListLabel 95"/>
    <w:qFormat/>
    <w:rPr>
      <w:rFonts w:cs="Symbol"/>
      <w:sz w:val="16"/>
      <w:szCs w:val="16"/>
    </w:rPr>
  </w:style>
  <w:style w:type="character" w:styleId="ListLabel96">
    <w:name w:val="ListLabel 96"/>
    <w:qFormat/>
    <w:rPr>
      <w:rFonts w:cs="Symbol"/>
      <w:sz w:val="16"/>
      <w:szCs w:val="16"/>
    </w:rPr>
  </w:style>
  <w:style w:type="character" w:styleId="ListLabel97">
    <w:name w:val="ListLabel 97"/>
    <w:qFormat/>
    <w:rPr>
      <w:rFonts w:cs="Symbol"/>
      <w:sz w:val="16"/>
      <w:szCs w:val="16"/>
    </w:rPr>
  </w:style>
  <w:style w:type="character" w:styleId="ListLabel98">
    <w:name w:val="ListLabel 98"/>
    <w:qFormat/>
    <w:rPr>
      <w:rFonts w:cs="Symbol"/>
      <w:sz w:val="16"/>
      <w:szCs w:val="16"/>
    </w:rPr>
  </w:style>
  <w:style w:type="character" w:styleId="ListLabel99">
    <w:name w:val="ListLabel 99"/>
    <w:qFormat/>
    <w:rPr>
      <w:rFonts w:cs="Symbol"/>
      <w:sz w:val="16"/>
      <w:szCs w:val="16"/>
    </w:rPr>
  </w:style>
  <w:style w:type="character" w:styleId="ListLabel100">
    <w:name w:val="ListLabel 100"/>
    <w:qFormat/>
    <w:rPr>
      <w:rFonts w:cs="Symbol"/>
      <w:sz w:val="16"/>
      <w:szCs w:val="16"/>
    </w:rPr>
  </w:style>
  <w:style w:type="character" w:styleId="ListLabel101">
    <w:name w:val="ListLabel 101"/>
    <w:qFormat/>
    <w:rPr>
      <w:rFonts w:cs="Symbol"/>
      <w:sz w:val="16"/>
      <w:szCs w:val="16"/>
    </w:rPr>
  </w:style>
  <w:style w:type="character" w:styleId="ListLabel102">
    <w:name w:val="ListLabel 102"/>
    <w:qFormat/>
    <w:rPr>
      <w:rFonts w:cs="OpenSymbol"/>
      <w:b/>
      <w:color w:val="0066CC"/>
      <w:sz w:val="28"/>
      <w:szCs w:val="28"/>
    </w:rPr>
  </w:style>
  <w:style w:type="character" w:styleId="ListLabel103">
    <w:name w:val="ListLabel 103"/>
    <w:qFormat/>
    <w:rPr>
      <w:rFonts w:cs="Times New Roman"/>
    </w:rPr>
  </w:style>
  <w:style w:type="character" w:styleId="ListLabel104">
    <w:name w:val="ListLabel 104"/>
    <w:qFormat/>
    <w:rPr/>
  </w:style>
  <w:style w:type="character" w:styleId="ListLabel105">
    <w:name w:val="ListLabel 105"/>
    <w:qFormat/>
    <w:rPr>
      <w:rFonts w:cs="Symbol"/>
    </w:rPr>
  </w:style>
  <w:style w:type="character" w:styleId="ListLabel106">
    <w:name w:val="ListLabel 106"/>
    <w:qFormat/>
    <w:rPr>
      <w:rFonts w:cs="Symbol"/>
    </w:rPr>
  </w:style>
  <w:style w:type="character" w:styleId="ListLabel107">
    <w:name w:val="ListLabel 107"/>
    <w:qFormat/>
    <w:rPr>
      <w:rFonts w:cs="Symbol"/>
    </w:rPr>
  </w:style>
  <w:style w:type="character" w:styleId="ListLabel108">
    <w:name w:val="ListLabel 108"/>
    <w:qFormat/>
    <w:rPr>
      <w:rFonts w:cs="Symbol"/>
    </w:rPr>
  </w:style>
  <w:style w:type="character" w:styleId="ListLabel109">
    <w:name w:val="ListLabel 109"/>
    <w:qFormat/>
    <w:rPr>
      <w:rFonts w:cs="Symbol"/>
    </w:rPr>
  </w:style>
  <w:style w:type="character" w:styleId="ListLabel110">
    <w:name w:val="ListLabel 110"/>
    <w:qFormat/>
    <w:rPr>
      <w:rFonts w:cs="Symbol"/>
    </w:rPr>
  </w:style>
  <w:style w:type="character" w:styleId="ListLabel111">
    <w:name w:val="ListLabel 111"/>
    <w:qFormat/>
    <w:rPr>
      <w:rFonts w:cs="Symbol"/>
    </w:rPr>
  </w:style>
  <w:style w:type="character" w:styleId="ListLabel112">
    <w:name w:val="ListLabel 112"/>
    <w:qFormat/>
    <w:rPr>
      <w:rFonts w:cs="Symbol"/>
    </w:rPr>
  </w:style>
  <w:style w:type="character" w:styleId="ListLabel113">
    <w:name w:val="ListLabel 113"/>
    <w:qFormat/>
    <w:rPr>
      <w:rFonts w:cs="Symbol"/>
    </w:rPr>
  </w:style>
  <w:style w:type="character" w:styleId="ListLabel114">
    <w:name w:val="ListLabel 114"/>
    <w:qFormat/>
    <w:rPr/>
  </w:style>
  <w:style w:type="character" w:styleId="ListLabel115">
    <w:name w:val="ListLabel 115"/>
    <w:qFormat/>
    <w:rPr>
      <w:rFonts w:cs="Symbol"/>
    </w:rPr>
  </w:style>
  <w:style w:type="character" w:styleId="ListLabel116">
    <w:name w:val="ListLabel 116"/>
    <w:qFormat/>
    <w:rPr>
      <w:rFonts w:cs="Symbol"/>
    </w:rPr>
  </w:style>
  <w:style w:type="character" w:styleId="ListLabel117">
    <w:name w:val="ListLabel 117"/>
    <w:qFormat/>
    <w:rPr>
      <w:rFonts w:cs="Symbol"/>
    </w:rPr>
  </w:style>
  <w:style w:type="character" w:styleId="ListLabel118">
    <w:name w:val="ListLabel 118"/>
    <w:qFormat/>
    <w:rPr>
      <w:rFonts w:cs="Symbol"/>
    </w:rPr>
  </w:style>
  <w:style w:type="character" w:styleId="ListLabel119">
    <w:name w:val="ListLabel 119"/>
    <w:qFormat/>
    <w:rPr>
      <w:rFonts w:cs="Symbol"/>
    </w:rPr>
  </w:style>
  <w:style w:type="character" w:styleId="ListLabel120">
    <w:name w:val="ListLabel 120"/>
    <w:qFormat/>
    <w:rPr>
      <w:rFonts w:cs="Symbol"/>
    </w:rPr>
  </w:style>
  <w:style w:type="character" w:styleId="ListLabel121">
    <w:name w:val="ListLabel 121"/>
    <w:qFormat/>
    <w:rPr>
      <w:rFonts w:cs="Symbol"/>
    </w:rPr>
  </w:style>
  <w:style w:type="character" w:styleId="ListLabel122">
    <w:name w:val="ListLabel 122"/>
    <w:qFormat/>
    <w:rPr>
      <w:rFonts w:cs="Symbol"/>
    </w:rPr>
  </w:style>
  <w:style w:type="character" w:styleId="ListLabel123">
    <w:name w:val="ListLabel 123"/>
    <w:qFormat/>
    <w:rPr>
      <w:rFonts w:cs="Symbol"/>
    </w:rPr>
  </w:style>
  <w:style w:type="character" w:styleId="ListLabel124">
    <w:name w:val="ListLabel 124"/>
    <w:qFormat/>
    <w:rPr/>
  </w:style>
  <w:style w:type="character" w:styleId="ListLabel125">
    <w:name w:val="ListLabel 125"/>
    <w:qFormat/>
    <w:rPr>
      <w:rFonts w:cs="Symbol"/>
    </w:rPr>
  </w:style>
  <w:style w:type="character" w:styleId="ListLabel126">
    <w:name w:val="ListLabel 126"/>
    <w:qFormat/>
    <w:rPr>
      <w:rFonts w:cs="Symbol"/>
    </w:rPr>
  </w:style>
  <w:style w:type="character" w:styleId="ListLabel127">
    <w:name w:val="ListLabel 127"/>
    <w:qFormat/>
    <w:rPr>
      <w:rFonts w:cs="Symbol"/>
    </w:rPr>
  </w:style>
  <w:style w:type="character" w:styleId="ListLabel128">
    <w:name w:val="ListLabel 128"/>
    <w:qFormat/>
    <w:rPr>
      <w:rFonts w:cs="Symbol"/>
    </w:rPr>
  </w:style>
  <w:style w:type="character" w:styleId="ListLabel129">
    <w:name w:val="ListLabel 129"/>
    <w:qFormat/>
    <w:rPr>
      <w:rFonts w:cs="Symbol"/>
    </w:rPr>
  </w:style>
  <w:style w:type="character" w:styleId="ListLabel130">
    <w:name w:val="ListLabel 130"/>
    <w:qFormat/>
    <w:rPr>
      <w:rFonts w:cs="Symbol"/>
    </w:rPr>
  </w:style>
  <w:style w:type="character" w:styleId="ListLabel131">
    <w:name w:val="ListLabel 131"/>
    <w:qFormat/>
    <w:rPr>
      <w:rFonts w:cs="Symbol"/>
    </w:rPr>
  </w:style>
  <w:style w:type="character" w:styleId="ListLabel132">
    <w:name w:val="ListLabel 132"/>
    <w:qFormat/>
    <w:rPr>
      <w:rFonts w:cs="Symbol"/>
    </w:rPr>
  </w:style>
  <w:style w:type="character" w:styleId="ListLabel133">
    <w:name w:val="ListLabel 133"/>
    <w:qFormat/>
    <w:rPr>
      <w:rFonts w:cs="Symbol"/>
    </w:rPr>
  </w:style>
  <w:style w:type="character" w:styleId="ListLabel134">
    <w:name w:val="ListLabel 134"/>
    <w:qFormat/>
    <w:rPr>
      <w:rFonts w:cs="OpenSymbol"/>
    </w:rPr>
  </w:style>
  <w:style w:type="character" w:styleId="ListLabel135">
    <w:name w:val="ListLabel 135"/>
    <w:qFormat/>
    <w:rPr>
      <w:rFonts w:cs="Times New Roman"/>
    </w:rPr>
  </w:style>
  <w:style w:type="character" w:styleId="ListLabel136">
    <w:name w:val="ListLabel 136"/>
    <w:qFormat/>
    <w:rPr/>
  </w:style>
  <w:style w:type="character" w:styleId="ListLabel137">
    <w:name w:val="ListLabel 137"/>
    <w:qFormat/>
    <w:rPr>
      <w:rFonts w:cs="Symbol"/>
    </w:rPr>
  </w:style>
  <w:style w:type="character" w:styleId="ListLabel138">
    <w:name w:val="ListLabel 138"/>
    <w:qFormat/>
    <w:rPr>
      <w:rFonts w:cs="Symbol"/>
    </w:rPr>
  </w:style>
  <w:style w:type="character" w:styleId="ListLabel139">
    <w:name w:val="ListLabel 139"/>
    <w:qFormat/>
    <w:rPr>
      <w:rFonts w:cs="Symbol"/>
    </w:rPr>
  </w:style>
  <w:style w:type="character" w:styleId="ListLabel140">
    <w:name w:val="ListLabel 140"/>
    <w:qFormat/>
    <w:rPr>
      <w:rFonts w:cs="Symbol"/>
    </w:rPr>
  </w:style>
  <w:style w:type="character" w:styleId="ListLabel141">
    <w:name w:val="ListLabel 141"/>
    <w:qFormat/>
    <w:rPr>
      <w:rFonts w:cs="Symbol"/>
    </w:rPr>
  </w:style>
  <w:style w:type="character" w:styleId="ListLabel142">
    <w:name w:val="ListLabel 142"/>
    <w:qFormat/>
    <w:rPr>
      <w:rFonts w:cs="Symbol"/>
    </w:rPr>
  </w:style>
  <w:style w:type="character" w:styleId="ListLabel143">
    <w:name w:val="ListLabel 143"/>
    <w:qFormat/>
    <w:rPr>
      <w:rFonts w:cs="Symbol"/>
    </w:rPr>
  </w:style>
  <w:style w:type="character" w:styleId="ListLabel144">
    <w:name w:val="ListLabel 144"/>
    <w:qFormat/>
    <w:rPr>
      <w:rFonts w:cs="Symbol"/>
    </w:rPr>
  </w:style>
  <w:style w:type="character" w:styleId="ListLabel145">
    <w:name w:val="ListLabel 145"/>
    <w:qFormat/>
    <w:rPr>
      <w:rFonts w:cs="Symbol"/>
    </w:rPr>
  </w:style>
  <w:style w:type="character" w:styleId="ListLabel146">
    <w:name w:val="ListLabel 146"/>
    <w:qFormat/>
    <w:rPr>
      <w:rFonts w:cs="OpenSymbol"/>
    </w:rPr>
  </w:style>
  <w:style w:type="character" w:styleId="ListLabel147">
    <w:name w:val="ListLabel 147"/>
    <w:qFormat/>
    <w:rPr>
      <w:rFonts w:cs="Times New Roman"/>
    </w:rPr>
  </w:style>
  <w:style w:type="character" w:styleId="ListLabel148">
    <w:name w:val="ListLabel 148"/>
    <w:qFormat/>
    <w:rPr/>
  </w:style>
  <w:style w:type="character" w:styleId="ListLabel149">
    <w:name w:val="ListLabel 149"/>
    <w:qFormat/>
    <w:rPr>
      <w:rFonts w:cs="Symbol"/>
    </w:rPr>
  </w:style>
  <w:style w:type="character" w:styleId="ListLabel150">
    <w:name w:val="ListLabel 150"/>
    <w:qFormat/>
    <w:rPr>
      <w:rFonts w:cs="Symbol"/>
    </w:rPr>
  </w:style>
  <w:style w:type="character" w:styleId="ListLabel151">
    <w:name w:val="ListLabel 151"/>
    <w:qFormat/>
    <w:rPr>
      <w:rFonts w:cs="Symbol"/>
    </w:rPr>
  </w:style>
  <w:style w:type="character" w:styleId="ListLabel152">
    <w:name w:val="ListLabel 152"/>
    <w:qFormat/>
    <w:rPr>
      <w:rFonts w:cs="Symbol"/>
    </w:rPr>
  </w:style>
  <w:style w:type="character" w:styleId="ListLabel153">
    <w:name w:val="ListLabel 153"/>
    <w:qFormat/>
    <w:rPr>
      <w:rFonts w:cs="Symbol"/>
    </w:rPr>
  </w:style>
  <w:style w:type="character" w:styleId="ListLabel154">
    <w:name w:val="ListLabel 154"/>
    <w:qFormat/>
    <w:rPr>
      <w:rFonts w:cs="Symbol"/>
    </w:rPr>
  </w:style>
  <w:style w:type="character" w:styleId="ListLabel155">
    <w:name w:val="ListLabel 155"/>
    <w:qFormat/>
    <w:rPr>
      <w:rFonts w:cs="Symbol"/>
    </w:rPr>
  </w:style>
  <w:style w:type="character" w:styleId="ListLabel156">
    <w:name w:val="ListLabel 156"/>
    <w:qFormat/>
    <w:rPr>
      <w:rFonts w:cs="Symbol"/>
    </w:rPr>
  </w:style>
  <w:style w:type="character" w:styleId="ListLabel157">
    <w:name w:val="ListLabel 157"/>
    <w:qFormat/>
    <w:rPr>
      <w:rFonts w:cs="Symbol"/>
    </w:rPr>
  </w:style>
  <w:style w:type="character" w:styleId="ListLabel158">
    <w:name w:val="ListLabel 158"/>
    <w:qFormat/>
    <w:rPr>
      <w:rFonts w:cs="OpenSymbol"/>
    </w:rPr>
  </w:style>
  <w:style w:type="character" w:styleId="ListLabel159">
    <w:name w:val="ListLabel 159"/>
    <w:qFormat/>
    <w:rPr>
      <w:rFonts w:cs="Times New Roman"/>
    </w:rPr>
  </w:style>
  <w:style w:type="character" w:styleId="ListLabel160">
    <w:name w:val="ListLabel 160"/>
    <w:qFormat/>
    <w:rPr/>
  </w:style>
  <w:style w:type="character" w:styleId="ListLabel161">
    <w:name w:val="ListLabel 161"/>
    <w:qFormat/>
    <w:rPr>
      <w:rFonts w:cs="Times New Roman"/>
    </w:rPr>
  </w:style>
  <w:style w:type="character" w:styleId="ListLabel162">
    <w:name w:val="ListLabel 162"/>
    <w:qFormat/>
    <w:rPr>
      <w:rFonts w:cs="Times New Roman"/>
    </w:rPr>
  </w:style>
  <w:style w:type="character" w:styleId="ListLabel163">
    <w:name w:val="ListLabel 163"/>
    <w:qFormat/>
    <w:rPr>
      <w:rFonts w:cs="Times New Roman"/>
    </w:rPr>
  </w:style>
  <w:style w:type="character" w:styleId="ListLabel164">
    <w:name w:val="ListLabel 164"/>
    <w:qFormat/>
    <w:rPr>
      <w:rFonts w:cs="Times New Roman"/>
    </w:rPr>
  </w:style>
  <w:style w:type="character" w:styleId="ListLabel165">
    <w:name w:val="ListLabel 165"/>
    <w:qFormat/>
    <w:rPr>
      <w:rFonts w:cs="Times New Roman"/>
    </w:rPr>
  </w:style>
  <w:style w:type="character" w:styleId="ListLabel166">
    <w:name w:val="ListLabel 166"/>
    <w:qFormat/>
    <w:rPr>
      <w:rFonts w:cs="Times New Roman"/>
    </w:rPr>
  </w:style>
  <w:style w:type="character" w:styleId="ListLabel167">
    <w:name w:val="ListLabel 167"/>
    <w:qFormat/>
    <w:rPr>
      <w:rFonts w:cs="Times New Roman"/>
    </w:rPr>
  </w:style>
  <w:style w:type="character" w:styleId="ListLabel168">
    <w:name w:val="ListLabel 168"/>
    <w:qFormat/>
    <w:rPr>
      <w:rFonts w:cs="Times New Roman"/>
    </w:rPr>
  </w:style>
  <w:style w:type="character" w:styleId="ListLabel169">
    <w:name w:val="ListLabel 169"/>
    <w:qFormat/>
    <w:rPr>
      <w:rFonts w:cs="Times New Roman"/>
    </w:rPr>
  </w:style>
  <w:style w:type="character" w:styleId="ListLabel170">
    <w:name w:val="ListLabel 170"/>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numbering" w:styleId="WW8Num8">
    <w:name w:val="WW8Num8"/>
    <w:qFormat/>
  </w:style>
  <w:style w:type="numbering" w:styleId="WW8Num7">
    <w:name w:val="WW8Num7"/>
    <w:qFormat/>
  </w:style>
  <w:style w:type="numbering" w:styleId="WW8Num4">
    <w:name w:val="WW8Num4"/>
    <w:qFormat/>
  </w:style>
  <w:style w:type="numbering" w:styleId="WW8Num6">
    <w:name w:val="WW8Num6"/>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package" Target="embeddings/oleObject1.xlsx"/><Relationship Id="rId9" Type="http://schemas.openxmlformats.org/officeDocument/2006/relationships/image" Target="media/image4.wmf"/><Relationship Id="rId10" Type="http://schemas.openxmlformats.org/officeDocument/2006/relationships/footer" Target="footer1.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Application>LibreOffice/6.0.4.2$Windows_x86 LibreOffice_project/9b0d9b32d5dcda91d2f1a96dc04c645c450872bf</Application>
  <Pages>27</Pages>
  <Words>7344</Words>
  <Characters>43584</Characters>
  <CharactersWithSpaces>51389</CharactersWithSpaces>
  <Paragraphs>1585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2021-08-27T09:56:42Z</cp:lastPrinted>
  <dcterms:modified xsi:type="dcterms:W3CDTF">2021-08-27T09:57:00Z</dcterms:modified>
  <cp:revision>22</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