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B87364" w:rsidRDefault="00AD2A48">
      <w:pPr>
        <w:spacing w:after="120" w:line="240" w:lineRule="auto"/>
        <w:jc w:val="center"/>
      </w:pPr>
      <w:r>
        <w:rPr>
          <w:rFonts w:ascii="Calibri" w:eastAsia="Calibri" w:hAnsi="Calibri" w:cs="Calibri"/>
          <w:b/>
          <w:sz w:val="24"/>
          <w:szCs w:val="24"/>
        </w:rPr>
        <w:t>POZNÁMKY K ÚČTOVNEJ ZÁVIERKE 2020</w:t>
      </w:r>
    </w:p>
    <w:p w:rsidR="00B87364" w:rsidRDefault="00752F78">
      <w:pPr>
        <w:spacing w:line="240" w:lineRule="auto"/>
        <w:jc w:val="center"/>
      </w:pPr>
      <w:r>
        <w:rPr>
          <w:rFonts w:ascii="Calibri" w:eastAsia="Calibri" w:hAnsi="Calibri" w:cs="Calibri"/>
          <w:sz w:val="24"/>
          <w:szCs w:val="24"/>
        </w:rPr>
        <w:t xml:space="preserve">zostavené podľa Opatrenia č.MF/23378/2014-74 (FS č.12/2014), ktorým sa ustanovujú podrobnosti o individuálnej účtovnej závierke a rozsahu údajov určených z individuálnej účtovnej závierky na zverejnenie </w:t>
      </w:r>
    </w:p>
    <w:p w:rsidR="00B87364" w:rsidRDefault="00752F78">
      <w:pPr>
        <w:spacing w:line="240" w:lineRule="auto"/>
        <w:jc w:val="center"/>
      </w:pPr>
      <w:r>
        <w:rPr>
          <w:rFonts w:ascii="Calibri" w:eastAsia="Calibri" w:hAnsi="Calibri" w:cs="Calibri"/>
          <w:b/>
          <w:sz w:val="24"/>
          <w:szCs w:val="24"/>
        </w:rPr>
        <w:t xml:space="preserve">pre </w:t>
      </w:r>
      <w:proofErr w:type="spellStart"/>
      <w:r w:rsidR="008A730C">
        <w:rPr>
          <w:rFonts w:ascii="Calibri" w:eastAsia="Calibri" w:hAnsi="Calibri" w:cs="Calibri"/>
          <w:b/>
          <w:sz w:val="24"/>
          <w:szCs w:val="24"/>
        </w:rPr>
        <w:t>mikro</w:t>
      </w:r>
      <w:proofErr w:type="spellEnd"/>
      <w:r>
        <w:rPr>
          <w:rFonts w:ascii="Calibri" w:eastAsia="Calibri" w:hAnsi="Calibri" w:cs="Calibri"/>
          <w:b/>
          <w:sz w:val="24"/>
          <w:szCs w:val="24"/>
        </w:rPr>
        <w:t xml:space="preserve"> účtovné jednotky</w:t>
      </w:r>
      <w:r>
        <w:rPr>
          <w:rFonts w:ascii="Calibri" w:eastAsia="Calibri" w:hAnsi="Calibri" w:cs="Calibri"/>
          <w:sz w:val="24"/>
          <w:szCs w:val="24"/>
        </w:rPr>
        <w:t xml:space="preserve"> </w:t>
      </w:r>
    </w:p>
    <w:p w:rsidR="00B87364" w:rsidRDefault="00B87364">
      <w:pPr>
        <w:spacing w:line="240" w:lineRule="auto"/>
      </w:pPr>
    </w:p>
    <w:p w:rsidR="00B87364" w:rsidRDefault="00752F78">
      <w:pPr>
        <w:spacing w:line="240" w:lineRule="auto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I – VŠEOBECNÉ INFORMÁCIE</w:t>
      </w:r>
    </w:p>
    <w:p w:rsidR="00B87364" w:rsidRDefault="00B87364">
      <w:pPr>
        <w:spacing w:line="240" w:lineRule="auto"/>
      </w:pPr>
    </w:p>
    <w:p w:rsidR="00B87364" w:rsidRDefault="00752F78">
      <w:pPr>
        <w:spacing w:line="240" w:lineRule="auto"/>
      </w:pPr>
      <w:r>
        <w:rPr>
          <w:rFonts w:ascii="Calibri" w:eastAsia="Calibri" w:hAnsi="Calibri" w:cs="Calibri"/>
          <w:sz w:val="24"/>
          <w:szCs w:val="24"/>
        </w:rPr>
        <w:t>1) Základné informácie o účtovnej jednotke:</w:t>
      </w:r>
    </w:p>
    <w:p w:rsidR="00B87364" w:rsidRDefault="00B87364">
      <w:pPr>
        <w:spacing w:line="240" w:lineRule="auto"/>
      </w:pPr>
    </w:p>
    <w:tbl>
      <w:tblPr>
        <w:tblStyle w:val="a"/>
        <w:tblW w:w="9714" w:type="dxa"/>
        <w:tblInd w:w="-108" w:type="dxa"/>
        <w:tblLayout w:type="fixed"/>
        <w:tblLook w:val="0000" w:firstRow="0" w:lastRow="0" w:firstColumn="0" w:lastColumn="0" w:noHBand="0" w:noVBand="0"/>
      </w:tblPr>
      <w:tblGrid>
        <w:gridCol w:w="2835"/>
        <w:gridCol w:w="6879"/>
      </w:tblGrid>
      <w:tr w:rsidR="00B87364">
        <w:trPr>
          <w:trHeight w:val="34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Obchodné meno:</w:t>
            </w:r>
          </w:p>
        </w:tc>
        <w:tc>
          <w:tcPr>
            <w:tcW w:w="6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AD2A48" w:rsidP="0097737C">
            <w:pPr>
              <w:spacing w:line="240" w:lineRule="auto"/>
              <w:jc w:val="both"/>
            </w:pPr>
            <w:r>
              <w:rPr>
                <w:color w:val="807A7A"/>
                <w:sz w:val="21"/>
                <w:szCs w:val="21"/>
                <w:shd w:val="clear" w:color="auto" w:fill="FFFFFF"/>
              </w:rPr>
              <w:t>DANIELSTAV, s. r. o.</w:t>
            </w:r>
          </w:p>
        </w:tc>
      </w:tr>
      <w:tr w:rsidR="00B87364">
        <w:trPr>
          <w:trHeight w:val="38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Sídlo:</w:t>
            </w:r>
          </w:p>
        </w:tc>
        <w:tc>
          <w:tcPr>
            <w:tcW w:w="6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AD2A48" w:rsidP="000F7B2F">
            <w:pPr>
              <w:spacing w:line="240" w:lineRule="auto"/>
              <w:jc w:val="both"/>
            </w:pPr>
            <w:r>
              <w:t>Radôstka 269, 023 04</w:t>
            </w:r>
          </w:p>
        </w:tc>
      </w:tr>
      <w:tr w:rsidR="00B87364">
        <w:trPr>
          <w:trHeight w:val="18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Právna forma:</w:t>
            </w:r>
          </w:p>
        </w:tc>
        <w:tc>
          <w:tcPr>
            <w:tcW w:w="6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Spoločnosť s ručením obmedzeným</w:t>
            </w:r>
          </w:p>
        </w:tc>
      </w:tr>
      <w:tr w:rsidR="00B87364">
        <w:trPr>
          <w:trHeight w:val="220"/>
        </w:trPr>
        <w:tc>
          <w:tcPr>
            <w:tcW w:w="28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Dátum vzniku:</w:t>
            </w:r>
          </w:p>
        </w:tc>
        <w:tc>
          <w:tcPr>
            <w:tcW w:w="68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:rsidR="00B87364" w:rsidRDefault="00752F78" w:rsidP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Zápis do </w:t>
            </w:r>
            <w:r w:rsidR="0097737C">
              <w:rPr>
                <w:rFonts w:ascii="Calibri" w:eastAsia="Calibri" w:hAnsi="Calibri" w:cs="Calibri"/>
                <w:sz w:val="24"/>
                <w:szCs w:val="24"/>
              </w:rPr>
              <w:t xml:space="preserve">obchodného registra: </w:t>
            </w:r>
            <w:r w:rsidR="00AD2A48">
              <w:rPr>
                <w:color w:val="807A7A"/>
                <w:sz w:val="21"/>
                <w:szCs w:val="21"/>
                <w:shd w:val="clear" w:color="auto" w:fill="FFFFFF"/>
              </w:rPr>
              <w:t>19. októbra 2019</w:t>
            </w:r>
          </w:p>
        </w:tc>
      </w:tr>
      <w:tr w:rsidR="00B87364">
        <w:trPr>
          <w:trHeight w:val="260"/>
        </w:trPr>
        <w:tc>
          <w:tcPr>
            <w:tcW w:w="28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B87364" w:rsidRDefault="00752F78">
            <w:pPr>
              <w:spacing w:line="240" w:lineRule="auto"/>
              <w:ind w:right="1027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Hlavný predmet podnikania:</w:t>
            </w:r>
          </w:p>
        </w:tc>
        <w:tc>
          <w:tcPr>
            <w:tcW w:w="68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:rsidR="00B87364" w:rsidRDefault="007F6CFF" w:rsidP="007F6CFF">
            <w:pPr>
              <w:spacing w:line="240" w:lineRule="auto"/>
              <w:jc w:val="both"/>
            </w:pPr>
            <w:r>
              <w:rPr>
                <w:color w:val="807A7A"/>
                <w:sz w:val="21"/>
                <w:szCs w:val="21"/>
                <w:shd w:val="clear" w:color="auto" w:fill="FFFFFF"/>
              </w:rPr>
              <w:t>Ostatné špecializované stavebné práce i. n.</w:t>
            </w:r>
          </w:p>
        </w:tc>
      </w:tr>
      <w:tr w:rsidR="00B87364">
        <w:trPr>
          <w:trHeight w:val="520"/>
        </w:trPr>
        <w:tc>
          <w:tcPr>
            <w:tcW w:w="28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Subjekt verejného záujmu:</w:t>
            </w:r>
          </w:p>
        </w:tc>
        <w:tc>
          <w:tcPr>
            <w:tcW w:w="68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:rsidR="00B87364" w:rsidRDefault="00752F78" w:rsidP="00AD2A4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Spoločnosť </w:t>
            </w:r>
            <w:r w:rsidR="00AD2A48">
              <w:rPr>
                <w:color w:val="807A7A"/>
                <w:sz w:val="21"/>
                <w:szCs w:val="21"/>
                <w:shd w:val="clear" w:color="auto" w:fill="FFFFFF"/>
              </w:rPr>
              <w:t>DANIELSTAV, s. r. o.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 nie je subjektom verejného záujmu (§ 2/14 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ZoU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>).</w:t>
            </w:r>
          </w:p>
        </w:tc>
      </w:tr>
      <w:tr w:rsidR="00B87364">
        <w:trPr>
          <w:trHeight w:val="300"/>
        </w:trPr>
        <w:tc>
          <w:tcPr>
            <w:tcW w:w="283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Účtovné obdobie:</w:t>
            </w:r>
          </w:p>
        </w:tc>
        <w:tc>
          <w:tcPr>
            <w:tcW w:w="6879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87364" w:rsidRDefault="003E2DE4" w:rsidP="007F4DAB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Kalendárny rok 2020</w:t>
            </w:r>
          </w:p>
        </w:tc>
      </w:tr>
    </w:tbl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752F78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UJ bola </w:t>
      </w:r>
      <w:r w:rsidR="003E2DE4">
        <w:rPr>
          <w:rFonts w:ascii="Calibri" w:eastAsia="Calibri" w:hAnsi="Calibri" w:cs="Calibri"/>
          <w:sz w:val="24"/>
          <w:szCs w:val="24"/>
        </w:rPr>
        <w:t>v účtovnom období roku 2020</w:t>
      </w:r>
      <w:r>
        <w:rPr>
          <w:rFonts w:ascii="Calibri" w:eastAsia="Calibri" w:hAnsi="Calibri" w:cs="Calibri"/>
          <w:sz w:val="24"/>
          <w:szCs w:val="24"/>
        </w:rPr>
        <w:t xml:space="preserve"> – </w:t>
      </w:r>
      <w:proofErr w:type="spellStart"/>
      <w:r w:rsidR="008A730C">
        <w:rPr>
          <w:rFonts w:ascii="Calibri" w:eastAsia="Calibri" w:hAnsi="Calibri" w:cs="Calibri"/>
          <w:sz w:val="24"/>
          <w:szCs w:val="24"/>
        </w:rPr>
        <w:t>mikro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účtovná jednotka, preto zostavuje účtovnú závierku podľa metodiky pre túto veľkostnú skupinu (Opatrenie č.MF/23378/2014-74).</w:t>
      </w: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</w:pPr>
    </w:p>
    <w:p w:rsidR="00B87364" w:rsidRDefault="00752F78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2) Dátum schválenia účtovnej závierky za bezprostredne predchádzajúce účtovné obdobie príslušným orgánom účtovnej jednotky:</w:t>
      </w:r>
      <w:r w:rsidR="0097737C">
        <w:rPr>
          <w:rFonts w:ascii="Calibri" w:eastAsia="Calibri" w:hAnsi="Calibri" w:cs="Calibri"/>
          <w:sz w:val="24"/>
          <w:szCs w:val="24"/>
        </w:rPr>
        <w:t xml:space="preserve"> </w:t>
      </w:r>
      <w:r w:rsidR="00AD2A48">
        <w:rPr>
          <w:rFonts w:ascii="Calibri" w:eastAsia="Calibri" w:hAnsi="Calibri" w:cs="Calibri"/>
          <w:sz w:val="24"/>
          <w:szCs w:val="24"/>
        </w:rPr>
        <w:t>31.03.2020</w:t>
      </w:r>
    </w:p>
    <w:p w:rsidR="00B87364" w:rsidRDefault="00752F78">
      <w:pPr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 </w:t>
      </w:r>
    </w:p>
    <w:p w:rsidR="00B87364" w:rsidRDefault="00752F78">
      <w:pPr>
        <w:widowControl w:val="0"/>
        <w:spacing w:line="240" w:lineRule="auto"/>
      </w:pPr>
      <w:r>
        <w:rPr>
          <w:rFonts w:ascii="Calibri" w:eastAsia="Calibri" w:hAnsi="Calibri" w:cs="Calibri"/>
          <w:sz w:val="24"/>
          <w:szCs w:val="24"/>
        </w:rPr>
        <w:t xml:space="preserve">3) Právny dôvod na zostavenie účtovnej závierky: Účtovná </w:t>
      </w:r>
      <w:r w:rsidR="003E2DE4">
        <w:rPr>
          <w:rFonts w:ascii="Calibri" w:eastAsia="Calibri" w:hAnsi="Calibri" w:cs="Calibri"/>
          <w:sz w:val="24"/>
          <w:szCs w:val="24"/>
        </w:rPr>
        <w:t>závierka Spoločnosti k 31.12.2020</w:t>
      </w:r>
      <w:r>
        <w:rPr>
          <w:rFonts w:ascii="Calibri" w:eastAsia="Calibri" w:hAnsi="Calibri" w:cs="Calibri"/>
          <w:sz w:val="24"/>
          <w:szCs w:val="24"/>
        </w:rPr>
        <w:t xml:space="preserve"> je zostavená ako riadna účtovná závierka podľa §17 ods. 6 Zákona č. 431/2002 </w:t>
      </w:r>
      <w:proofErr w:type="spellStart"/>
      <w:r>
        <w:rPr>
          <w:rFonts w:ascii="Calibri" w:eastAsia="Calibri" w:hAnsi="Calibri" w:cs="Calibri"/>
          <w:sz w:val="24"/>
          <w:szCs w:val="24"/>
        </w:rPr>
        <w:t>Z.z</w:t>
      </w:r>
      <w:proofErr w:type="spellEnd"/>
      <w:r>
        <w:rPr>
          <w:rFonts w:ascii="Calibri" w:eastAsia="Calibri" w:hAnsi="Calibri" w:cs="Calibri"/>
          <w:sz w:val="24"/>
          <w:szCs w:val="24"/>
        </w:rPr>
        <w:t>. o účtovníctve za účtovné obdobie od 01. j</w:t>
      </w:r>
      <w:r w:rsidR="003E2DE4">
        <w:rPr>
          <w:rFonts w:ascii="Calibri" w:eastAsia="Calibri" w:hAnsi="Calibri" w:cs="Calibri"/>
          <w:sz w:val="24"/>
          <w:szCs w:val="24"/>
        </w:rPr>
        <w:t>anuára 2020 do 31. decembra 2020</w:t>
      </w:r>
    </w:p>
    <w:p w:rsidR="00B87364" w:rsidRDefault="00B87364">
      <w:pPr>
        <w:spacing w:line="240" w:lineRule="auto"/>
        <w:ind w:right="-468"/>
        <w:jc w:val="both"/>
      </w:pPr>
    </w:p>
    <w:p w:rsidR="00B87364" w:rsidRDefault="00752F78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4) ÚJ nie je v skupine účtovných jednotiek</w:t>
      </w:r>
    </w:p>
    <w:p w:rsidR="00B87364" w:rsidRDefault="00B87364">
      <w:pPr>
        <w:spacing w:line="240" w:lineRule="auto"/>
        <w:jc w:val="both"/>
      </w:pPr>
    </w:p>
    <w:p w:rsidR="00B87364" w:rsidRDefault="00752F78">
      <w:pPr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5) Priemerný prepočítaný počet zamestnancov účtovnej jednotky:</w:t>
      </w:r>
    </w:p>
    <w:tbl>
      <w:tblPr>
        <w:tblStyle w:val="a0"/>
        <w:tblW w:w="9747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857"/>
        <w:gridCol w:w="2523"/>
        <w:gridCol w:w="2367"/>
      </w:tblGrid>
      <w:tr w:rsidR="00B87364">
        <w:trPr>
          <w:trHeight w:val="520"/>
        </w:trPr>
        <w:tc>
          <w:tcPr>
            <w:tcW w:w="4857" w:type="dxa"/>
            <w:vAlign w:val="center"/>
          </w:tcPr>
          <w:p w:rsidR="00B87364" w:rsidRDefault="00752F78">
            <w:pPr>
              <w:spacing w:line="240" w:lineRule="auto"/>
              <w:ind w:right="459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Názov položky</w:t>
            </w:r>
          </w:p>
        </w:tc>
        <w:tc>
          <w:tcPr>
            <w:tcW w:w="2523" w:type="dxa"/>
            <w:vAlign w:val="center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367" w:type="dxa"/>
            <w:vAlign w:val="center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B87364">
        <w:trPr>
          <w:trHeight w:val="160"/>
        </w:trPr>
        <w:tc>
          <w:tcPr>
            <w:tcW w:w="4857" w:type="dxa"/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Priemerný prepočítaný počet počas účtovného obdobia</w:t>
            </w:r>
          </w:p>
        </w:tc>
        <w:tc>
          <w:tcPr>
            <w:tcW w:w="2523" w:type="dxa"/>
          </w:tcPr>
          <w:p w:rsidR="00B87364" w:rsidRDefault="00AD2A48" w:rsidP="007F4DAB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</w:t>
            </w:r>
          </w:p>
        </w:tc>
        <w:tc>
          <w:tcPr>
            <w:tcW w:w="2367" w:type="dxa"/>
          </w:tcPr>
          <w:p w:rsidR="00B87364" w:rsidRDefault="00AD2A48" w:rsidP="003E2DE4">
            <w:pPr>
              <w:spacing w:line="240" w:lineRule="auto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</w:t>
            </w:r>
          </w:p>
        </w:tc>
      </w:tr>
    </w:tbl>
    <w:p w:rsidR="00B87364" w:rsidRDefault="00B87364">
      <w:pPr>
        <w:spacing w:line="240" w:lineRule="auto"/>
        <w:ind w:left="928"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752F78">
      <w:pPr>
        <w:spacing w:line="240" w:lineRule="auto"/>
        <w:ind w:right="-468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II – INFORMÁCIE O ORGÁNOCH SPOLOČNOSTI</w:t>
      </w:r>
    </w:p>
    <w:p w:rsidR="00B87364" w:rsidRDefault="00B87364">
      <w:pPr>
        <w:spacing w:line="240" w:lineRule="auto"/>
        <w:ind w:right="-468"/>
        <w:jc w:val="both"/>
      </w:pPr>
    </w:p>
    <w:p w:rsidR="00B87364" w:rsidRDefault="00752F78">
      <w:pPr>
        <w:spacing w:after="120" w:line="240" w:lineRule="auto"/>
        <w:jc w:val="both"/>
      </w:pPr>
      <w:r>
        <w:rPr>
          <w:rFonts w:ascii="Calibri" w:eastAsia="Calibri" w:hAnsi="Calibri" w:cs="Calibri"/>
          <w:b/>
          <w:sz w:val="24"/>
          <w:szCs w:val="24"/>
        </w:rPr>
        <w:t>Informácie o orgánoch účtovnej jednotky</w:t>
      </w:r>
      <w:r>
        <w:rPr>
          <w:rFonts w:ascii="Calibri" w:eastAsia="Calibri" w:hAnsi="Calibri" w:cs="Calibri"/>
          <w:sz w:val="24"/>
          <w:szCs w:val="24"/>
        </w:rPr>
        <w:t xml:space="preserve"> – štatutárneho orgánu, dozorného orgánu a iného orgánu účtovnej jednotky, pričom sa uvádzajú najmä informácie – o podmienkach a výške jednotlivých druhov záruk alebo iných zabezpečení, o pôžičkách a ich podmienkach (výška úrokov, celková suma pôžičky, suma splatenej pôžičky, suma odpustenej pôžičky), o použití majetku účtovnej jednotky na súkromné účely; v členení na jednotlivé orgány (informácie sa neuvádzajú vtedy, ak by umožnili identifikáciu finančnej situácie konkrétnej fyzickej osoby):</w:t>
      </w:r>
    </w:p>
    <w:tbl>
      <w:tblPr>
        <w:tblStyle w:val="a1"/>
        <w:tblW w:w="9817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969"/>
        <w:gridCol w:w="2488"/>
        <w:gridCol w:w="2360"/>
      </w:tblGrid>
      <w:tr w:rsidR="00B87364">
        <w:trPr>
          <w:trHeight w:val="860"/>
          <w:jc w:val="center"/>
        </w:trPr>
        <w:tc>
          <w:tcPr>
            <w:tcW w:w="4969" w:type="dxa"/>
            <w:vAlign w:val="center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Orgány účtovnej jednotky</w:t>
            </w:r>
          </w:p>
        </w:tc>
        <w:tc>
          <w:tcPr>
            <w:tcW w:w="2488" w:type="dxa"/>
            <w:vAlign w:val="center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360" w:type="dxa"/>
            <w:vAlign w:val="center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B87364">
        <w:trPr>
          <w:trHeight w:val="240"/>
          <w:jc w:val="center"/>
        </w:trPr>
        <w:tc>
          <w:tcPr>
            <w:tcW w:w="4969" w:type="dxa"/>
            <w:vAlign w:val="center"/>
          </w:tcPr>
          <w:p w:rsidR="00B87364" w:rsidRDefault="00752F78">
            <w:pPr>
              <w:spacing w:line="240" w:lineRule="auto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Štatutárny orgán/Spoločník</w:t>
            </w:r>
          </w:p>
        </w:tc>
        <w:tc>
          <w:tcPr>
            <w:tcW w:w="2488" w:type="dxa"/>
            <w:vAlign w:val="center"/>
          </w:tcPr>
          <w:p w:rsidR="00B87364" w:rsidRDefault="00AD2A48" w:rsidP="00752F78">
            <w:pPr>
              <w:spacing w:line="240" w:lineRule="auto"/>
            </w:pPr>
            <w:r>
              <w:t>Daniel Kubala</w:t>
            </w:r>
          </w:p>
        </w:tc>
        <w:tc>
          <w:tcPr>
            <w:tcW w:w="2360" w:type="dxa"/>
            <w:vAlign w:val="center"/>
          </w:tcPr>
          <w:p w:rsidR="00B87364" w:rsidRDefault="00AD2A48" w:rsidP="0097737C">
            <w:pPr>
              <w:spacing w:line="240" w:lineRule="auto"/>
            </w:pPr>
            <w:r>
              <w:t>Daniel Kubala</w:t>
            </w:r>
            <w:bookmarkStart w:id="0" w:name="_GoBack"/>
            <w:bookmarkEnd w:id="0"/>
          </w:p>
        </w:tc>
      </w:tr>
      <w:tr w:rsidR="00B87364">
        <w:trPr>
          <w:trHeight w:val="240"/>
          <w:jc w:val="center"/>
        </w:trPr>
        <w:tc>
          <w:tcPr>
            <w:tcW w:w="4969" w:type="dxa"/>
            <w:vAlign w:val="center"/>
          </w:tcPr>
          <w:p w:rsidR="00B87364" w:rsidRDefault="00752F78">
            <w:pPr>
              <w:numPr>
                <w:ilvl w:val="0"/>
                <w:numId w:val="3"/>
              </w:numPr>
              <w:spacing w:line="240" w:lineRule="auto"/>
              <w:ind w:hanging="36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pôžička celkovo</w:t>
            </w:r>
          </w:p>
        </w:tc>
        <w:tc>
          <w:tcPr>
            <w:tcW w:w="2488" w:type="dxa"/>
            <w:vAlign w:val="center"/>
          </w:tcPr>
          <w:p w:rsidR="00B87364" w:rsidRDefault="00B87364" w:rsidP="00D93A46">
            <w:pPr>
              <w:spacing w:line="240" w:lineRule="auto"/>
            </w:pPr>
          </w:p>
        </w:tc>
        <w:tc>
          <w:tcPr>
            <w:tcW w:w="2360" w:type="dxa"/>
            <w:vAlign w:val="center"/>
          </w:tcPr>
          <w:p w:rsidR="00B87364" w:rsidRDefault="00B87364">
            <w:pPr>
              <w:spacing w:line="240" w:lineRule="auto"/>
            </w:pPr>
          </w:p>
        </w:tc>
      </w:tr>
      <w:tr w:rsidR="00B87364">
        <w:trPr>
          <w:trHeight w:val="140"/>
          <w:jc w:val="center"/>
        </w:trPr>
        <w:tc>
          <w:tcPr>
            <w:tcW w:w="4969" w:type="dxa"/>
            <w:vAlign w:val="center"/>
          </w:tcPr>
          <w:p w:rsidR="00B87364" w:rsidRDefault="00752F78">
            <w:pPr>
              <w:numPr>
                <w:ilvl w:val="0"/>
                <w:numId w:val="1"/>
              </w:numPr>
              <w:spacing w:line="240" w:lineRule="auto"/>
              <w:ind w:hanging="36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druh príjmu (výhody):</w:t>
            </w:r>
          </w:p>
        </w:tc>
        <w:tc>
          <w:tcPr>
            <w:tcW w:w="2488" w:type="dxa"/>
            <w:vAlign w:val="center"/>
          </w:tcPr>
          <w:p w:rsidR="00B87364" w:rsidRDefault="00B87364">
            <w:pPr>
              <w:spacing w:line="240" w:lineRule="auto"/>
            </w:pPr>
          </w:p>
        </w:tc>
        <w:tc>
          <w:tcPr>
            <w:tcW w:w="2360" w:type="dxa"/>
            <w:vAlign w:val="center"/>
          </w:tcPr>
          <w:p w:rsidR="00B87364" w:rsidRDefault="00752F78">
            <w:pPr>
              <w:spacing w:line="240" w:lineRule="auto"/>
            </w:pPr>
            <w:r>
              <w:rPr>
                <w:rFonts w:ascii="Calibri" w:eastAsia="Calibri" w:hAnsi="Calibri" w:cs="Calibri"/>
                <w:sz w:val="24"/>
                <w:szCs w:val="24"/>
              </w:rPr>
              <w:t> </w:t>
            </w:r>
          </w:p>
        </w:tc>
      </w:tr>
      <w:tr w:rsidR="00B87364">
        <w:trPr>
          <w:trHeight w:val="160"/>
          <w:jc w:val="center"/>
        </w:trPr>
        <w:tc>
          <w:tcPr>
            <w:tcW w:w="4969" w:type="dxa"/>
            <w:vAlign w:val="center"/>
          </w:tcPr>
          <w:p w:rsidR="00B87364" w:rsidRDefault="00752F78">
            <w:pPr>
              <w:spacing w:line="240" w:lineRule="auto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Spoločník</w:t>
            </w:r>
          </w:p>
        </w:tc>
        <w:tc>
          <w:tcPr>
            <w:tcW w:w="2488" w:type="dxa"/>
            <w:vAlign w:val="center"/>
          </w:tcPr>
          <w:p w:rsidR="00B87364" w:rsidRDefault="00B87364">
            <w:pPr>
              <w:spacing w:line="240" w:lineRule="auto"/>
            </w:pPr>
          </w:p>
        </w:tc>
        <w:tc>
          <w:tcPr>
            <w:tcW w:w="2360" w:type="dxa"/>
            <w:vAlign w:val="center"/>
          </w:tcPr>
          <w:p w:rsidR="00B87364" w:rsidRDefault="00B87364">
            <w:pPr>
              <w:spacing w:line="240" w:lineRule="auto"/>
            </w:pPr>
          </w:p>
        </w:tc>
      </w:tr>
      <w:tr w:rsidR="00B87364">
        <w:trPr>
          <w:trHeight w:val="160"/>
          <w:jc w:val="center"/>
        </w:trPr>
        <w:tc>
          <w:tcPr>
            <w:tcW w:w="4969" w:type="dxa"/>
            <w:vAlign w:val="center"/>
          </w:tcPr>
          <w:p w:rsidR="00B87364" w:rsidRDefault="00752F78">
            <w:pPr>
              <w:numPr>
                <w:ilvl w:val="0"/>
                <w:numId w:val="1"/>
              </w:numPr>
              <w:spacing w:line="240" w:lineRule="auto"/>
              <w:ind w:hanging="36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pôžička celkovo</w:t>
            </w:r>
          </w:p>
        </w:tc>
        <w:tc>
          <w:tcPr>
            <w:tcW w:w="2488" w:type="dxa"/>
            <w:vAlign w:val="center"/>
          </w:tcPr>
          <w:p w:rsidR="00B87364" w:rsidRDefault="00B87364">
            <w:pPr>
              <w:spacing w:line="240" w:lineRule="auto"/>
            </w:pPr>
          </w:p>
        </w:tc>
        <w:tc>
          <w:tcPr>
            <w:tcW w:w="2360" w:type="dxa"/>
            <w:vAlign w:val="center"/>
          </w:tcPr>
          <w:p w:rsidR="00B87364" w:rsidRDefault="00B87364">
            <w:pPr>
              <w:spacing w:line="240" w:lineRule="auto"/>
            </w:pPr>
          </w:p>
        </w:tc>
      </w:tr>
      <w:tr w:rsidR="00B87364">
        <w:trPr>
          <w:trHeight w:val="160"/>
          <w:jc w:val="center"/>
        </w:trPr>
        <w:tc>
          <w:tcPr>
            <w:tcW w:w="4969" w:type="dxa"/>
            <w:vAlign w:val="center"/>
          </w:tcPr>
          <w:p w:rsidR="00B87364" w:rsidRDefault="00752F78">
            <w:pPr>
              <w:numPr>
                <w:ilvl w:val="0"/>
                <w:numId w:val="1"/>
              </w:numPr>
              <w:spacing w:line="240" w:lineRule="auto"/>
              <w:ind w:hanging="36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druh príjmu (výhody):</w:t>
            </w:r>
          </w:p>
        </w:tc>
        <w:tc>
          <w:tcPr>
            <w:tcW w:w="2488" w:type="dxa"/>
            <w:vAlign w:val="center"/>
          </w:tcPr>
          <w:p w:rsidR="00B87364" w:rsidRDefault="00B87364">
            <w:pPr>
              <w:spacing w:line="240" w:lineRule="auto"/>
            </w:pPr>
          </w:p>
        </w:tc>
        <w:tc>
          <w:tcPr>
            <w:tcW w:w="2360" w:type="dxa"/>
            <w:vAlign w:val="center"/>
          </w:tcPr>
          <w:p w:rsidR="00B87364" w:rsidRDefault="00B87364">
            <w:pPr>
              <w:spacing w:line="240" w:lineRule="auto"/>
            </w:pPr>
          </w:p>
        </w:tc>
      </w:tr>
      <w:tr w:rsidR="00B87364">
        <w:trPr>
          <w:trHeight w:val="160"/>
          <w:jc w:val="center"/>
        </w:trPr>
        <w:tc>
          <w:tcPr>
            <w:tcW w:w="4969" w:type="dxa"/>
            <w:vAlign w:val="center"/>
          </w:tcPr>
          <w:p w:rsidR="00B87364" w:rsidRDefault="00B87364">
            <w:pPr>
              <w:spacing w:line="240" w:lineRule="auto"/>
              <w:ind w:left="720"/>
            </w:pPr>
          </w:p>
        </w:tc>
        <w:tc>
          <w:tcPr>
            <w:tcW w:w="2488" w:type="dxa"/>
            <w:vAlign w:val="center"/>
          </w:tcPr>
          <w:p w:rsidR="00B87364" w:rsidRDefault="00B87364">
            <w:pPr>
              <w:spacing w:line="240" w:lineRule="auto"/>
            </w:pPr>
          </w:p>
        </w:tc>
        <w:tc>
          <w:tcPr>
            <w:tcW w:w="2360" w:type="dxa"/>
            <w:vAlign w:val="center"/>
          </w:tcPr>
          <w:p w:rsidR="00B87364" w:rsidRDefault="00B87364">
            <w:pPr>
              <w:spacing w:line="240" w:lineRule="auto"/>
            </w:pPr>
          </w:p>
        </w:tc>
      </w:tr>
    </w:tbl>
    <w:p w:rsidR="00B87364" w:rsidRDefault="00B87364">
      <w:pPr>
        <w:spacing w:line="240" w:lineRule="auto"/>
        <w:ind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752F78">
      <w:pPr>
        <w:spacing w:line="240" w:lineRule="auto"/>
        <w:ind w:right="-141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III – INFORMÁCIE O PRIJATÝCH POSTUPOCH</w:t>
      </w:r>
    </w:p>
    <w:p w:rsidR="00B87364" w:rsidRDefault="00B87364">
      <w:pPr>
        <w:spacing w:line="240" w:lineRule="auto"/>
        <w:ind w:right="-141"/>
        <w:jc w:val="both"/>
      </w:pPr>
    </w:p>
    <w:p w:rsidR="00B87364" w:rsidRDefault="00752F78">
      <w:pPr>
        <w:spacing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1) Účtovná závierka je zostavená za splnenia predpokladu, že ÚJ bude nepretržite pokračovať vo svojej činnosti minimálne 12 mesiacov po </w:t>
      </w:r>
      <w:proofErr w:type="spellStart"/>
      <w:r>
        <w:rPr>
          <w:rFonts w:ascii="Calibri" w:eastAsia="Calibri" w:hAnsi="Calibri" w:cs="Calibri"/>
          <w:sz w:val="24"/>
          <w:szCs w:val="24"/>
        </w:rPr>
        <w:t>závierkovom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dni v zmysle § 7 ods. 4 zákona o účtovníctve.</w:t>
      </w:r>
    </w:p>
    <w:p w:rsidR="00B87364" w:rsidRDefault="00752F78">
      <w:pPr>
        <w:spacing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 </w:t>
      </w:r>
    </w:p>
    <w:p w:rsidR="00B87364" w:rsidRDefault="00752F78">
      <w:pPr>
        <w:spacing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>2) Účtovné metódy vychádzajúce z interných smerníc spoločnosti a všeobecné účtovné zásady boli účtovnou jednotkou konzistentne aplikované</w:t>
      </w:r>
    </w:p>
    <w:p w:rsidR="00B87364" w:rsidRDefault="00B87364">
      <w:pPr>
        <w:spacing w:line="240" w:lineRule="auto"/>
        <w:ind w:right="-141"/>
        <w:jc w:val="both"/>
      </w:pPr>
    </w:p>
    <w:p w:rsidR="00B87364" w:rsidRDefault="00752F78">
      <w:pPr>
        <w:spacing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>3) ÚJ neeviduje žiadne transakcie, ktoré sa neuvádzajú v súvahe.</w:t>
      </w:r>
    </w:p>
    <w:p w:rsidR="00B87364" w:rsidRDefault="00752F78">
      <w:pPr>
        <w:spacing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</w:p>
    <w:p w:rsidR="00B87364" w:rsidRDefault="00752F78">
      <w:pPr>
        <w:spacing w:after="120"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>4) Spôsob a určenie oceňovania majetku a záväzkov (vrátane rozhodujúcich odhadov):</w:t>
      </w:r>
    </w:p>
    <w:p w:rsidR="00B87364" w:rsidRDefault="00752F78">
      <w:pPr>
        <w:spacing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a) Spôsob oceňovania majetku a záväzkov (§ 25 </w:t>
      </w:r>
      <w:proofErr w:type="spellStart"/>
      <w:r>
        <w:rPr>
          <w:rFonts w:ascii="Calibri" w:eastAsia="Calibri" w:hAnsi="Calibri" w:cs="Calibri"/>
          <w:sz w:val="24"/>
          <w:szCs w:val="24"/>
        </w:rPr>
        <w:t>ZoU</w:t>
      </w:r>
      <w:proofErr w:type="spellEnd"/>
      <w:r>
        <w:rPr>
          <w:rFonts w:ascii="Calibri" w:eastAsia="Calibri" w:hAnsi="Calibri" w:cs="Calibri"/>
          <w:sz w:val="24"/>
          <w:szCs w:val="24"/>
        </w:rPr>
        <w:t>):</w:t>
      </w:r>
    </w:p>
    <w:p w:rsidR="00B87364" w:rsidRDefault="00B87364">
      <w:pPr>
        <w:widowControl w:val="0"/>
        <w:tabs>
          <w:tab w:val="left" w:pos="808"/>
        </w:tabs>
        <w:spacing w:line="240" w:lineRule="auto"/>
        <w:jc w:val="both"/>
      </w:pPr>
    </w:p>
    <w:tbl>
      <w:tblPr>
        <w:tblStyle w:val="a2"/>
        <w:tblW w:w="9606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06"/>
        <w:gridCol w:w="5300"/>
        <w:gridCol w:w="3600"/>
      </w:tblGrid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Č.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Spôsob oceňovania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Dlhodobý nehmotný majetok externe kúpený: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Dlhodobý nehmotný majetok interne vytvorený: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Vlastné náklady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3.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Dlhodobý nehmotný majetok obstaraný inak (darom):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Reprodukčná 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5.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Dlhodobý hmotný majetok interne vytvorený: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Vlastné náklady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6.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Dlhodobý nehmotný majetok obstaraný inak (darom):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Reprodukčná 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7.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lastRenderedPageBreak/>
              <w:t>8.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Zásoby obstarané kúpou: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9.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Zásoby vytvorené vlastnou činnosťou: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Vlastné náklady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10.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Zásoby obstarané inak (darom):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Reprodukčná 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</w:pPr>
            <w:r>
              <w:rPr>
                <w:rFonts w:ascii="Calibri" w:eastAsia="Calibri" w:hAnsi="Calibri" w:cs="Calibri"/>
                <w:sz w:val="24"/>
                <w:szCs w:val="24"/>
              </w:rPr>
              <w:t>ZV a zákazková výstavba nehnuteľnosti určenej na predaj: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Vlastné pohľadávky: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Kúpené pohľadávky: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13.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Krátkodobý finančný majetok: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15.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16.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17.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Deriváty: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18.</w:t>
            </w:r>
          </w:p>
        </w:tc>
        <w:tc>
          <w:tcPr>
            <w:tcW w:w="5300" w:type="dxa"/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Majetok a záväzky zabezpečené derivátmi: </w:t>
            </w:r>
          </w:p>
        </w:tc>
        <w:tc>
          <w:tcPr>
            <w:tcW w:w="3600" w:type="dxa"/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19.</w:t>
            </w:r>
          </w:p>
        </w:tc>
        <w:tc>
          <w:tcPr>
            <w:tcW w:w="5300" w:type="dxa"/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Prenajatý majetok a majetok obstaraný na základe zmluvy o kúpe prenajatej veci:</w:t>
            </w:r>
          </w:p>
        </w:tc>
        <w:tc>
          <w:tcPr>
            <w:tcW w:w="3600" w:type="dxa"/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20.</w:t>
            </w:r>
          </w:p>
        </w:tc>
        <w:tc>
          <w:tcPr>
            <w:tcW w:w="5300" w:type="dxa"/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Splatná daň z príjmov a odložená daň z príjmov:</w:t>
            </w:r>
          </w:p>
        </w:tc>
        <w:tc>
          <w:tcPr>
            <w:tcW w:w="3600" w:type="dxa"/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</w:tbl>
    <w:p w:rsidR="00B87364" w:rsidRDefault="00B87364">
      <w:pPr>
        <w:spacing w:line="240" w:lineRule="auto"/>
        <w:jc w:val="both"/>
      </w:pPr>
    </w:p>
    <w:p w:rsidR="00B87364" w:rsidRDefault="00752F78">
      <w:pPr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b) Trvalé zníženie hodnoty majetku nebolo účtované. </w:t>
      </w:r>
    </w:p>
    <w:p w:rsidR="00B87364" w:rsidRDefault="00B87364">
      <w:pPr>
        <w:spacing w:after="120" w:line="240" w:lineRule="auto"/>
        <w:jc w:val="both"/>
      </w:pPr>
    </w:p>
    <w:p w:rsidR="00B87364" w:rsidRDefault="00752F78">
      <w:pPr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c) Záväzky účtovná jednotka ocenila menovitou hodnotou záväzkov. </w:t>
      </w:r>
    </w:p>
    <w:p w:rsidR="00B87364" w:rsidRDefault="00B87364">
      <w:pPr>
        <w:spacing w:after="120" w:line="240" w:lineRule="auto"/>
        <w:jc w:val="both"/>
      </w:pPr>
    </w:p>
    <w:p w:rsidR="00B87364" w:rsidRDefault="00752F78">
      <w:pPr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d) Účtovná jednotka nepoužila dobrovoľné oceňovanie obchodných podielov metódou vlastného imania (§ 27/9 </w:t>
      </w:r>
      <w:proofErr w:type="spellStart"/>
      <w:r>
        <w:rPr>
          <w:rFonts w:ascii="Calibri" w:eastAsia="Calibri" w:hAnsi="Calibri" w:cs="Calibri"/>
          <w:sz w:val="24"/>
          <w:szCs w:val="24"/>
        </w:rPr>
        <w:t>ZoU</w:t>
      </w:r>
      <w:proofErr w:type="spellEnd"/>
      <w:r>
        <w:rPr>
          <w:rFonts w:ascii="Calibri" w:eastAsia="Calibri" w:hAnsi="Calibri" w:cs="Calibri"/>
          <w:sz w:val="24"/>
          <w:szCs w:val="24"/>
        </w:rPr>
        <w:t>).</w:t>
      </w:r>
    </w:p>
    <w:p w:rsidR="00B87364" w:rsidRDefault="00B87364">
      <w:pPr>
        <w:keepNext/>
        <w:tabs>
          <w:tab w:val="left" w:pos="1005"/>
        </w:tabs>
        <w:spacing w:after="120" w:line="240" w:lineRule="auto"/>
        <w:jc w:val="both"/>
      </w:pPr>
    </w:p>
    <w:p w:rsidR="00B87364" w:rsidRDefault="00752F78">
      <w:pPr>
        <w:keepNext/>
        <w:tabs>
          <w:tab w:val="left" w:pos="1005"/>
        </w:tabs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f) Tvorba odpisového plánu pre dlhodobý majetok, pričom sa uvádza doba odpisovania, sadzby odpisov a odpisové metódy pre účtovné odpisy:</w:t>
      </w:r>
    </w:p>
    <w:tbl>
      <w:tblPr>
        <w:tblStyle w:val="a3"/>
        <w:tblW w:w="9606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218"/>
        <w:gridCol w:w="1013"/>
        <w:gridCol w:w="2107"/>
        <w:gridCol w:w="2268"/>
      </w:tblGrid>
      <w:tr w:rsidR="00B87364">
        <w:tc>
          <w:tcPr>
            <w:tcW w:w="4218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Dlhodobý hmotný a nehmotný</w:t>
            </w:r>
          </w:p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odpisovaný majetok</w:t>
            </w:r>
          </w:p>
        </w:tc>
        <w:tc>
          <w:tcPr>
            <w:tcW w:w="1013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číslo</w:t>
            </w:r>
          </w:p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účtu</w:t>
            </w:r>
          </w:p>
        </w:tc>
        <w:tc>
          <w:tcPr>
            <w:tcW w:w="2107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doba odpisovania</w:t>
            </w:r>
          </w:p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(počet rokov)</w:t>
            </w:r>
          </w:p>
        </w:tc>
        <w:tc>
          <w:tcPr>
            <w:tcW w:w="2268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odpisová sadzba </w:t>
            </w:r>
          </w:p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(%)</w:t>
            </w:r>
          </w:p>
        </w:tc>
      </w:tr>
      <w:tr w:rsidR="00B87364">
        <w:tc>
          <w:tcPr>
            <w:tcW w:w="4218" w:type="dxa"/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Software</w:t>
            </w:r>
          </w:p>
        </w:tc>
        <w:tc>
          <w:tcPr>
            <w:tcW w:w="1013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013</w:t>
            </w:r>
          </w:p>
        </w:tc>
        <w:tc>
          <w:tcPr>
            <w:tcW w:w="2107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25</w:t>
            </w:r>
          </w:p>
        </w:tc>
      </w:tr>
      <w:tr w:rsidR="00B87364">
        <w:tc>
          <w:tcPr>
            <w:tcW w:w="4218" w:type="dxa"/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Ostatný DNM </w:t>
            </w:r>
          </w:p>
        </w:tc>
        <w:tc>
          <w:tcPr>
            <w:tcW w:w="1013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019</w:t>
            </w:r>
          </w:p>
        </w:tc>
        <w:tc>
          <w:tcPr>
            <w:tcW w:w="2107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25</w:t>
            </w:r>
          </w:p>
        </w:tc>
      </w:tr>
      <w:tr w:rsidR="00B87364">
        <w:tc>
          <w:tcPr>
            <w:tcW w:w="4218" w:type="dxa"/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Stavby</w:t>
            </w:r>
          </w:p>
        </w:tc>
        <w:tc>
          <w:tcPr>
            <w:tcW w:w="1013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021</w:t>
            </w:r>
          </w:p>
        </w:tc>
        <w:tc>
          <w:tcPr>
            <w:tcW w:w="2107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20</w:t>
            </w:r>
          </w:p>
        </w:tc>
        <w:tc>
          <w:tcPr>
            <w:tcW w:w="2268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5</w:t>
            </w:r>
          </w:p>
        </w:tc>
      </w:tr>
      <w:tr w:rsidR="00B87364">
        <w:tc>
          <w:tcPr>
            <w:tcW w:w="4218" w:type="dxa"/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Počítače s príslušenstvom</w:t>
            </w:r>
          </w:p>
        </w:tc>
        <w:tc>
          <w:tcPr>
            <w:tcW w:w="1013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022.A</w:t>
            </w:r>
          </w:p>
        </w:tc>
        <w:tc>
          <w:tcPr>
            <w:tcW w:w="2107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25</w:t>
            </w:r>
          </w:p>
        </w:tc>
      </w:tr>
      <w:tr w:rsidR="00B87364">
        <w:tc>
          <w:tcPr>
            <w:tcW w:w="4218" w:type="dxa"/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Dopravné prostriedky</w:t>
            </w:r>
          </w:p>
        </w:tc>
        <w:tc>
          <w:tcPr>
            <w:tcW w:w="1013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022</w:t>
            </w:r>
          </w:p>
        </w:tc>
        <w:tc>
          <w:tcPr>
            <w:tcW w:w="2107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25</w:t>
            </w:r>
          </w:p>
        </w:tc>
      </w:tr>
      <w:tr w:rsidR="00B87364">
        <w:tc>
          <w:tcPr>
            <w:tcW w:w="4218" w:type="dxa"/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Ostatné stroje</w:t>
            </w:r>
          </w:p>
        </w:tc>
        <w:tc>
          <w:tcPr>
            <w:tcW w:w="1013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022.A</w:t>
            </w:r>
          </w:p>
        </w:tc>
        <w:tc>
          <w:tcPr>
            <w:tcW w:w="2107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25</w:t>
            </w:r>
          </w:p>
        </w:tc>
      </w:tr>
      <w:tr w:rsidR="00B87364">
        <w:tc>
          <w:tcPr>
            <w:tcW w:w="4218" w:type="dxa"/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Ostatný dlhodobý hmotný majetok</w:t>
            </w:r>
          </w:p>
        </w:tc>
        <w:tc>
          <w:tcPr>
            <w:tcW w:w="1013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022</w:t>
            </w:r>
          </w:p>
        </w:tc>
        <w:tc>
          <w:tcPr>
            <w:tcW w:w="2107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25</w:t>
            </w:r>
          </w:p>
        </w:tc>
      </w:tr>
    </w:tbl>
    <w:p w:rsidR="00B87364" w:rsidRDefault="00752F78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 </w:t>
      </w:r>
    </w:p>
    <w:p w:rsidR="00B87364" w:rsidRDefault="00752F78">
      <w:pPr>
        <w:spacing w:after="120" w:line="240" w:lineRule="auto"/>
      </w:pPr>
      <w:r>
        <w:rPr>
          <w:rFonts w:ascii="Calibri" w:eastAsia="Calibri" w:hAnsi="Calibri" w:cs="Calibri"/>
          <w:sz w:val="24"/>
          <w:szCs w:val="24"/>
        </w:rPr>
        <w:t xml:space="preserve">Komentár k odpisovému plánu: </w:t>
      </w:r>
    </w:p>
    <w:p w:rsidR="00B87364" w:rsidRDefault="00752F78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UJ používa účtovné odpisy nezávisle na daňových odpisoch. Majetok sa začína odpisovať v mesiaci, kedy bol zaradený do užívania. Účtovné odpisy vychádzajú z predpokladanej doby používania majetku. Dlhodobý nehmotný majetok sa odpisuje počas 4 rokov od jeho obstarania.</w:t>
      </w:r>
    </w:p>
    <w:p w:rsidR="00B87364" w:rsidRDefault="00752F78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lastRenderedPageBreak/>
        <w:t>UJ používa rovnomerné odpisovanie dlhodobého hmotného majetku a dlhodobého nehmotného majetku. Podrobný účtovný odpisový plán po položkách sa vedie v podsystéme Majetok (taktiež daňové odpisy podľa zákona o dani z príjmov).</w:t>
      </w:r>
    </w:p>
    <w:p w:rsidR="00B87364" w:rsidRDefault="00752F78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UJ odpisuje jednotlivé veci alebo relevantné súbory hnuteľných vecí (napr. počítačová sieť, nábytková zostava). UJ nepoužíva </w:t>
      </w:r>
      <w:proofErr w:type="spellStart"/>
      <w:r>
        <w:rPr>
          <w:rFonts w:ascii="Calibri" w:eastAsia="Calibri" w:hAnsi="Calibri" w:cs="Calibri"/>
          <w:sz w:val="24"/>
          <w:szCs w:val="24"/>
        </w:rPr>
        <w:t>komponentné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odpisovanie (odpisovanie častí majetku - komponentov).</w:t>
      </w:r>
    </w:p>
    <w:p w:rsidR="00B87364" w:rsidRDefault="00752F78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UJ nepoužila jednorazový odpis</w:t>
      </w:r>
      <w:r>
        <w:rPr>
          <w:rFonts w:ascii="Calibri" w:eastAsia="Calibri" w:hAnsi="Calibri" w:cs="Calibri"/>
          <w:b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dlhodobého majetku z dôvodu jednorazového trvalého zníženia hodnoty majetku (§ 21/5 PU).</w:t>
      </w:r>
    </w:p>
    <w:p w:rsidR="00B87364" w:rsidRDefault="00752F78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ÚJ nepoužíva kategóriu drobného dlhodobého nehmotného majetku - položky pod 2 400 eur jednotkovej ceny so životnosťou nad jeden rok (§ 13/2 PU).</w:t>
      </w:r>
    </w:p>
    <w:p w:rsidR="00B87364" w:rsidRDefault="00752F78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ÚJ nepoužíva kategóriu drobného dlhodobého hmotného majetku - položky pod 1 700 eur jednotkovej ceny so životnosťou nad jeden rok (§ 13/6 PU).</w:t>
      </w:r>
    </w:p>
    <w:p w:rsidR="00B87364" w:rsidRDefault="00752F78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ÚJ nepoužíva dobrovoľné účtovanie podlimitného technického zhodnotenia do odpisovaného dlhodobého majetku – technické zhodnotenie pod 1 700 eur za účtovné obdobie (§ 21/3 PU; § 29/2 ZDP).</w:t>
      </w:r>
    </w:p>
    <w:p w:rsidR="00B87364" w:rsidRDefault="00752F78">
      <w:pPr>
        <w:numPr>
          <w:ilvl w:val="0"/>
          <w:numId w:val="2"/>
        </w:numPr>
        <w:spacing w:after="120" w:line="240" w:lineRule="auto"/>
        <w:ind w:hanging="360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ÚJ nepoužíva dobrovoľnú kapitalizáciu úrokov do obstarávacej ceny odpisovaného dlhodobého hmotného majetku alebo dlhodobého nehmotného majetku (§ 34/1 PU; § 35/2/h PU).</w:t>
      </w:r>
    </w:p>
    <w:p w:rsidR="00B87364" w:rsidRDefault="00B87364">
      <w:pPr>
        <w:spacing w:after="120" w:line="240" w:lineRule="auto"/>
        <w:jc w:val="both"/>
      </w:pPr>
    </w:p>
    <w:p w:rsidR="00B87364" w:rsidRDefault="00752F78">
      <w:pPr>
        <w:spacing w:line="240" w:lineRule="auto"/>
      </w:pPr>
      <w:r>
        <w:rPr>
          <w:rFonts w:ascii="Calibri" w:eastAsia="Calibri" w:hAnsi="Calibri" w:cs="Calibri"/>
          <w:sz w:val="24"/>
          <w:szCs w:val="24"/>
        </w:rPr>
        <w:t>g) ÚJ neb</w:t>
      </w:r>
      <w:r w:rsidR="003E2DE4">
        <w:rPr>
          <w:rFonts w:ascii="Calibri" w:eastAsia="Calibri" w:hAnsi="Calibri" w:cs="Calibri"/>
          <w:sz w:val="24"/>
          <w:szCs w:val="24"/>
        </w:rPr>
        <w:t>oli v zdaňovacom období roku 2020</w:t>
      </w:r>
      <w:r>
        <w:rPr>
          <w:rFonts w:ascii="Calibri" w:eastAsia="Calibri" w:hAnsi="Calibri" w:cs="Calibri"/>
          <w:sz w:val="24"/>
          <w:szCs w:val="24"/>
        </w:rPr>
        <w:t xml:space="preserve"> poskytnuté žiadne dotácie</w:t>
      </w:r>
    </w:p>
    <w:p w:rsidR="00B87364" w:rsidRDefault="00B87364">
      <w:pPr>
        <w:keepNext/>
        <w:spacing w:after="120" w:line="240" w:lineRule="auto"/>
        <w:jc w:val="both"/>
      </w:pPr>
    </w:p>
    <w:p w:rsidR="00B87364" w:rsidRDefault="00752F78">
      <w:pPr>
        <w:spacing w:line="240" w:lineRule="auto"/>
      </w:pPr>
      <w:r>
        <w:rPr>
          <w:rFonts w:ascii="Calibri" w:eastAsia="Calibri" w:hAnsi="Calibri" w:cs="Calibri"/>
          <w:sz w:val="24"/>
          <w:szCs w:val="24"/>
        </w:rPr>
        <w:t xml:space="preserve">5) ÚJ </w:t>
      </w:r>
      <w:r w:rsidR="003E2DE4">
        <w:rPr>
          <w:rFonts w:ascii="Calibri" w:eastAsia="Calibri" w:hAnsi="Calibri" w:cs="Calibri"/>
          <w:sz w:val="24"/>
          <w:szCs w:val="24"/>
        </w:rPr>
        <w:t>v zdaňovacom období roku 2020</w:t>
      </w:r>
      <w:r>
        <w:rPr>
          <w:rFonts w:ascii="Calibri" w:eastAsia="Calibri" w:hAnsi="Calibri" w:cs="Calibri"/>
          <w:sz w:val="24"/>
          <w:szCs w:val="24"/>
        </w:rPr>
        <w:t xml:space="preserve"> nevykonala žiadne opravy významných chýb.</w:t>
      </w: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752F78">
      <w:pPr>
        <w:spacing w:line="240" w:lineRule="auto"/>
        <w:ind w:right="-468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IV – INFORMÁCIE, KTORÉ VYSVETĽUJÚ A DOPĹŇAJÚ SÚVAHU A VÝKAZ ZISKOV A STRÁT</w:t>
      </w:r>
    </w:p>
    <w:p w:rsidR="00B87364" w:rsidRDefault="00B87364">
      <w:pPr>
        <w:spacing w:line="240" w:lineRule="auto"/>
        <w:ind w:right="-468"/>
        <w:jc w:val="both"/>
      </w:pPr>
    </w:p>
    <w:p w:rsidR="00B87364" w:rsidRDefault="00752F78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>1) ÚJ neeviduje žiadne položky nehmotného majetku.</w:t>
      </w:r>
    </w:p>
    <w:p w:rsidR="00B87364" w:rsidRDefault="00B87364">
      <w:pPr>
        <w:spacing w:after="120" w:line="240" w:lineRule="auto"/>
        <w:ind w:right="-471"/>
        <w:jc w:val="both"/>
      </w:pPr>
    </w:p>
    <w:p w:rsidR="00B87364" w:rsidRDefault="00752F78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>2) ÚJ neeviduje žiadne položky významných derivátov, majetku a záväzkoch zabezpečených derivátmi.</w:t>
      </w:r>
    </w:p>
    <w:p w:rsidR="00B87364" w:rsidRDefault="00B87364">
      <w:pPr>
        <w:spacing w:after="120" w:line="240" w:lineRule="auto"/>
        <w:jc w:val="both"/>
      </w:pPr>
    </w:p>
    <w:p w:rsidR="00B87364" w:rsidRDefault="00752F78">
      <w:pPr>
        <w:spacing w:after="120"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3a) ÚJ neeviduje žiadne položky zabezpečených záväzkov so zostatkovou dobou splatnosti dlhšou </w:t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  <w:t xml:space="preserve"> ako 5 rokov:  </w:t>
      </w:r>
    </w:p>
    <w:p w:rsidR="00B87364" w:rsidRDefault="00B87364">
      <w:pPr>
        <w:spacing w:after="120" w:line="240" w:lineRule="auto"/>
        <w:ind w:right="-141"/>
        <w:jc w:val="both"/>
      </w:pPr>
    </w:p>
    <w:tbl>
      <w:tblPr>
        <w:tblStyle w:val="a4"/>
        <w:tblW w:w="9714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785"/>
        <w:gridCol w:w="2553"/>
        <w:gridCol w:w="2376"/>
      </w:tblGrid>
      <w:tr w:rsidR="00B87364">
        <w:trPr>
          <w:trHeight w:val="680"/>
          <w:jc w:val="center"/>
        </w:trPr>
        <w:tc>
          <w:tcPr>
            <w:tcW w:w="4785" w:type="dxa"/>
            <w:vAlign w:val="center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Názov položky</w:t>
            </w:r>
          </w:p>
        </w:tc>
        <w:tc>
          <w:tcPr>
            <w:tcW w:w="2553" w:type="dxa"/>
            <w:vAlign w:val="center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376" w:type="dxa"/>
            <w:vAlign w:val="center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B87364">
        <w:trPr>
          <w:trHeight w:val="200"/>
          <w:jc w:val="center"/>
        </w:trPr>
        <w:tc>
          <w:tcPr>
            <w:tcW w:w="4785" w:type="dxa"/>
            <w:vAlign w:val="center"/>
          </w:tcPr>
          <w:p w:rsidR="00B87364" w:rsidRDefault="00752F78">
            <w:pPr>
              <w:spacing w:line="240" w:lineRule="auto"/>
            </w:pPr>
            <w:r>
              <w:rPr>
                <w:rFonts w:ascii="Calibri" w:eastAsia="Calibri" w:hAnsi="Calibri" w:cs="Calibri"/>
                <w:sz w:val="24"/>
                <w:szCs w:val="24"/>
              </w:rPr>
              <w:t>Záväzky so zostatkovou dobou splatnosti nad 5 rokov</w:t>
            </w:r>
          </w:p>
        </w:tc>
        <w:tc>
          <w:tcPr>
            <w:tcW w:w="2553" w:type="dxa"/>
            <w:vAlign w:val="center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</w:t>
            </w:r>
          </w:p>
        </w:tc>
        <w:tc>
          <w:tcPr>
            <w:tcW w:w="2376" w:type="dxa"/>
            <w:vAlign w:val="center"/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</w:t>
            </w:r>
          </w:p>
        </w:tc>
      </w:tr>
    </w:tbl>
    <w:p w:rsidR="00B87364" w:rsidRDefault="00B87364">
      <w:pPr>
        <w:spacing w:before="120" w:line="240" w:lineRule="auto"/>
        <w:ind w:right="-471"/>
        <w:jc w:val="both"/>
      </w:pPr>
    </w:p>
    <w:p w:rsidR="00B87364" w:rsidRDefault="00752F78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lastRenderedPageBreak/>
        <w:t>3b) ÚJ neeviduje žiadne položky zabezpečených záväzkov.</w:t>
      </w:r>
    </w:p>
    <w:p w:rsidR="00B87364" w:rsidRDefault="00B87364">
      <w:pPr>
        <w:spacing w:after="120" w:line="240" w:lineRule="auto"/>
        <w:ind w:right="-471"/>
        <w:jc w:val="both"/>
      </w:pPr>
    </w:p>
    <w:p w:rsidR="00B87364" w:rsidRDefault="00752F78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>4) ÚJ neeviduje žiadne vlastné akcie.</w:t>
      </w:r>
    </w:p>
    <w:p w:rsidR="00B87364" w:rsidRDefault="00B87364">
      <w:pPr>
        <w:spacing w:after="120" w:line="240" w:lineRule="auto"/>
        <w:ind w:right="-471"/>
        <w:jc w:val="both"/>
      </w:pPr>
    </w:p>
    <w:p w:rsidR="00B87364" w:rsidRDefault="00752F78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5) ÚJ neeviduje žiadne položky nákladov alebo výnosov, ktoré majú výnimočný rozsah alebo výskyt.</w:t>
      </w: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after="120" w:line="240" w:lineRule="auto"/>
        <w:ind w:right="-471"/>
        <w:jc w:val="both"/>
      </w:pPr>
    </w:p>
    <w:p w:rsidR="00B87364" w:rsidRDefault="00752F78">
      <w:pPr>
        <w:spacing w:after="120" w:line="240" w:lineRule="auto"/>
        <w:ind w:right="-471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V – INFORMÁCIE O INÝCH AKTÍVACH A INÝCH PASÍVACH</w:t>
      </w:r>
    </w:p>
    <w:p w:rsidR="00B87364" w:rsidRDefault="00B87364">
      <w:pPr>
        <w:spacing w:after="120" w:line="240" w:lineRule="auto"/>
        <w:ind w:right="-471"/>
        <w:jc w:val="center"/>
      </w:pPr>
    </w:p>
    <w:p w:rsidR="00B87364" w:rsidRDefault="00752F78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1a) ÚJ neeviduje žiadne položky podmieneného majetku.</w:t>
      </w: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752F78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1b) ÚJ neeviduje žiadne položky podmienených záväzkov.</w:t>
      </w:r>
    </w:p>
    <w:p w:rsidR="00B87364" w:rsidRDefault="00B87364">
      <w:pPr>
        <w:spacing w:after="120"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752F78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2) ÚJ neeviduje žiadne ostatné finančné povinnosti, ktoré a nevykazujú v účtovných výkazoch.</w:t>
      </w: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752F78">
      <w:pPr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3 V účtovníctve ÚJ sa nenachádzajú žiadne položky evidované na podsúvahových účtoch.</w:t>
      </w: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ind w:right="-468"/>
        <w:jc w:val="center"/>
      </w:pPr>
    </w:p>
    <w:p w:rsidR="00B87364" w:rsidRDefault="00752F78">
      <w:pPr>
        <w:spacing w:line="240" w:lineRule="auto"/>
        <w:ind w:right="-468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VI – UDALOSTI, KTORÉ NASTALI PO ZÁVIERKOVOM DNI</w:t>
      </w:r>
    </w:p>
    <w:p w:rsidR="00B87364" w:rsidRDefault="00752F78">
      <w:pPr>
        <w:spacing w:line="240" w:lineRule="auto"/>
        <w:ind w:right="-468"/>
        <w:jc w:val="center"/>
      </w:pPr>
      <w:r>
        <w:rPr>
          <w:rFonts w:ascii="Calibri" w:eastAsia="Calibri" w:hAnsi="Calibri" w:cs="Calibri"/>
          <w:b/>
          <w:sz w:val="24"/>
          <w:szCs w:val="24"/>
        </w:rPr>
        <w:t>(Následné udalosti)</w:t>
      </w:r>
    </w:p>
    <w:p w:rsidR="00B87364" w:rsidRDefault="00B87364">
      <w:pPr>
        <w:spacing w:line="240" w:lineRule="auto"/>
        <w:ind w:right="-468"/>
        <w:jc w:val="center"/>
      </w:pPr>
    </w:p>
    <w:p w:rsidR="00B87364" w:rsidRDefault="00752F78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ÚJ neeviduje žiadne udalosti, ktoré nastali po </w:t>
      </w:r>
      <w:proofErr w:type="spellStart"/>
      <w:r>
        <w:rPr>
          <w:rFonts w:ascii="Calibri" w:eastAsia="Calibri" w:hAnsi="Calibri" w:cs="Calibri"/>
          <w:sz w:val="24"/>
          <w:szCs w:val="24"/>
        </w:rPr>
        <w:t>závierkovom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dni.</w:t>
      </w:r>
    </w:p>
    <w:p w:rsidR="00B87364" w:rsidRDefault="00B87364">
      <w:pPr>
        <w:spacing w:line="240" w:lineRule="auto"/>
        <w:ind w:right="-468"/>
        <w:jc w:val="center"/>
      </w:pPr>
    </w:p>
    <w:p w:rsidR="00B87364" w:rsidRDefault="00B87364">
      <w:pPr>
        <w:spacing w:line="240" w:lineRule="auto"/>
        <w:ind w:right="-468"/>
        <w:jc w:val="center"/>
      </w:pPr>
    </w:p>
    <w:p w:rsidR="00B87364" w:rsidRDefault="00752F78">
      <w:pPr>
        <w:spacing w:line="240" w:lineRule="auto"/>
        <w:ind w:right="-468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VII – OSTATNÉ INFORMÁCIE</w:t>
      </w:r>
    </w:p>
    <w:p w:rsidR="00B87364" w:rsidRDefault="00B87364">
      <w:pPr>
        <w:spacing w:line="240" w:lineRule="auto"/>
        <w:ind w:right="-468"/>
        <w:jc w:val="both"/>
      </w:pPr>
    </w:p>
    <w:p w:rsidR="00B87364" w:rsidRDefault="00752F78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>1) ÚJ nemá žiadne právo poskytovať služby vo verejnom záujme.</w:t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</w:p>
    <w:p w:rsidR="00B87364" w:rsidRDefault="00B87364">
      <w:pPr>
        <w:spacing w:after="120" w:line="240" w:lineRule="auto"/>
        <w:ind w:right="-471"/>
        <w:jc w:val="both"/>
      </w:pPr>
    </w:p>
    <w:p w:rsidR="00B87364" w:rsidRDefault="00752F78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2) ÚJ nemá žiadnu priemyselnú výrobu. (§ 23d/6 </w:t>
      </w:r>
      <w:proofErr w:type="spellStart"/>
      <w:r>
        <w:rPr>
          <w:rFonts w:ascii="Calibri" w:eastAsia="Calibri" w:hAnsi="Calibri" w:cs="Calibri"/>
          <w:sz w:val="24"/>
          <w:szCs w:val="24"/>
        </w:rPr>
        <w:t>ZoU</w:t>
      </w:r>
      <w:proofErr w:type="spellEnd"/>
      <w:r>
        <w:rPr>
          <w:rFonts w:ascii="Calibri" w:eastAsia="Calibri" w:hAnsi="Calibri" w:cs="Calibri"/>
          <w:sz w:val="24"/>
          <w:szCs w:val="24"/>
        </w:rPr>
        <w:t>)</w:t>
      </w:r>
    </w:p>
    <w:p w:rsidR="00B87364" w:rsidRDefault="00752F78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</w:p>
    <w:p w:rsidR="00B87364" w:rsidRDefault="00752F78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3) ÚJ nemá žiadne finančné vzťahy s orgánmi verejnej moci. (§ 23d/6 </w:t>
      </w:r>
      <w:proofErr w:type="spellStart"/>
      <w:r>
        <w:rPr>
          <w:rFonts w:ascii="Calibri" w:eastAsia="Calibri" w:hAnsi="Calibri" w:cs="Calibri"/>
          <w:sz w:val="24"/>
          <w:szCs w:val="24"/>
        </w:rPr>
        <w:t>ZoU</w:t>
      </w:r>
      <w:proofErr w:type="spellEnd"/>
      <w:r>
        <w:rPr>
          <w:rFonts w:ascii="Calibri" w:eastAsia="Calibri" w:hAnsi="Calibri" w:cs="Calibri"/>
          <w:sz w:val="24"/>
          <w:szCs w:val="24"/>
        </w:rPr>
        <w:t>)</w:t>
      </w:r>
    </w:p>
    <w:p w:rsidR="00B87364" w:rsidRDefault="00B87364">
      <w:pPr>
        <w:spacing w:after="120" w:line="240" w:lineRule="auto"/>
        <w:ind w:right="-471"/>
        <w:jc w:val="both"/>
      </w:pPr>
    </w:p>
    <w:p w:rsidR="00B87364" w:rsidRDefault="00B87364">
      <w:pPr>
        <w:spacing w:after="120" w:line="240" w:lineRule="auto"/>
      </w:pPr>
    </w:p>
    <w:p w:rsidR="00B87364" w:rsidRDefault="00752F78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</w:p>
    <w:sectPr w:rsidR="00B87364" w:rsidSect="00FF1471">
      <w:headerReference w:type="default" r:id="rId7"/>
      <w:footerReference w:type="default" r:id="rId8"/>
      <w:pgSz w:w="11907" w:h="16840"/>
      <w:pgMar w:top="1417" w:right="992" w:bottom="1417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332FF" w:rsidRDefault="00B332FF">
      <w:pPr>
        <w:spacing w:line="240" w:lineRule="auto"/>
      </w:pPr>
      <w:r>
        <w:separator/>
      </w:r>
    </w:p>
  </w:endnote>
  <w:endnote w:type="continuationSeparator" w:id="0">
    <w:p w:rsidR="00B332FF" w:rsidRDefault="00B332F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7364" w:rsidRDefault="006C4BA3">
    <w:pPr>
      <w:tabs>
        <w:tab w:val="center" w:pos="4536"/>
        <w:tab w:val="right" w:pos="9072"/>
      </w:tabs>
      <w:spacing w:line="240" w:lineRule="auto"/>
      <w:jc w:val="right"/>
    </w:pPr>
    <w:r>
      <w:fldChar w:fldCharType="begin"/>
    </w:r>
    <w:r w:rsidR="00752F78">
      <w:instrText>PAGE</w:instrText>
    </w:r>
    <w:r>
      <w:fldChar w:fldCharType="separate"/>
    </w:r>
    <w:r w:rsidR="00AD2A48">
      <w:rPr>
        <w:noProof/>
      </w:rPr>
      <w:t>2</w:t>
    </w:r>
    <w:r>
      <w:fldChar w:fldCharType="end"/>
    </w:r>
  </w:p>
  <w:p w:rsidR="00B87364" w:rsidRDefault="00B87364">
    <w:pPr>
      <w:tabs>
        <w:tab w:val="center" w:pos="4536"/>
        <w:tab w:val="right" w:pos="9072"/>
      </w:tabs>
      <w:spacing w:after="567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332FF" w:rsidRDefault="00B332FF">
      <w:pPr>
        <w:spacing w:line="240" w:lineRule="auto"/>
      </w:pPr>
      <w:r>
        <w:separator/>
      </w:r>
    </w:p>
  </w:footnote>
  <w:footnote w:type="continuationSeparator" w:id="0">
    <w:p w:rsidR="00B332FF" w:rsidRDefault="00B332F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7364" w:rsidRDefault="00752F78">
    <w:pPr>
      <w:widowControl w:val="0"/>
      <w:tabs>
        <w:tab w:val="left" w:pos="2990"/>
        <w:tab w:val="left" w:pos="6348"/>
      </w:tabs>
      <w:spacing w:before="567" w:line="240" w:lineRule="auto"/>
      <w:ind w:left="-397"/>
      <w:jc w:val="center"/>
    </w:pPr>
    <w:r>
      <w:t xml:space="preserve"> Poznámky </w:t>
    </w:r>
    <w:proofErr w:type="spellStart"/>
    <w:r>
      <w:t>Úč</w:t>
    </w:r>
    <w:proofErr w:type="spellEnd"/>
    <w:r>
      <w:t xml:space="preserve"> POD 3 – 01          </w:t>
    </w:r>
    <w:r>
      <w:rPr>
        <w:color w:val="707070"/>
        <w:sz w:val="18"/>
        <w:szCs w:val="18"/>
        <w:highlight w:val="white"/>
      </w:rPr>
      <w:tab/>
    </w:r>
    <w:r>
      <w:t xml:space="preserve">                 IČO: </w:t>
    </w:r>
    <w:r w:rsidR="00AD2A48">
      <w:rPr>
        <w:color w:val="807A7A"/>
        <w:sz w:val="21"/>
        <w:szCs w:val="21"/>
        <w:shd w:val="clear" w:color="auto" w:fill="FFFFFF"/>
      </w:rPr>
      <w:t>52707211</w:t>
    </w:r>
    <w:r w:rsidR="007F6CFF">
      <w:t xml:space="preserve">        </w:t>
    </w:r>
    <w:r w:rsidR="00AD2A48">
      <w:t xml:space="preserve">DIČ: </w:t>
    </w:r>
    <w:r w:rsidR="00AD2A48">
      <w:rPr>
        <w:color w:val="807A7A"/>
        <w:sz w:val="21"/>
        <w:szCs w:val="21"/>
        <w:shd w:val="clear" w:color="auto" w:fill="FFFFFF"/>
      </w:rPr>
      <w:t>2121113049</w:t>
    </w:r>
  </w:p>
  <w:p w:rsidR="00B87364" w:rsidRDefault="00B87364">
    <w:pPr>
      <w:tabs>
        <w:tab w:val="center" w:pos="4703"/>
        <w:tab w:val="right" w:pos="9406"/>
      </w:tabs>
      <w:spacing w:line="240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F64C91"/>
    <w:multiLevelType w:val="multilevel"/>
    <w:tmpl w:val="1EECCF62"/>
    <w:lvl w:ilvl="0">
      <w:numFmt w:val="bullet"/>
      <w:lvlText w:val="-"/>
      <w:lvlJc w:val="left"/>
      <w:pPr>
        <w:ind w:left="720" w:firstLine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  <w:vertAlign w:val="baseline"/>
      </w:rPr>
    </w:lvl>
  </w:abstractNum>
  <w:abstractNum w:abstractNumId="1" w15:restartNumberingAfterBreak="0">
    <w:nsid w:val="286D243E"/>
    <w:multiLevelType w:val="multilevel"/>
    <w:tmpl w:val="5072A10A"/>
    <w:lvl w:ilvl="0">
      <w:start w:val="6"/>
      <w:numFmt w:val="bullet"/>
      <w:lvlText w:val="-"/>
      <w:lvlJc w:val="left"/>
      <w:pPr>
        <w:ind w:left="720" w:firstLine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  <w:vertAlign w:val="baseline"/>
      </w:rPr>
    </w:lvl>
  </w:abstractNum>
  <w:abstractNum w:abstractNumId="2" w15:restartNumberingAfterBreak="0">
    <w:nsid w:val="4CAE6D9F"/>
    <w:multiLevelType w:val="multilevel"/>
    <w:tmpl w:val="6D68A1C2"/>
    <w:lvl w:ilvl="0">
      <w:start w:val="1"/>
      <w:numFmt w:val="bullet"/>
      <w:lvlText w:val="➢"/>
      <w:lvlJc w:val="left"/>
      <w:pPr>
        <w:ind w:left="360" w:firstLine="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080" w:firstLine="72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1800" w:firstLine="144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520" w:firstLine="216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240" w:firstLine="288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3960" w:firstLine="360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4680" w:firstLine="432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400" w:firstLine="504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120" w:firstLine="5760"/>
      </w:pPr>
      <w:rPr>
        <w:rFonts w:ascii="Arial" w:eastAsia="Arial" w:hAnsi="Arial" w:cs="Arial"/>
        <w:vertAlign w:val="baseline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7364"/>
    <w:rsid w:val="000F7B2F"/>
    <w:rsid w:val="001044E0"/>
    <w:rsid w:val="001E1E59"/>
    <w:rsid w:val="00270825"/>
    <w:rsid w:val="003278A5"/>
    <w:rsid w:val="003459F0"/>
    <w:rsid w:val="003472EF"/>
    <w:rsid w:val="003E2DE4"/>
    <w:rsid w:val="00424731"/>
    <w:rsid w:val="00450E83"/>
    <w:rsid w:val="004C3B25"/>
    <w:rsid w:val="004D343B"/>
    <w:rsid w:val="00626C0B"/>
    <w:rsid w:val="00630293"/>
    <w:rsid w:val="006357DB"/>
    <w:rsid w:val="006427A6"/>
    <w:rsid w:val="00690DEC"/>
    <w:rsid w:val="006C4BA3"/>
    <w:rsid w:val="00751017"/>
    <w:rsid w:val="00752F78"/>
    <w:rsid w:val="007F4DAB"/>
    <w:rsid w:val="007F6CFF"/>
    <w:rsid w:val="008303B2"/>
    <w:rsid w:val="008A730C"/>
    <w:rsid w:val="00943809"/>
    <w:rsid w:val="0097737C"/>
    <w:rsid w:val="009F771C"/>
    <w:rsid w:val="00A67C67"/>
    <w:rsid w:val="00AD2A48"/>
    <w:rsid w:val="00B332FF"/>
    <w:rsid w:val="00B87364"/>
    <w:rsid w:val="00D30FCC"/>
    <w:rsid w:val="00D93A46"/>
    <w:rsid w:val="00DE22B4"/>
    <w:rsid w:val="00EB41F8"/>
    <w:rsid w:val="00EC2695"/>
    <w:rsid w:val="00FC4D17"/>
    <w:rsid w:val="00FE2840"/>
    <w:rsid w:val="00FF14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AF33BC"/>
  <w15:docId w15:val="{60FFEC56-E381-4174-B5CE-DA78575BAB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color w:val="000000"/>
        <w:sz w:val="22"/>
        <w:szCs w:val="22"/>
        <w:lang w:val="sk-SK" w:eastAsia="sk-SK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</w:style>
  <w:style w:type="paragraph" w:styleId="Nadpis1">
    <w:name w:val="heading 1"/>
    <w:basedOn w:val="Normlny"/>
    <w:next w:val="Normlny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Nadpis2">
    <w:name w:val="heading 2"/>
    <w:basedOn w:val="Normlny"/>
    <w:next w:val="Normlny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Nadpis3">
    <w:name w:val="heading 3"/>
    <w:basedOn w:val="Normlny"/>
    <w:next w:val="Normlny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Nadpis4">
    <w:name w:val="heading 4"/>
    <w:basedOn w:val="Normlny"/>
    <w:next w:val="Normlny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Nadpis5">
    <w:name w:val="heading 5"/>
    <w:basedOn w:val="Normlny"/>
    <w:next w:val="Normlny"/>
    <w:pPr>
      <w:keepNext/>
      <w:keepLines/>
      <w:spacing w:before="220" w:after="40"/>
      <w:contextualSpacing/>
      <w:outlineLvl w:val="4"/>
    </w:pPr>
    <w:rPr>
      <w:b/>
    </w:rPr>
  </w:style>
  <w:style w:type="paragraph" w:styleId="Nadpis6">
    <w:name w:val="heading 6"/>
    <w:basedOn w:val="Normlny"/>
    <w:next w:val="Normlny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ov">
    <w:name w:val="Title"/>
    <w:basedOn w:val="Normlny"/>
    <w:next w:val="Normlny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Podtitul">
    <w:name w:val="Subtitle"/>
    <w:basedOn w:val="Normlny"/>
    <w:next w:val="Normlny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3459F0"/>
    <w:pPr>
      <w:tabs>
        <w:tab w:val="center" w:pos="4536"/>
        <w:tab w:val="right" w:pos="9072"/>
      </w:tabs>
      <w:spacing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459F0"/>
  </w:style>
  <w:style w:type="paragraph" w:styleId="Pta">
    <w:name w:val="footer"/>
    <w:basedOn w:val="Normlny"/>
    <w:link w:val="PtaChar"/>
    <w:uiPriority w:val="99"/>
    <w:unhideWhenUsed/>
    <w:rsid w:val="003459F0"/>
    <w:pPr>
      <w:tabs>
        <w:tab w:val="center" w:pos="4536"/>
        <w:tab w:val="right" w:pos="9072"/>
      </w:tabs>
      <w:spacing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459F0"/>
  </w:style>
  <w:style w:type="character" w:customStyle="1" w:styleId="apple-converted-space">
    <w:name w:val="apple-converted-space"/>
    <w:basedOn w:val="Predvolenpsmoodseku"/>
    <w:rsid w:val="009773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392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1204</Words>
  <Characters>6865</Characters>
  <Application>Microsoft Office Word</Application>
  <DocSecurity>0</DocSecurity>
  <Lines>57</Lines>
  <Paragraphs>16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Janka</dc:creator>
  <cp:lastModifiedBy>Janka</cp:lastModifiedBy>
  <cp:revision>3</cp:revision>
  <dcterms:created xsi:type="dcterms:W3CDTF">2021-09-17T06:49:00Z</dcterms:created>
  <dcterms:modified xsi:type="dcterms:W3CDTF">2021-09-17T06:55:00Z</dcterms:modified>
</cp:coreProperties>
</file>