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keepNext w:val="true"/>
        <w:numPr>
          <w:ilvl w:val="0"/>
          <w:numId w:val="0"/>
        </w:numPr>
        <w:tabs>
          <w:tab w:val="clear" w:pos="709"/>
          <w:tab w:val="left" w:pos="2635" w:leader="none"/>
          <w:tab w:val="center" w:pos="4734" w:leader="none"/>
        </w:tabs>
        <w:outlineLvl w:val="1"/>
        <w:rPr>
          <w:rFonts w:ascii="Arial;Arial Narrow" w:hAnsi="Arial;Arial Narrow" w:cs="Arial;Arial Narrow"/>
          <w:b/>
          <w:b/>
          <w:bCs/>
          <w:sz w:val="20"/>
        </w:rPr>
      </w:pPr>
      <w:r>
        <w:rPr>
          <w:rFonts w:cs="Arial;Arial Narrow" w:ascii="Arial;Arial Narrow" w:hAnsi="Arial;Arial Narrow"/>
          <w:b/>
          <w:bCs/>
          <w:sz w:val="20"/>
        </w:rPr>
        <w:tab/>
        <w:tab/>
      </w:r>
    </w:p>
    <w:p>
      <w:pPr>
        <w:pStyle w:val="Normal"/>
        <w:keepNext w:val="true"/>
        <w:numPr>
          <w:ilvl w:val="0"/>
          <w:numId w:val="0"/>
        </w:numPr>
        <w:tabs>
          <w:tab w:val="clear" w:pos="709"/>
          <w:tab w:val="left" w:pos="2635" w:leader="none"/>
          <w:tab w:val="center" w:pos="4734" w:leader="none"/>
        </w:tabs>
        <w:outlineLvl w:val="1"/>
        <w:rPr>
          <w:rFonts w:ascii="Arial;Arial Narrow" w:hAnsi="Arial;Arial Narrow" w:cs="Arial;Arial Narrow"/>
          <w:b/>
          <w:b/>
          <w:bCs/>
          <w:sz w:val="20"/>
        </w:rPr>
      </w:pPr>
      <w:r>
        <w:rPr>
          <w:rFonts w:cs="Arial;Arial Narrow" w:ascii="Arial;Arial Narrow" w:hAnsi="Arial;Arial Narrow"/>
          <w:b/>
          <w:bCs/>
          <w:sz w:val="20"/>
        </w:rPr>
      </w:r>
    </w:p>
    <w:p>
      <w:pPr>
        <w:pStyle w:val="Normal"/>
        <w:numPr>
          <w:ilvl w:val="0"/>
          <w:numId w:val="6"/>
        </w:numPr>
        <w:shd w:val="clear" w:fill="E6E6E6"/>
        <w:ind w:left="709" w:hanging="709"/>
        <w:jc w:val="center"/>
        <w:rPr>
          <w:i/>
          <w:i/>
          <w:sz w:val="20"/>
          <w:szCs w:val="20"/>
        </w:rPr>
      </w:pPr>
      <w:r>
        <w:rPr>
          <w:i/>
          <w:szCs w:val="20"/>
        </w:rPr>
        <w:t xml:space="preserve">Všeobecné informácie             </w:t>
      </w:r>
    </w:p>
    <w:p>
      <w:pPr>
        <w:pStyle w:val="Normal"/>
        <w:keepNext w:val="true"/>
        <w:numPr>
          <w:ilvl w:val="0"/>
          <w:numId w:val="0"/>
        </w:numPr>
        <w:tabs>
          <w:tab w:val="clear" w:pos="709"/>
          <w:tab w:val="left" w:pos="2635" w:leader="none"/>
          <w:tab w:val="center" w:pos="4734" w:leader="none"/>
        </w:tabs>
        <w:outlineLvl w:val="1"/>
        <w:rPr>
          <w:rFonts w:ascii="Arial;Arial Narrow" w:hAnsi="Arial;Arial Narrow" w:cs="Arial;Arial Narrow"/>
          <w:b/>
          <w:b/>
          <w:bCs/>
          <w:i/>
          <w:i/>
          <w:sz w:val="20"/>
          <w:szCs w:val="20"/>
        </w:rPr>
      </w:pPr>
      <w:r>
        <w:rPr>
          <w:rFonts w:cs="Arial;Arial Narrow" w:ascii="Arial;Arial Narrow" w:hAnsi="Arial;Arial Narrow"/>
          <w:b/>
          <w:bCs/>
          <w:i/>
          <w:sz w:val="20"/>
          <w:szCs w:val="20"/>
        </w:rPr>
      </w:r>
    </w:p>
    <w:p>
      <w:pPr>
        <w:pStyle w:val="Normal"/>
        <w:ind w:left="425" w:hanging="0"/>
        <w:jc w:val="both"/>
        <w:rPr>
          <w:rFonts w:ascii="Arial;Arial Narrow" w:hAnsi="Arial;Arial Narrow" w:cs="Arial;Arial Narrow"/>
          <w:b/>
          <w:b/>
          <w:bCs/>
          <w:sz w:val="18"/>
          <w:szCs w:val="22"/>
        </w:rPr>
      </w:pPr>
      <w:r>
        <w:rPr>
          <w:rFonts w:cs="Arial;Arial Narrow" w:ascii="Arial;Arial Narrow" w:hAnsi="Arial;Arial Narrow"/>
          <w:b/>
          <w:bCs/>
          <w:sz w:val="18"/>
          <w:szCs w:val="22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68"/>
        <w:gridCol w:w="7097"/>
      </w:tblGrid>
      <w:tr>
        <w:trPr>
          <w:trHeight w:val="1100" w:hRule="atLeast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2"/>
              </w:numPr>
              <w:spacing w:before="0" w:after="0"/>
              <w:ind w:left="357" w:hanging="357"/>
              <w:contextualSpacing/>
              <w:jc w:val="both"/>
              <w:outlineLvl w:val="1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20"/>
                <w:szCs w:val="22"/>
              </w:rPr>
              <w:t>Obchodné meno:</w:t>
            </w:r>
          </w:p>
        </w:tc>
        <w:tc>
          <w:tcPr>
            <w:tcW w:w="709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Sticker Market</w:t>
            </w:r>
            <w:r>
              <w:rPr>
                <w:rFonts w:cs="Arial;Arial Narrow" w:ascii="Arial;Arial Narrow" w:hAnsi="Arial;Arial Narrow"/>
                <w:sz w:val="20"/>
                <w:szCs w:val="22"/>
              </w:rPr>
              <w:t xml:space="preserve"> s.r.o.</w:t>
            </w:r>
          </w:p>
        </w:tc>
      </w:tr>
      <w:tr>
        <w:trPr>
          <w:trHeight w:val="340" w:hRule="atLeast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Sídlo:</w:t>
            </w:r>
          </w:p>
        </w:tc>
        <w:tc>
          <w:tcPr>
            <w:tcW w:w="7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Kasárenská 1504/51</w:t>
            </w:r>
            <w:r>
              <w:rPr>
                <w:rFonts w:cs="Arial;Arial Narrow" w:ascii="Arial;Arial Narrow" w:hAnsi="Arial;Arial Narrow"/>
                <w:sz w:val="20"/>
                <w:szCs w:val="22"/>
              </w:rPr>
              <w:t xml:space="preserve">, </w:t>
            </w:r>
            <w:r>
              <w:rPr>
                <w:rFonts w:cs="Arial;Arial Narrow" w:ascii="Arial;Arial Narrow" w:hAnsi="Arial;Arial Narrow"/>
                <w:sz w:val="20"/>
                <w:szCs w:val="22"/>
              </w:rPr>
              <w:t>Senica 905 01</w:t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  <w:t>381</w:t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3261"/>
        <w:gridCol w:w="992"/>
        <w:gridCol w:w="425"/>
        <w:gridCol w:w="4253"/>
        <w:gridCol w:w="434"/>
      </w:tblGrid>
      <w:tr>
        <w:trPr>
          <w:trHeight w:val="340" w:hRule="atLeast"/>
        </w:trPr>
        <w:tc>
          <w:tcPr>
            <w:tcW w:w="936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2"/>
              </w:numPr>
              <w:spacing w:before="0" w:after="0"/>
              <w:ind w:left="357" w:hanging="357"/>
              <w:contextualSpacing/>
              <w:jc w:val="both"/>
              <w:outlineLvl w:val="1"/>
              <w:rPr/>
            </w:pPr>
            <w:r>
              <w:rPr>
                <w:rFonts w:cs="Arial;Arial Narrow" w:ascii="Arial;Arial Narrow" w:hAnsi="Arial;Arial Narrow"/>
                <w:b/>
                <w:sz w:val="20"/>
                <w:szCs w:val="22"/>
              </w:rPr>
              <w:t>Údaje o konsolidovanom celku</w:t>
            </w:r>
          </w:p>
        </w:tc>
      </w:tr>
      <w:tr>
        <w:trPr>
          <w:trHeight w:val="340" w:hRule="atLeast"/>
        </w:trPr>
        <w:tc>
          <w:tcPr>
            <w:tcW w:w="42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sz w:val="20"/>
              </w:rPr>
              <w:t>ÚJ   nie je súčasťou konsolidovaného celku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b/>
                <w:bCs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sz w:val="20"/>
              </w:rPr>
              <w:t>ÚJ je súčasťou konsolidovaného celku</w:t>
            </w:r>
            <w:r>
              <w:rPr>
                <w:rFonts w:cs="Arial;Arial Narrow" w:ascii="Arial;Arial Narrow" w:hAnsi="Arial;Arial Narrow"/>
                <w:szCs w:val="22"/>
              </w:rPr>
              <w:t xml:space="preserve">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ind w:left="56" w:hanging="0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36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left="214" w:hanging="0"/>
              <w:rPr/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a)obchodné meno a sídlo konsolidujúcej ÚJ, ktorá zostavuje konsolidovanú účtovnú závierku za tú skupinu účtovných jednotiek konsolidovaného celku, ktorého súčasťou je aj ÚJ;</w:t>
            </w:r>
            <w:r>
              <w:rPr>
                <w:rFonts w:cs="Arial;Arial Narrow" w:ascii="Arial;Arial Narrow" w:hAnsi="Arial;Arial Narrow"/>
                <w:i/>
                <w:sz w:val="18"/>
              </w:rPr>
              <w:t xml:space="preserve"> </w:t>
            </w:r>
          </w:p>
        </w:tc>
      </w:tr>
      <w:tr>
        <w:trPr>
          <w:trHeight w:val="340" w:hRule="atLeast"/>
        </w:trPr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Meno ÚJ, ktorá je bezprostredne konsolidujúcou ÚJ:</w:t>
            </w:r>
          </w:p>
        </w:tc>
        <w:tc>
          <w:tcPr>
            <w:tcW w:w="6104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Sídlo :</w:t>
            </w:r>
          </w:p>
        </w:tc>
        <w:tc>
          <w:tcPr>
            <w:tcW w:w="610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</w:tr>
    </w:tbl>
    <w:p>
      <w:pPr>
        <w:pStyle w:val="Normal"/>
        <w:ind w:right="112" w:hanging="0"/>
        <w:jc w:val="both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3826"/>
        <w:gridCol w:w="1359"/>
        <w:gridCol w:w="1758"/>
        <w:gridCol w:w="709"/>
        <w:gridCol w:w="567"/>
        <w:gridCol w:w="567"/>
        <w:gridCol w:w="580"/>
      </w:tblGrid>
      <w:tr>
        <w:trPr>
          <w:trHeight w:val="340" w:hRule="atLeast"/>
        </w:trPr>
        <w:tc>
          <w:tcPr>
            <w:tcW w:w="694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ind w:left="318" w:hanging="0"/>
              <w:rPr>
                <w:rFonts w:ascii="Arial;Arial Narrow" w:hAnsi="Arial;Arial Narrow" w:cs="Arial;Arial Narrow"/>
                <w:b/>
                <w:b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b)ÚJ je materskou účtovnou jednotkou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NIE</w:t>
            </w:r>
          </w:p>
        </w:tc>
        <w:tc>
          <w:tcPr>
            <w:tcW w:w="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b/>
                <w:bCs/>
                <w:sz w:val="20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694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ind w:left="318" w:hanging="0"/>
              <w:rPr>
                <w:rFonts w:ascii="Arial;Arial Narrow" w:hAnsi="Arial;Arial Narrow" w:cs="Arial;Arial Narrow"/>
                <w:i/>
                <w:i/>
                <w:sz w:val="18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ÚJ je oslobodená od povinnosti zostaviť konsolidovanú ÚZ podľa §22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b/>
                <w:b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/>
                <w:bCs/>
                <w:sz w:val="20"/>
                <w:szCs w:val="22"/>
              </w:rPr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NIE</w:t>
            </w:r>
          </w:p>
        </w:tc>
        <w:tc>
          <w:tcPr>
            <w:tcW w:w="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3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Obchodné meno a sídlo materskej ÚJ</w:t>
            </w:r>
          </w:p>
        </w:tc>
        <w:tc>
          <w:tcPr>
            <w:tcW w:w="1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left="34" w:hanging="0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§ 22 ods.8</w:t>
            </w:r>
          </w:p>
        </w:tc>
        <w:tc>
          <w:tcPr>
            <w:tcW w:w="418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3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Obchodné meno asídlo dcérskych ÚJ</w:t>
            </w:r>
          </w:p>
        </w:tc>
        <w:tc>
          <w:tcPr>
            <w:tcW w:w="1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left="34" w:hanging="0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§ 22 ods.12</w:t>
            </w:r>
          </w:p>
        </w:tc>
        <w:tc>
          <w:tcPr>
            <w:tcW w:w="418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Normal"/>
        <w:tabs>
          <w:tab w:val="clear" w:pos="709"/>
          <w:tab w:val="left" w:pos="851" w:leader="none"/>
        </w:tabs>
        <w:jc w:val="center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</w:r>
    </w:p>
    <w:p>
      <w:pPr>
        <w:pStyle w:val="Normal"/>
        <w:rPr>
          <w:rFonts w:ascii="Arial;Arial Narrow" w:hAnsi="Arial;Arial Narrow" w:cs="Arial;Arial Narrow"/>
          <w:i/>
          <w:i/>
          <w:sz w:val="20"/>
        </w:rPr>
      </w:pPr>
      <w:r>
        <w:rPr>
          <w:rFonts w:cs="Arial;Arial Narrow" w:ascii="Arial;Arial Narrow" w:hAnsi="Arial;Arial Narrow"/>
          <w:i/>
          <w:sz w:val="20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7937"/>
        <w:gridCol w:w="1428"/>
      </w:tblGrid>
      <w:tr>
        <w:trPr>
          <w:trHeight w:val="340" w:hRule="atLeast"/>
        </w:trPr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2"/>
              </w:numPr>
              <w:spacing w:before="0" w:after="0"/>
              <w:ind w:left="357" w:hanging="357"/>
              <w:contextualSpacing/>
              <w:jc w:val="both"/>
              <w:outlineLvl w:val="1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Priemerný prepočítaný počet zamestnancov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jc w:val="center"/>
              <w:rPr/>
            </w:pPr>
            <w:r>
              <w:rPr>
                <w:rFonts w:cs="Arial;Arial Narrow" w:ascii="Arial;Arial Narrow" w:hAnsi="Arial;Arial Narrow"/>
                <w:sz w:val="20"/>
              </w:rPr>
              <w:t>0</w:t>
            </w:r>
          </w:p>
        </w:tc>
      </w:tr>
    </w:tbl>
    <w:p>
      <w:pPr>
        <w:pStyle w:val="Normal"/>
        <w:tabs>
          <w:tab w:val="clear" w:pos="709"/>
          <w:tab w:val="left" w:pos="851" w:leader="none"/>
        </w:tabs>
        <w:ind w:left="2870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tabs>
          <w:tab w:val="clear" w:pos="709"/>
          <w:tab w:val="left" w:pos="851" w:leader="none"/>
        </w:tabs>
        <w:ind w:left="2870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tabs>
          <w:tab w:val="clear" w:pos="709"/>
          <w:tab w:val="left" w:pos="851" w:leader="none"/>
        </w:tabs>
        <w:ind w:left="2870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tabs>
          <w:tab w:val="clear" w:pos="709"/>
          <w:tab w:val="left" w:pos="851" w:leader="none"/>
        </w:tabs>
        <w:ind w:left="2870" w:hanging="0"/>
        <w:jc w:val="both"/>
        <w:rPr>
          <w:rFonts w:ascii="Arial;Arial Narrow" w:hAnsi="Arial;Arial Narrow" w:cs="Arial;Arial Narrow"/>
          <w:i/>
          <w:i/>
          <w:sz w:val="20"/>
          <w:szCs w:val="20"/>
        </w:rPr>
      </w:pPr>
      <w:r>
        <w:rPr>
          <w:rFonts w:cs="Arial;Arial Narrow" w:ascii="Arial;Arial Narrow" w:hAnsi="Arial;Arial Narrow"/>
          <w:i/>
          <w:sz w:val="20"/>
          <w:szCs w:val="20"/>
        </w:rPr>
      </w:r>
    </w:p>
    <w:p>
      <w:pPr>
        <w:pStyle w:val="Normal"/>
        <w:numPr>
          <w:ilvl w:val="0"/>
          <w:numId w:val="6"/>
        </w:numPr>
        <w:shd w:val="clear" w:fill="E6E6E6"/>
        <w:ind w:left="709" w:hanging="709"/>
        <w:jc w:val="center"/>
        <w:rPr>
          <w:i/>
          <w:i/>
          <w:szCs w:val="20"/>
        </w:rPr>
      </w:pPr>
      <w:r>
        <w:rPr>
          <w:i/>
          <w:szCs w:val="20"/>
        </w:rPr>
        <w:t>Informácie o prijatých postupoch</w:t>
      </w:r>
    </w:p>
    <w:p>
      <w:pPr>
        <w:pStyle w:val="Normal"/>
        <w:ind w:left="1121" w:hanging="0"/>
        <w:jc w:val="both"/>
        <w:rPr>
          <w:rFonts w:ascii="Arial;Arial Narrow" w:hAnsi="Arial;Arial Narrow" w:cs="Arial;Arial Narrow"/>
          <w:b/>
          <w:b/>
          <w:i/>
          <w:i/>
          <w:sz w:val="20"/>
          <w:szCs w:val="20"/>
        </w:rPr>
      </w:pPr>
      <w:r>
        <w:rPr>
          <w:rFonts w:cs="Arial;Arial Narrow" w:ascii="Arial;Arial Narrow" w:hAnsi="Arial;Arial Narrow"/>
          <w:b/>
          <w:i/>
          <w:sz w:val="20"/>
          <w:szCs w:val="20"/>
        </w:rPr>
      </w:r>
    </w:p>
    <w:p>
      <w:pPr>
        <w:pStyle w:val="Normal"/>
        <w:ind w:left="1121" w:hanging="0"/>
        <w:jc w:val="both"/>
        <w:rPr>
          <w:rFonts w:ascii="Arial;Arial Narrow" w:hAnsi="Arial;Arial Narrow" w:cs="Arial;Arial Narrow"/>
          <w:b/>
          <w:b/>
          <w:sz w:val="20"/>
        </w:rPr>
      </w:pPr>
      <w:r>
        <w:rPr>
          <w:rFonts w:cs="Arial;Arial Narrow" w:ascii="Arial;Arial Narrow" w:hAnsi="Arial;Arial Narrow"/>
          <w:b/>
          <w:sz w:val="20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6"/>
        <w:gridCol w:w="6367"/>
        <w:gridCol w:w="709"/>
        <w:gridCol w:w="567"/>
        <w:gridCol w:w="567"/>
        <w:gridCol w:w="579"/>
      </w:tblGrid>
      <w:tr>
        <w:trPr>
          <w:trHeight w:val="522" w:hRule="exact"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10"/>
              </w:numPr>
              <w:snapToGrid w:val="false"/>
              <w:spacing w:before="0" w:after="0"/>
              <w:ind w:left="357" w:hanging="357"/>
              <w:contextualSpacing/>
              <w:jc w:val="both"/>
              <w:outlineLvl w:val="1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</w:tc>
        <w:tc>
          <w:tcPr>
            <w:tcW w:w="6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b/>
                <w:sz w:val="20"/>
              </w:rPr>
              <w:t>Účtovná závierka bola zostavená za predpokladu, že účtovná jednotka bude nepretržite pokračovať vo svojej činnosti</w:t>
            </w:r>
            <w:r>
              <w:rPr>
                <w:rFonts w:cs="Arial;Arial Narrow" w:ascii="Arial;Arial Narrow" w:hAnsi="Arial;Arial Narrow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NIE</w:t>
            </w:r>
          </w:p>
        </w:tc>
        <w:tc>
          <w:tcPr>
            <w:tcW w:w="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Odsekzoznamu"/>
        <w:keepNext w:val="true"/>
        <w:numPr>
          <w:ilvl w:val="0"/>
          <w:numId w:val="0"/>
        </w:numPr>
        <w:spacing w:before="0" w:after="0"/>
        <w:ind w:left="357" w:hanging="0"/>
        <w:contextualSpacing/>
        <w:jc w:val="both"/>
        <w:outlineLvl w:val="1"/>
        <w:rPr>
          <w:rFonts w:ascii="Arial;Arial Narrow" w:hAnsi="Arial;Arial Narrow" w:cs="Arial;Arial Narrow"/>
          <w:sz w:val="20"/>
          <w:lang w:val="sk-SK"/>
        </w:rPr>
      </w:pPr>
      <w:r>
        <w:rPr>
          <w:rFonts w:cs="Arial;Arial Narrow" w:ascii="Arial;Arial Narrow" w:hAnsi="Arial;Arial Narrow"/>
          <w:sz w:val="20"/>
          <w:lang w:val="sk-SK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565"/>
        <w:gridCol w:w="8366"/>
        <w:gridCol w:w="434"/>
      </w:tblGrid>
      <w:tr>
        <w:trPr>
          <w:trHeight w:val="283" w:hRule="atLeast"/>
        </w:trPr>
        <w:tc>
          <w:tcPr>
            <w:tcW w:w="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Odsekzoznamu"/>
              <w:keepNext w:val="true"/>
              <w:numPr>
                <w:ilvl w:val="0"/>
                <w:numId w:val="10"/>
              </w:numPr>
              <w:snapToGrid w:val="false"/>
              <w:spacing w:before="0" w:after="0"/>
              <w:ind w:left="357" w:hanging="357"/>
              <w:contextualSpacing/>
              <w:jc w:val="both"/>
              <w:outlineLvl w:val="1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8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Spôsob oceňovania jednotlivých položiek majetku a záväzkov</w:t>
            </w:r>
          </w:p>
        </w:tc>
      </w:tr>
      <w:tr>
        <w:trPr>
          <w:trHeight w:val="283" w:hRule="atLeast"/>
        </w:trPr>
        <w:tc>
          <w:tcPr>
            <w:tcW w:w="93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/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</w:rPr>
              <w:t>Obstarávacou cenou</w:t>
            </w:r>
          </w:p>
        </w:tc>
      </w:tr>
      <w:tr>
        <w:trPr>
          <w:trHeight w:val="283" w:hRule="atLeast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6. záväzky pri ich prevzatí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tbl>
      <w:tblPr>
        <w:tblW w:w="9327" w:type="dxa"/>
        <w:jc w:val="left"/>
        <w:tblInd w:w="4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92"/>
        <w:gridCol w:w="434"/>
      </w:tblGrid>
      <w:tr>
        <w:trPr>
          <w:trHeight w:val="283" w:hRule="atLeast"/>
        </w:trPr>
        <w:tc>
          <w:tcPr>
            <w:tcW w:w="93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/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</w:rPr>
              <w:t>Vlastnými nákladmi</w:t>
            </w:r>
          </w:p>
        </w:tc>
      </w:tr>
      <w:tr>
        <w:trPr>
          <w:trHeight w:val="283" w:hRule="atLeast"/>
        </w:trPr>
        <w:tc>
          <w:tcPr>
            <w:tcW w:w="8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/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31"/>
        <w:gridCol w:w="434"/>
      </w:tblGrid>
      <w:tr>
        <w:trPr>
          <w:trHeight w:val="283" w:hRule="atLeast"/>
        </w:trPr>
        <w:tc>
          <w:tcPr>
            <w:tcW w:w="9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/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</w:rPr>
              <w:t>Menovitou hodnotou</w:t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2. pohľadávky pri ich vzniku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3. záväzky pri ich vzniku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31"/>
        <w:gridCol w:w="434"/>
      </w:tblGrid>
      <w:tr>
        <w:trPr>
          <w:trHeight w:val="283" w:hRule="atLeast"/>
        </w:trPr>
        <w:tc>
          <w:tcPr>
            <w:tcW w:w="9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Úbytok zásob rovnakého druhu sa účtuje v ocenení: </w:t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Cenou zistenou váženým aritmetickým priemerom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Metódou FIFO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Obstarávacia cena zásob sa rozdeľuje na cenu za ktoré sa zásoby obstarali</w:t>
            </w:r>
          </w:p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</w:rPr>
              <w:t>a náklady súvisiace s obstaraním(VON).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31"/>
        <w:gridCol w:w="434"/>
      </w:tblGrid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/>
            </w:pPr>
            <w:r>
              <w:rPr>
                <w:rFonts w:cs="Arial;Arial Narrow" w:ascii="Arial;Arial Narrow" w:hAnsi="Arial;Arial Narrow"/>
                <w:sz w:val="20"/>
              </w:rPr>
              <w:t xml:space="preserve">Výdavky budúcich období a príjmy budúcich období  sa vykazujú vo výške, ktorá je potrebná </w:t>
            </w:r>
          </w:p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na dodržanie zásady vecnej a časovej súvislosti s účtovným obdobím.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Rezervy sú záväzky s neurčitým časovým vymedzením alebo výškou; tvoria sa na krytie známych</w:t>
            </w:r>
          </w:p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</w:rPr>
              <w:t>rizík alebo strát z podnikania. Oceňujú sa v očakávanej výške záväzku.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Prenajatý  majetok a majetok obstaraný na základe  zmluvy o kúpe prenajatej veci - v ocenení</w:t>
            </w:r>
          </w:p>
          <w:p>
            <w:pPr>
              <w:pStyle w:val="Normal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  <w:szCs w:val="22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 xml:space="preserve">rovnajúcom istine a náklady súvisiace s obstaraním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X</w:t>
            </w:r>
          </w:p>
        </w:tc>
      </w:tr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Daň z príjmov splatná – daň sa  určuje z účtovného zisku pred zdanením, po úpravách na daňové</w:t>
            </w:r>
          </w:p>
          <w:p>
            <w:pPr>
              <w:pStyle w:val="Normal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  <w:szCs w:val="22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účely podľa zákona o daniach z príjmov pri sadzbe 21 %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</w:r>
          </w:p>
        </w:tc>
      </w:tr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>
            <w:pPr>
              <w:pStyle w:val="Normal"/>
              <w:ind w:right="-468" w:hanging="0"/>
              <w:rPr/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Náklady a výnosy časovo nerozlišujú.</w:t>
            </w:r>
          </w:p>
          <w:p>
            <w:pPr>
              <w:pStyle w:val="Normal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</w:r>
          </w:p>
        </w:tc>
      </w:tr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564"/>
        <w:gridCol w:w="6763"/>
        <w:gridCol w:w="1603"/>
        <w:gridCol w:w="1"/>
        <w:gridCol w:w="435"/>
      </w:tblGrid>
      <w:tr>
        <w:trPr>
          <w:trHeight w:val="774" w:hRule="atLeast"/>
        </w:trPr>
        <w:tc>
          <w:tcPr>
            <w:tcW w:w="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10"/>
              </w:numPr>
              <w:snapToGrid w:val="false"/>
              <w:spacing w:before="0" w:after="0"/>
              <w:ind w:left="357" w:hanging="357"/>
              <w:contextualSpacing/>
              <w:jc w:val="center"/>
              <w:outlineLvl w:val="1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  <w:p>
            <w:pPr>
              <w:pStyle w:val="Odsekzoznamu"/>
              <w:keepNext w:val="true"/>
              <w:numPr>
                <w:ilvl w:val="0"/>
                <w:numId w:val="0"/>
              </w:numPr>
              <w:spacing w:before="0" w:after="0"/>
              <w:ind w:left="357" w:hanging="0"/>
              <w:contextualSpacing/>
              <w:jc w:val="center"/>
              <w:outlineLvl w:val="1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  <w:p>
            <w:pPr>
              <w:pStyle w:val="Odsekzoznamu"/>
              <w:keepNext w:val="true"/>
              <w:numPr>
                <w:ilvl w:val="0"/>
                <w:numId w:val="0"/>
              </w:numPr>
              <w:spacing w:before="0" w:after="0"/>
              <w:ind w:left="357" w:hanging="0"/>
              <w:contextualSpacing/>
              <w:jc w:val="center"/>
              <w:outlineLvl w:val="1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</w:tc>
        <w:tc>
          <w:tcPr>
            <w:tcW w:w="880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>
        <w:trPr/>
        <w:tc>
          <w:tcPr>
            <w:tcW w:w="893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  <w:p>
            <w:pPr>
              <w:pStyle w:val="Normal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  <w:p>
            <w:pPr>
              <w:pStyle w:val="Normal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810" w:hRule="atLeast"/>
        </w:trPr>
        <w:tc>
          <w:tcPr>
            <w:tcW w:w="893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cs="Arial;Arial Narrow" w:ascii="Arial;Arial Narrow" w:hAnsi="Arial;Arial Narrow"/>
                <w:b/>
                <w:sz w:val="20"/>
                <w:szCs w:val="22"/>
              </w:rPr>
              <w:t>rovnajú.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X</w:t>
            </w:r>
          </w:p>
        </w:tc>
      </w:tr>
      <w:tr>
        <w:trPr>
          <w:trHeight w:val="823" w:hRule="atLeast"/>
        </w:trPr>
        <w:tc>
          <w:tcPr>
            <w:tcW w:w="893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cs="Arial;Arial Narrow" w:ascii="Arial;Arial Narrow" w:hAnsi="Arial;Arial Narrow"/>
                <w:b/>
                <w:sz w:val="20"/>
                <w:szCs w:val="22"/>
              </w:rPr>
              <w:t>nerovnajú.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64" w:hRule="atLeast"/>
        </w:trPr>
        <w:tc>
          <w:tcPr>
            <w:tcW w:w="73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Dlhodobý nehmotný majetok =doba použiteľnosti viac ako rok a vstupná cena je  viac ako :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2400,-eur</w:t>
            </w:r>
          </w:p>
        </w:tc>
        <w:tc>
          <w:tcPr>
            <w:tcW w:w="4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X</w:t>
            </w:r>
          </w:p>
        </w:tc>
      </w:tr>
      <w:tr>
        <w:trPr>
          <w:trHeight w:val="64" w:hRule="atLeast"/>
        </w:trPr>
        <w:tc>
          <w:tcPr>
            <w:tcW w:w="73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1700,-eur</w:t>
            </w:r>
          </w:p>
        </w:tc>
        <w:tc>
          <w:tcPr>
            <w:tcW w:w="4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X</w:t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Odsekzoznamu"/>
        <w:rPr>
          <w:rFonts w:ascii="Arial;Arial Narrow" w:hAnsi="Arial;Arial Narrow" w:cs="Arial;Arial Narrow"/>
          <w:sz w:val="20"/>
          <w:lang w:val="sk-SK"/>
        </w:rPr>
      </w:pPr>
      <w:r>
        <w:rPr>
          <w:rFonts w:cs="Arial;Arial Narrow" w:ascii="Arial;Arial Narrow" w:hAnsi="Arial;Arial Narrow"/>
          <w:sz w:val="20"/>
          <w:lang w:val="sk-SK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445"/>
        <w:gridCol w:w="2247"/>
        <w:gridCol w:w="1843"/>
        <w:gridCol w:w="1561"/>
        <w:gridCol w:w="991"/>
        <w:gridCol w:w="709"/>
        <w:gridCol w:w="3"/>
        <w:gridCol w:w="422"/>
        <w:gridCol w:w="709"/>
        <w:gridCol w:w="435"/>
      </w:tblGrid>
      <w:tr>
        <w:trPr>
          <w:trHeight w:val="340" w:hRule="exact"/>
        </w:trPr>
        <w:tc>
          <w:tcPr>
            <w:tcW w:w="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10"/>
              </w:numPr>
              <w:snapToGrid w:val="false"/>
              <w:spacing w:before="0" w:after="0"/>
              <w:ind w:left="357" w:hanging="357"/>
              <w:contextualSpacing/>
              <w:jc w:val="both"/>
              <w:outlineLvl w:val="1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664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left="528" w:hanging="0"/>
              <w:jc w:val="both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ÁNO</w:t>
            </w:r>
          </w:p>
        </w:tc>
        <w:tc>
          <w:tcPr>
            <w:tcW w:w="4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NIE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X</w:t>
            </w:r>
          </w:p>
        </w:tc>
      </w:tr>
      <w:tr>
        <w:trPr>
          <w:trHeight w:val="388" w:hRule="atLeast"/>
        </w:trPr>
        <w:tc>
          <w:tcPr>
            <w:tcW w:w="2692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Dôvod uplatnenia</w:t>
            </w:r>
          </w:p>
        </w:tc>
        <w:tc>
          <w:tcPr>
            <w:tcW w:w="4830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Vplyv (+/-) zmeny na:</w:t>
            </w:r>
          </w:p>
        </w:tc>
      </w:tr>
      <w:tr>
        <w:trPr>
          <w:trHeight w:val="301" w:hRule="atLeast"/>
        </w:trPr>
        <w:tc>
          <w:tcPr>
            <w:tcW w:w="2692" w:type="dxa"/>
            <w:gridSpan w:val="2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84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Hodnotu majetku</w:t>
            </w:r>
          </w:p>
        </w:tc>
        <w:tc>
          <w:tcPr>
            <w:tcW w:w="170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Vlastné imanie</w:t>
            </w:r>
          </w:p>
        </w:tc>
        <w:tc>
          <w:tcPr>
            <w:tcW w:w="156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Výsledok hospodárenia</w:t>
            </w:r>
          </w:p>
        </w:tc>
      </w:tr>
      <w:tr>
        <w:trPr>
          <w:trHeight w:val="340" w:hRule="atLeast"/>
        </w:trPr>
        <w:tc>
          <w:tcPr>
            <w:tcW w:w="26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70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6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70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6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70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</w:tr>
    </w:tbl>
    <w:p>
      <w:pPr>
        <w:pStyle w:val="Odsekzoznamu"/>
        <w:rPr>
          <w:rFonts w:ascii="Arial;Arial Narrow" w:hAnsi="Arial;Arial Narrow" w:cs="Arial;Arial Narrow"/>
          <w:sz w:val="20"/>
          <w:lang w:val="sk-SK"/>
        </w:rPr>
      </w:pPr>
      <w:r>
        <w:rPr>
          <w:rFonts w:cs="Arial;Arial Narrow" w:ascii="Arial;Arial Narrow" w:hAnsi="Arial;Arial Narrow"/>
          <w:sz w:val="20"/>
          <w:lang w:val="sk-SK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426"/>
        <w:gridCol w:w="5669"/>
        <w:gridCol w:w="2"/>
        <w:gridCol w:w="1700"/>
        <w:gridCol w:w="2"/>
        <w:gridCol w:w="1566"/>
      </w:tblGrid>
      <w:tr>
        <w:trPr>
          <w:trHeight w:val="278" w:hRule="atLeast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10"/>
              </w:numPr>
              <w:snapToGrid w:val="false"/>
              <w:spacing w:before="0" w:after="0"/>
              <w:ind w:left="357" w:hanging="357"/>
              <w:contextualSpacing/>
              <w:jc w:val="center"/>
              <w:outlineLvl w:val="1"/>
              <w:rPr>
                <w:rFonts w:ascii="Arial;Arial Narrow" w:hAnsi="Arial;Arial Narrow" w:cs="Arial;Arial Narrow"/>
                <w:bCs/>
                <w:kern w:val="2"/>
                <w:szCs w:val="22"/>
                <w:lang w:eastAsia="sk-SK"/>
              </w:rPr>
            </w:pPr>
            <w:r>
              <w:rPr>
                <w:rFonts w:cs="Arial;Arial Narrow" w:ascii="Arial;Arial Narrow" w:hAnsi="Arial;Arial Narrow"/>
                <w:bCs/>
                <w:kern w:val="2"/>
                <w:szCs w:val="22"/>
                <w:lang w:eastAsia="sk-SK"/>
              </w:rPr>
            </w:r>
          </w:p>
        </w:tc>
        <w:tc>
          <w:tcPr>
            <w:tcW w:w="56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39" w:hanging="0"/>
              <w:rPr>
                <w:rFonts w:ascii="Arial;Arial Narrow" w:hAnsi="Arial;Arial Narrow" w:cs="Arial;Arial Narrow"/>
                <w:b/>
                <w:b/>
                <w:bCs/>
                <w:kern w:val="2"/>
                <w:szCs w:val="22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snapToGrid w:val="false"/>
              <w:ind w:left="0" w:hanging="0"/>
              <w:rPr>
                <w:rFonts w:ascii="Arial;Arial Narrow" w:hAnsi="Arial;Arial Narrow" w:cs="Arial;Arial Narrow"/>
                <w:b/>
                <w:b/>
                <w:bCs/>
                <w:kern w:val="2"/>
                <w:szCs w:val="22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bCs/>
                <w:kern w:val="2"/>
                <w:szCs w:val="22"/>
                <w:lang w:eastAsia="sk-SK"/>
              </w:rPr>
            </w:r>
          </w:p>
        </w:tc>
        <w:tc>
          <w:tcPr>
            <w:tcW w:w="1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jc w:val="center"/>
              <w:rPr>
                <w:rFonts w:ascii="Arial;Arial Narrow" w:hAnsi="Arial;Arial Narrow" w:cs="Arial;Arial Narrow"/>
                <w:sz w:val="20"/>
                <w:lang w:val="sk-SK" w:eastAsia="sk-SK"/>
              </w:rPr>
            </w:pPr>
            <w:r>
              <w:rPr>
                <w:rFonts w:cs="Arial;Arial Narrow" w:ascii="Arial;Arial Narrow" w:hAnsi="Arial;Arial Narrow"/>
                <w:sz w:val="20"/>
                <w:lang w:val="sk-SK" w:eastAsia="sk-SK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60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bCs/>
                <w:kern w:val="2"/>
                <w:sz w:val="20"/>
                <w:szCs w:val="22"/>
                <w:lang w:val="sk-SK" w:eastAsia="sk-SK"/>
              </w:rPr>
            </w:pPr>
            <w:r>
              <w:rPr>
                <w:rFonts w:cs="Arial;Arial Narrow" w:ascii="Arial;Arial Narrow" w:hAnsi="Arial;Arial Narrow"/>
                <w:bCs/>
                <w:kern w:val="2"/>
                <w:sz w:val="20"/>
                <w:szCs w:val="22"/>
                <w:lang w:val="sk-SK" w:eastAsia="sk-SK"/>
              </w:rPr>
            </w:r>
          </w:p>
        </w:tc>
        <w:tc>
          <w:tcPr>
            <w:tcW w:w="17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60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7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60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7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Normal"/>
        <w:ind w:left="709" w:hanging="0"/>
        <w:jc w:val="both"/>
        <w:rPr>
          <w:rFonts w:ascii="Arial;Arial Narrow" w:hAnsi="Arial;Arial Narrow" w:cs="Arial;Arial Narrow"/>
          <w:sz w:val="18"/>
          <w:szCs w:val="22"/>
        </w:rPr>
      </w:pPr>
      <w:r>
        <w:rPr>
          <w:rFonts w:cs="Arial;Arial Narrow" w:ascii="Arial;Arial Narrow" w:hAnsi="Arial;Arial Narrow"/>
          <w:sz w:val="18"/>
          <w:szCs w:val="22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426"/>
        <w:gridCol w:w="2818"/>
        <w:gridCol w:w="986"/>
        <w:gridCol w:w="830"/>
        <w:gridCol w:w="2025"/>
        <w:gridCol w:w="2281"/>
      </w:tblGrid>
      <w:tr>
        <w:trPr>
          <w:trHeight w:val="503" w:hRule="atLeast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10"/>
              </w:numPr>
              <w:snapToGrid w:val="false"/>
              <w:spacing w:before="0" w:after="0"/>
              <w:ind w:left="357" w:hanging="357"/>
              <w:contextualSpacing/>
              <w:jc w:val="center"/>
              <w:outlineLvl w:val="1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894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>
        <w:trPr/>
        <w:tc>
          <w:tcPr>
            <w:tcW w:w="32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Opravy minulého obdobia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;Arial Narrow" w:ascii="Arial;Arial Narrow" w:hAnsi="Arial;Arial Narrow"/>
                <w:sz w:val="20"/>
              </w:rPr>
              <w:t>Patrí do obdobia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;Arial Narrow" w:ascii="Arial;Arial Narrow" w:hAnsi="Arial;Arial Narrow"/>
                <w:sz w:val="20"/>
              </w:rPr>
              <w:t>Účet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Účtované na účet HV min. období (EUR)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Účtované do HV bežného  obdobia(EUR)</w:t>
            </w:r>
          </w:p>
        </w:tc>
      </w:tr>
      <w:tr>
        <w:trPr>
          <w:trHeight w:val="340" w:hRule="atLeast"/>
        </w:trPr>
        <w:tc>
          <w:tcPr>
            <w:tcW w:w="32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</w:tbl>
    <w:p>
      <w:pPr>
        <w:pStyle w:val="Normal"/>
        <w:ind w:left="360" w:hanging="0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ind w:left="360" w:hanging="0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numPr>
          <w:ilvl w:val="0"/>
          <w:numId w:val="6"/>
        </w:numPr>
        <w:shd w:val="clear" w:fill="E6E6E6"/>
        <w:ind w:left="709" w:hanging="709"/>
        <w:jc w:val="center"/>
        <w:rPr/>
      </w:pPr>
      <w:r>
        <w:rPr>
          <w:i/>
          <w:szCs w:val="20"/>
        </w:rPr>
        <w:t>Informácie, ktoré vysvetľujú a dopĺňajú súvahu a výkaz ziskov a strát</w:t>
      </w:r>
    </w:p>
    <w:p>
      <w:pPr>
        <w:pStyle w:val="Normal"/>
        <w:ind w:left="1481" w:hanging="0"/>
        <w:jc w:val="both"/>
        <w:rPr>
          <w:rFonts w:ascii="Arial;Arial Narrow" w:hAnsi="Arial;Arial Narrow" w:cs="Arial;Arial Narrow"/>
          <w:i/>
          <w:i/>
          <w:sz w:val="20"/>
          <w:szCs w:val="20"/>
        </w:rPr>
      </w:pPr>
      <w:r>
        <w:rPr>
          <w:rFonts w:cs="Arial;Arial Narrow" w:ascii="Arial;Arial Narrow" w:hAnsi="Arial;Arial Narrow"/>
          <w:i/>
          <w:sz w:val="20"/>
          <w:szCs w:val="20"/>
        </w:rPr>
      </w:r>
    </w:p>
    <w:p>
      <w:pPr>
        <w:pStyle w:val="Normal"/>
        <w:ind w:left="1481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564"/>
        <w:gridCol w:w="3971"/>
        <w:gridCol w:w="3117"/>
        <w:gridCol w:w="1714"/>
      </w:tblGrid>
      <w:tr>
        <w:trPr>
          <w:trHeight w:val="751" w:hRule="atLeast"/>
        </w:trPr>
        <w:tc>
          <w:tcPr>
            <w:tcW w:w="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5"/>
              </w:numPr>
              <w:snapToGrid w:val="false"/>
              <w:ind w:left="709" w:hanging="567"/>
              <w:jc w:val="both"/>
              <w:rPr>
                <w:rFonts w:ascii="Arial;Arial Narrow" w:hAnsi="Arial;Arial Narrow" w:cs="Arial;Arial Narrow"/>
                <w:b/>
                <w:b/>
                <w:bCs/>
                <w:szCs w:val="22"/>
              </w:rPr>
            </w:pPr>
            <w:r>
              <w:rPr>
                <w:rFonts w:cs="Arial;Arial Narrow" w:ascii="Arial;Arial Narrow" w:hAnsi="Arial;Arial Narrow"/>
                <w:b/>
                <w:bCs/>
                <w:szCs w:val="22"/>
              </w:rPr>
            </w:r>
          </w:p>
          <w:p>
            <w:pPr>
              <w:pStyle w:val="Odsekzoznamu"/>
              <w:ind w:left="1277" w:hanging="0"/>
              <w:jc w:val="both"/>
              <w:rPr>
                <w:rFonts w:ascii="Arial;Arial Narrow" w:hAnsi="Arial;Arial Narrow" w:cs="Arial;Arial Narrow"/>
                <w:b/>
                <w:b/>
                <w:bCs/>
                <w:szCs w:val="22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bCs/>
                <w:szCs w:val="22"/>
                <w:lang w:eastAsia="sk-SK"/>
              </w:rPr>
            </w:r>
          </w:p>
          <w:p>
            <w:pPr>
              <w:pStyle w:val="Odsekzoznamu"/>
              <w:ind w:left="1277" w:hanging="0"/>
              <w:jc w:val="both"/>
              <w:rPr>
                <w:rFonts w:ascii="Arial;Arial Narrow" w:hAnsi="Arial;Arial Narrow" w:cs="Arial;Arial Narrow"/>
                <w:b/>
                <w:b/>
                <w:bCs/>
                <w:szCs w:val="22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bCs/>
                <w:szCs w:val="22"/>
                <w:lang w:eastAsia="sk-SK"/>
              </w:rPr>
            </w:r>
          </w:p>
        </w:tc>
        <w:tc>
          <w:tcPr>
            <w:tcW w:w="880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Informácia o sume a dôvodoch vzniku jednotlivých položiek nákladov alebo výnosov, ktoré majú výnimočný rozsah</w:t>
            </w:r>
            <w:r>
              <w:rPr>
                <w:rFonts w:cs="Arial;Arial Narrow" w:ascii="Arial;Arial Narrow" w:hAnsi="Arial;Arial Narrow"/>
                <w:i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/>
                <w:sz w:val="20"/>
              </w:rPr>
              <w:t>alebo výskyt</w:t>
            </w:r>
            <w:r>
              <w:rPr>
                <w:rFonts w:cs="Arial;Arial Narrow" w:ascii="Arial;Arial Narrow" w:hAnsi="Arial;Arial Narrow"/>
                <w:i/>
                <w:sz w:val="20"/>
              </w:rPr>
              <w:t xml:space="preserve">, </w:t>
            </w:r>
            <w:r>
              <w:rPr>
                <w:rFonts w:cs="Arial;Arial Narrow" w:ascii="Arial;Arial Narrow" w:hAnsi="Arial;Arial Narrow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>
        <w:trPr>
          <w:trHeight w:val="340" w:hRule="atLeast"/>
        </w:trPr>
        <w:tc>
          <w:tcPr>
            <w:tcW w:w="45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TopHeader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  <w:t>Popis nákladov ,výnosov výnimočného rozsahu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TopHeader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  <w:t>Dôvod vzniku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TopHeader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45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</w:tr>
      <w:tr>
        <w:trPr>
          <w:trHeight w:val="340" w:hRule="atLeast"/>
        </w:trPr>
        <w:tc>
          <w:tcPr>
            <w:tcW w:w="45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</w:tr>
    </w:tbl>
    <w:p>
      <w:pPr>
        <w:pStyle w:val="Normal"/>
        <w:ind w:left="1134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ind w:left="1134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564"/>
        <w:gridCol w:w="3828"/>
        <w:gridCol w:w="3260"/>
        <w:gridCol w:w="1714"/>
      </w:tblGrid>
      <w:tr>
        <w:trPr>
          <w:trHeight w:val="250" w:hRule="atLeast"/>
        </w:trPr>
        <w:tc>
          <w:tcPr>
            <w:tcW w:w="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5"/>
              </w:numPr>
              <w:snapToGrid w:val="false"/>
              <w:ind w:left="709" w:hanging="567"/>
              <w:jc w:val="both"/>
              <w:rPr>
                <w:rFonts w:ascii="Arial;Arial Narrow" w:hAnsi="Arial;Arial Narrow" w:cs="Arial;Arial Narrow"/>
                <w:b/>
                <w:b/>
                <w:bCs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/>
                <w:bCs/>
                <w:sz w:val="20"/>
                <w:szCs w:val="20"/>
              </w:rPr>
            </w:r>
          </w:p>
        </w:tc>
        <w:tc>
          <w:tcPr>
            <w:tcW w:w="70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jc w:val="center"/>
              <w:rPr>
                <w:rFonts w:ascii="Arial;Arial Narrow" w:hAnsi="Arial;Arial Narrow" w:cs="Arial;Arial Narrow"/>
                <w:b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opHeader"/>
              <w:rPr>
                <w:rFonts w:ascii="Arial;Arial Narrow" w:hAnsi="Arial;Arial Narrow" w:cs="Arial;Arial Narrow"/>
                <w:b w:val="false"/>
                <w:b w:val="false"/>
                <w:bCs w:val="false"/>
                <w:sz w:val="20"/>
                <w:szCs w:val="20"/>
                <w:lang w:eastAsia="sk-SK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EUR</w:t>
            </w:r>
          </w:p>
        </w:tc>
      </w:tr>
      <w:tr>
        <w:trPr>
          <w:trHeight w:val="569" w:hRule="atLeast"/>
        </w:trPr>
        <w:tc>
          <w:tcPr>
            <w:tcW w:w="765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numPr>
                <w:ilvl w:val="0"/>
                <w:numId w:val="4"/>
              </w:numPr>
              <w:rPr>
                <w:rFonts w:ascii="Arial;Arial Narrow" w:hAnsi="Arial;Arial Narrow" w:cs="Arial;Arial Narrow"/>
                <w:b/>
                <w:b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b/>
                <w:b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936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numPr>
                <w:ilvl w:val="0"/>
                <w:numId w:val="4"/>
              </w:numPr>
              <w:jc w:val="both"/>
              <w:rPr>
                <w:rFonts w:ascii="Arial;Arial Narrow" w:hAnsi="Arial;Arial Narrow" w:cs="Arial;Arial Narrow"/>
                <w:bCs/>
                <w:color w:val="000000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>
        <w:trPr>
          <w:trHeight w:val="340" w:hRule="atLeast"/>
        </w:trPr>
        <w:tc>
          <w:tcPr>
            <w:tcW w:w="765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Spôsob zabezpečenia: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TopHeader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43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bCs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bCs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3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3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3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bCs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bCs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</w:tbl>
    <w:p>
      <w:pPr>
        <w:pStyle w:val="Normal"/>
        <w:ind w:left="1134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numPr>
          <w:ilvl w:val="0"/>
          <w:numId w:val="5"/>
        </w:numPr>
        <w:ind w:left="709" w:hanging="567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b/>
          <w:bCs/>
          <w:kern w:val="2"/>
          <w:sz w:val="20"/>
          <w:lang w:eastAsia="en-US"/>
        </w:rPr>
        <w:t>Informácie o vlastných akciách</w:t>
      </w:r>
    </w:p>
    <w:p>
      <w:pPr>
        <w:pStyle w:val="Normal"/>
        <w:numPr>
          <w:ilvl w:val="0"/>
          <w:numId w:val="9"/>
        </w:numPr>
        <w:ind w:left="1276" w:hanging="567"/>
        <w:jc w:val="both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  <w:t>dôvod nadobudnutia vlastných akcií počas účtovného obdobia,</w:t>
      </w:r>
    </w:p>
    <w:p>
      <w:pPr>
        <w:pStyle w:val="Normal"/>
        <w:numPr>
          <w:ilvl w:val="0"/>
          <w:numId w:val="9"/>
        </w:numPr>
        <w:ind w:left="1276" w:hanging="567"/>
        <w:jc w:val="both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  <w:t>informácie</w:t>
      </w:r>
    </w:p>
    <w:p>
      <w:pPr>
        <w:pStyle w:val="Normal"/>
        <w:numPr>
          <w:ilvl w:val="0"/>
          <w:numId w:val="8"/>
        </w:numPr>
        <w:tabs>
          <w:tab w:val="clear" w:pos="709"/>
          <w:tab w:val="left" w:pos="851" w:leader="none"/>
        </w:tabs>
        <w:ind w:left="1701" w:hanging="425"/>
        <w:jc w:val="both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>
      <w:pPr>
        <w:pStyle w:val="Normal"/>
        <w:numPr>
          <w:ilvl w:val="0"/>
          <w:numId w:val="3"/>
        </w:numPr>
        <w:tabs>
          <w:tab w:val="clear" w:pos="709"/>
          <w:tab w:val="left" w:pos="851" w:leader="none"/>
        </w:tabs>
        <w:ind w:left="1701" w:hanging="425"/>
        <w:jc w:val="both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>
      <w:pPr>
        <w:pStyle w:val="Normal"/>
        <w:numPr>
          <w:ilvl w:val="0"/>
          <w:numId w:val="9"/>
        </w:numPr>
        <w:ind w:left="1276" w:hanging="567"/>
        <w:jc w:val="both"/>
        <w:rPr>
          <w:rFonts w:ascii="Arial;Arial Narrow" w:hAnsi="Arial;Arial Narrow" w:cs="Arial;Arial Narrow"/>
          <w:bCs/>
          <w:i/>
          <w:i/>
          <w:kern w:val="2"/>
          <w:sz w:val="20"/>
          <w:lang w:eastAsia="en-US"/>
        </w:rPr>
      </w:pPr>
      <w:r>
        <w:rPr>
          <w:rFonts w:cs="Arial;Arial Narrow" w:ascii="Arial;Arial Narrow" w:hAnsi="Arial;Arial Narrow"/>
          <w:i/>
          <w:sz w:val="18"/>
        </w:rPr>
        <w:t xml:space="preserve">počet, menovitá hodnota a hodnota, za ktorú sa vlastné akcie nadobudli a ktoré účtovná jednotka má v držbe k poslednému dňu účtovného obdobia; </w:t>
      </w:r>
      <w:r>
        <w:rPr>
          <w:rFonts w:cs="Arial;Arial Narrow" w:ascii="Arial;Arial Narrow" w:hAnsi="Arial;Arial Narrow"/>
          <w:bCs/>
          <w:i/>
          <w:kern w:val="2"/>
          <w:sz w:val="18"/>
          <w:lang w:eastAsia="en-US"/>
        </w:rPr>
        <w:t>uvádza  sa aj ich percentuálny podiel na upísanom základnom imaní</w:t>
      </w:r>
      <w:r>
        <w:rPr>
          <w:rFonts w:cs="Arial;Arial Narrow" w:ascii="Arial;Arial Narrow" w:hAnsi="Arial;Arial Narrow"/>
          <w:bCs/>
          <w:i/>
          <w:kern w:val="2"/>
          <w:sz w:val="20"/>
          <w:lang w:eastAsia="en-US"/>
        </w:rPr>
        <w:t>.</w:t>
      </w:r>
    </w:p>
    <w:p>
      <w:pPr>
        <w:pStyle w:val="Normal"/>
        <w:ind w:left="1276" w:hanging="0"/>
        <w:jc w:val="both"/>
        <w:rPr>
          <w:rFonts w:ascii="Arial;Arial Narrow" w:hAnsi="Arial;Arial Narrow" w:cs="Arial;Arial Narrow"/>
          <w:bCs/>
          <w:i/>
          <w:i/>
          <w:kern w:val="2"/>
          <w:sz w:val="20"/>
          <w:lang w:eastAsia="en-US"/>
        </w:rPr>
      </w:pPr>
      <w:r>
        <w:rPr>
          <w:rFonts w:cs="Arial;Arial Narrow" w:ascii="Arial;Arial Narrow" w:hAnsi="Arial;Arial Narrow"/>
          <w:bCs/>
          <w:i/>
          <w:kern w:val="2"/>
          <w:sz w:val="20"/>
          <w:lang w:eastAsia="en-US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6"/>
        <w:gridCol w:w="5659"/>
        <w:gridCol w:w="994"/>
        <w:gridCol w:w="425"/>
        <w:gridCol w:w="1277"/>
        <w:gridCol w:w="434"/>
      </w:tblGrid>
      <w:tr>
        <w:trPr>
          <w:trHeight w:val="522" w:hRule="exact"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numPr>
                <w:ilvl w:val="0"/>
                <w:numId w:val="5"/>
              </w:numPr>
              <w:snapToGrid w:val="false"/>
              <w:ind w:left="709" w:hanging="567"/>
              <w:jc w:val="both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</w:tc>
        <w:tc>
          <w:tcPr>
            <w:tcW w:w="5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b/>
                <w:b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vytvorila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nevytvorila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X</w:t>
            </w:r>
          </w:p>
        </w:tc>
      </w:tr>
    </w:tbl>
    <w:p>
      <w:pPr>
        <w:pStyle w:val="Normal"/>
        <w:rPr>
          <w:rFonts w:ascii="Arial;Arial Narrow" w:hAnsi="Arial;Arial Narrow" w:cs="Arial;Arial Narrow"/>
          <w:bCs/>
          <w:i/>
          <w:i/>
          <w:sz w:val="14"/>
          <w:szCs w:val="22"/>
        </w:rPr>
      </w:pPr>
      <w:r>
        <w:rPr>
          <w:rFonts w:cs="Arial;Arial Narrow" w:ascii="Arial;Arial Narrow" w:hAnsi="Arial;Arial Narrow"/>
          <w:bCs/>
          <w:i/>
          <w:sz w:val="14"/>
          <w:szCs w:val="22"/>
        </w:rPr>
      </w:r>
    </w:p>
    <w:p>
      <w:pPr>
        <w:pStyle w:val="Normal"/>
        <w:rPr>
          <w:rFonts w:ascii="Arial;Arial Narrow" w:hAnsi="Arial;Arial Narrow" w:cs="Arial;Arial Narrow"/>
          <w:bCs/>
          <w:i/>
          <w:i/>
          <w:sz w:val="14"/>
          <w:szCs w:val="22"/>
        </w:rPr>
      </w:pPr>
      <w:r>
        <w:rPr>
          <w:rFonts w:cs="Arial;Arial Narrow" w:ascii="Arial;Arial Narrow" w:hAnsi="Arial;Arial Narrow"/>
          <w:bCs/>
          <w:i/>
          <w:sz w:val="14"/>
          <w:szCs w:val="22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564"/>
        <w:gridCol w:w="5223"/>
        <w:gridCol w:w="1953"/>
        <w:gridCol w:w="1626"/>
      </w:tblGrid>
      <w:tr>
        <w:trPr>
          <w:trHeight w:val="258" w:hRule="atLeast"/>
        </w:trPr>
        <w:tc>
          <w:tcPr>
            <w:tcW w:w="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5"/>
              </w:numPr>
              <w:snapToGrid w:val="false"/>
              <w:ind w:left="709" w:hanging="567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880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Informácie o orgánoch účtovnej jednotky</w:t>
            </w:r>
          </w:p>
        </w:tc>
      </w:tr>
      <w:tr>
        <w:trPr>
          <w:trHeight w:val="283" w:hRule="atLeast"/>
        </w:trPr>
        <w:tc>
          <w:tcPr>
            <w:tcW w:w="936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a)výška jednotlivých druhov záruk alebo iných zabezpečení pre členov štatutárneho orgánu, dozorného orgánu a iného orgánu ÚJ</w:t>
            </w:r>
          </w:p>
        </w:tc>
      </w:tr>
      <w:tr>
        <w:trPr>
          <w:trHeight w:val="340" w:hRule="atLeast"/>
        </w:trPr>
        <w:tc>
          <w:tcPr>
            <w:tcW w:w="57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Druh záruky</w:t>
            </w:r>
          </w:p>
        </w:tc>
        <w:tc>
          <w:tcPr>
            <w:tcW w:w="1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Štatutárny orgán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57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Normal"/>
        <w:rPr>
          <w:rFonts w:ascii="Arial;Arial Narrow" w:hAnsi="Arial;Arial Narrow" w:cs="Arial;Arial Narrow"/>
        </w:rPr>
      </w:pPr>
      <w:r>
        <w:rPr>
          <w:rFonts w:cs="Arial;Arial Narrow" w:ascii="Arial;Arial Narrow" w:hAnsi="Arial;Arial Narrow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87"/>
        <w:gridCol w:w="1537"/>
        <w:gridCol w:w="756"/>
        <w:gridCol w:w="1285"/>
      </w:tblGrid>
      <w:tr>
        <w:trPr>
          <w:trHeight w:val="340" w:hRule="atLeast"/>
        </w:trPr>
        <w:tc>
          <w:tcPr>
            <w:tcW w:w="936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b)pôžičky poskytnuté členom štatutárneho orgánu, dozorného orgánu a iného orgánu ÚJ</w:t>
            </w:r>
          </w:p>
        </w:tc>
      </w:tr>
      <w:tr>
        <w:trPr>
          <w:trHeight w:val="283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Celková suma poskytnutých pôžičiek k poslednému dňu účtovného obdobia</w:t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sz w:val="20"/>
              </w:rPr>
              <w:t>Štatutárny orgán</w:t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sz w:val="20"/>
              </w:rPr>
              <w:t>Úrok v %</w:t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EUR</w:t>
            </w:r>
          </w:p>
          <w:p>
            <w:pPr>
              <w:pStyle w:val="Normal"/>
              <w:tabs>
                <w:tab w:val="clear" w:pos="709"/>
                <w:tab w:val="left" w:pos="851" w:leader="none"/>
              </w:tabs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936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Celková suma splatených pôžičiek k poslednému dňu účt. obdobia</w:t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936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Normal"/>
        <w:rPr>
          <w:rFonts w:ascii="Arial;Arial Narrow" w:hAnsi="Arial;Arial Narrow" w:cs="Arial;Arial Narrow"/>
        </w:rPr>
      </w:pPr>
      <w:r>
        <w:rPr>
          <w:rFonts w:cs="Arial;Arial Narrow" w:ascii="Arial;Arial Narrow" w:hAnsi="Arial;Arial Narrow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87"/>
        <w:gridCol w:w="1953"/>
        <w:gridCol w:w="1626"/>
      </w:tblGrid>
      <w:tr>
        <w:trPr>
          <w:trHeight w:val="283" w:hRule="atLeast"/>
        </w:trPr>
        <w:tc>
          <w:tcPr>
            <w:tcW w:w="936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c)celková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Plnenie na súkromné účely k vyúčtovaniu</w:t>
            </w:r>
          </w:p>
        </w:tc>
        <w:tc>
          <w:tcPr>
            <w:tcW w:w="1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Štatutárny orgán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9"/>
        <w:gridCol w:w="6518"/>
        <w:gridCol w:w="425"/>
        <w:gridCol w:w="1714"/>
      </w:tblGrid>
      <w:tr>
        <w:trPr>
          <w:trHeight w:val="340" w:hRule="atLeast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numPr>
                <w:ilvl w:val="0"/>
                <w:numId w:val="5"/>
              </w:numPr>
              <w:snapToGrid w:val="false"/>
              <w:ind w:left="709" w:hanging="567"/>
              <w:jc w:val="both"/>
              <w:rPr>
                <w:rFonts w:ascii="Arial;Arial Narrow" w:hAnsi="Arial;Arial Narrow" w:cs="Arial;Arial Narrow"/>
                <w:bCs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/>
              </w:rPr>
            </w:r>
          </w:p>
        </w:tc>
        <w:tc>
          <w:tcPr>
            <w:tcW w:w="86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left="1480" w:hanging="0"/>
              <w:jc w:val="both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Informácie o povinnostiach účtovnej jednotky</w:t>
            </w:r>
          </w:p>
        </w:tc>
      </w:tr>
      <w:tr>
        <w:trPr/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numPr>
                <w:ilvl w:val="0"/>
                <w:numId w:val="7"/>
              </w:numPr>
              <w:snapToGrid w:val="false"/>
              <w:spacing w:before="0" w:after="0"/>
              <w:ind w:left="641" w:hanging="284"/>
              <w:contextualSpacing/>
              <w:jc w:val="both"/>
              <w:rPr>
                <w:rFonts w:ascii="Arial;Arial Narrow" w:hAnsi="Arial;Arial Narrow" w:cs="Arial;Arial Narrow"/>
                <w:b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bCs/>
                <w:sz w:val="20"/>
                <w:szCs w:val="20"/>
                <w:lang w:eastAsia="sk-SK"/>
              </w:rPr>
            </w:r>
          </w:p>
        </w:tc>
        <w:tc>
          <w:tcPr>
            <w:tcW w:w="86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Odsekzoznamu"/>
              <w:ind w:left="0" w:hanging="0"/>
              <w:jc w:val="both"/>
              <w:rPr>
                <w:rFonts w:ascii="Arial;Arial Narrow" w:hAnsi="Arial;Arial Narrow" w:cs="Arial;Arial Narrow"/>
                <w:bCs/>
                <w:sz w:val="20"/>
                <w:szCs w:val="20"/>
                <w:lang w:eastAsia="sk-SK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>Významné položky finančných povinností, ktoré sa nevykazujú v 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 w:eastAsia="sk-SK"/>
              </w:rPr>
              <w:t>súvahe, ale sú významné na posúdenie finančnej situácie ÚJ</w:t>
            </w:r>
          </w:p>
        </w:tc>
      </w:tr>
      <w:tr>
        <w:trPr>
          <w:trHeight w:val="340" w:hRule="atLeast"/>
        </w:trPr>
        <w:tc>
          <w:tcPr>
            <w:tcW w:w="72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  <w:t>Celková suma finančných povinností ktoré sa nevykazujú v súvahe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9"/>
        <w:gridCol w:w="6530"/>
        <w:gridCol w:w="426"/>
        <w:gridCol w:w="1701"/>
      </w:tblGrid>
      <w:tr>
        <w:trPr>
          <w:trHeight w:val="340" w:hRule="atLeast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numPr>
                <w:ilvl w:val="0"/>
                <w:numId w:val="7"/>
              </w:numPr>
              <w:snapToGrid w:val="false"/>
              <w:spacing w:before="0" w:after="0"/>
              <w:ind w:left="641" w:hanging="284"/>
              <w:contextualSpacing/>
              <w:jc w:val="both"/>
              <w:rPr>
                <w:rFonts w:ascii="Arial;Arial Narrow" w:hAnsi="Arial;Arial Narrow" w:cs="Arial;Arial Narrow"/>
                <w:b/>
                <w:b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  <w:szCs w:val="20"/>
              </w:rPr>
            </w:r>
          </w:p>
        </w:tc>
        <w:tc>
          <w:tcPr>
            <w:tcW w:w="69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rPr>
                <w:rFonts w:ascii="Arial;Arial Narrow" w:hAnsi="Arial;Arial Narrow" w:cs="Arial;Arial Narrow"/>
                <w:b/>
                <w:b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numPr>
                <w:ilvl w:val="0"/>
                <w:numId w:val="7"/>
              </w:numPr>
              <w:snapToGrid w:val="false"/>
              <w:spacing w:before="0" w:after="0"/>
              <w:ind w:left="641" w:hanging="284"/>
              <w:contextualSpacing/>
              <w:jc w:val="both"/>
              <w:rPr>
                <w:rFonts w:ascii="Arial;Arial Narrow" w:hAnsi="Arial;Arial Narrow" w:cs="Arial;Arial Narrow"/>
                <w:b w:val="false"/>
                <w:b w:val="false"/>
                <w:bCs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b w:val="false"/>
                <w:bCs/>
                <w:sz w:val="20"/>
                <w:szCs w:val="20"/>
                <w:lang w:val="sk-SK"/>
              </w:rPr>
            </w:r>
          </w:p>
        </w:tc>
        <w:tc>
          <w:tcPr>
            <w:tcW w:w="69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rPr>
                <w:rFonts w:ascii="Arial;Arial Narrow" w:hAnsi="Arial;Arial Narrow" w:cs="Arial;Arial Narrow"/>
                <w:b/>
                <w:b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 w:eastAsia="sk-SK"/>
              </w:rPr>
              <w:t>O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 xml:space="preserve">pis a hodnota 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 w:eastAsia="sk-SK"/>
              </w:rPr>
              <w:t xml:space="preserve">významných 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723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Poskytnuté záruky za úver</w:t>
            </w: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3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Ručenie za ...............</w:t>
            </w: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3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Neobmedzené ručenie v inej spoločnosti</w:t>
            </w: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3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3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/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ÚJ predala pohľadávky a ručí za ich vymožiteľnosť</w:t>
            </w: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3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Iné</w:t>
            </w: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Odsekzoznamu"/>
        <w:spacing w:before="0" w:after="0"/>
        <w:ind w:left="641" w:hanging="0"/>
        <w:contextualSpacing/>
        <w:jc w:val="both"/>
        <w:rPr>
          <w:rFonts w:ascii="Arial;Arial Narrow" w:hAnsi="Arial;Arial Narrow" w:cs="Arial;Arial Narrow"/>
          <w:i/>
          <w:i/>
          <w:sz w:val="20"/>
        </w:rPr>
      </w:pPr>
      <w:r>
        <w:rPr>
          <w:rFonts w:cs="Arial;Arial Narrow" w:ascii="Arial;Arial Narrow" w:hAnsi="Arial;Arial Narrow"/>
          <w:i/>
          <w:sz w:val="20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0"/>
        <w:gridCol w:w="6509"/>
        <w:gridCol w:w="1"/>
        <w:gridCol w:w="424"/>
        <w:gridCol w:w="1"/>
        <w:gridCol w:w="1710"/>
      </w:tblGrid>
      <w:tr>
        <w:trPr>
          <w:trHeight w:val="340" w:hRule="atLeast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numPr>
                <w:ilvl w:val="0"/>
                <w:numId w:val="7"/>
              </w:numPr>
              <w:snapToGrid w:val="false"/>
              <w:spacing w:before="0" w:after="0"/>
              <w:ind w:left="641" w:hanging="284"/>
              <w:contextualSpacing/>
              <w:jc w:val="both"/>
              <w:rPr>
                <w:rFonts w:ascii="Arial;Arial Narrow" w:hAnsi="Arial;Arial Narrow" w:cs="Arial;Arial Narrow"/>
                <w:b/>
                <w:b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  <w:szCs w:val="20"/>
              </w:rPr>
            </w:r>
          </w:p>
        </w:tc>
        <w:tc>
          <w:tcPr>
            <w:tcW w:w="65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spacing w:before="0" w:after="0"/>
              <w:ind w:left="-119" w:hanging="0"/>
              <w:contextualSpacing/>
              <w:jc w:val="both"/>
              <w:rPr>
                <w:rFonts w:ascii="Arial;Arial Narrow" w:hAnsi="Arial;Arial Narrow" w:cs="Arial;Arial Narrow"/>
                <w:i/>
                <w:i/>
                <w:sz w:val="20"/>
                <w:lang w:val="sk-SK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 w:eastAsia="sk-SK"/>
              </w:rPr>
              <w:t>ÚJ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 xml:space="preserve"> a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 w:eastAsia="sk-SK"/>
              </w:rPr>
              <w:t xml:space="preserve"> ÚJ s 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snapToGrid w:val="false"/>
              <w:rPr>
                <w:rFonts w:ascii="Arial;Arial Narrow" w:hAnsi="Arial;Arial Narrow" w:cs="Arial;Arial Narrow"/>
                <w:b/>
                <w:b/>
                <w:i/>
                <w:i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b/>
                <w:i/>
                <w:sz w:val="20"/>
                <w:szCs w:val="20"/>
                <w:lang w:val="sk-SK"/>
              </w:rPr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4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4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4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4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4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</w:tbl>
    <w:p>
      <w:pPr>
        <w:pStyle w:val="Odsekzoznamu"/>
        <w:spacing w:before="0" w:after="0"/>
        <w:contextualSpacing/>
        <w:jc w:val="both"/>
        <w:rPr>
          <w:rFonts w:ascii="Arial;Arial Narrow" w:hAnsi="Arial;Arial Narrow" w:cs="Arial;Arial Narrow"/>
          <w:i/>
          <w:i/>
          <w:sz w:val="20"/>
          <w:lang w:val="sk-SK"/>
        </w:rPr>
      </w:pPr>
      <w:r>
        <w:rPr>
          <w:rFonts w:cs="Arial;Arial Narrow" w:ascii="Arial;Arial Narrow" w:hAnsi="Arial;Arial Narrow"/>
          <w:i/>
          <w:sz w:val="20"/>
          <w:lang w:val="sk-SK"/>
        </w:rPr>
      </w:r>
    </w:p>
    <w:p>
      <w:pPr>
        <w:pStyle w:val="Odsekzoznamu"/>
        <w:spacing w:before="0" w:after="0"/>
        <w:contextualSpacing/>
        <w:jc w:val="both"/>
        <w:rPr>
          <w:rFonts w:ascii="Arial;Arial Narrow" w:hAnsi="Arial;Arial Narrow" w:cs="Arial;Arial Narrow"/>
          <w:i/>
          <w:i/>
          <w:sz w:val="20"/>
          <w:lang w:val="sk-SK"/>
        </w:rPr>
      </w:pPr>
      <w:r>
        <w:rPr>
          <w:rFonts w:cs="Arial;Arial Narrow" w:ascii="Arial;Arial Narrow" w:hAnsi="Arial;Arial Narrow"/>
          <w:i/>
          <w:sz w:val="20"/>
          <w:lang w:val="sk-SK"/>
        </w:rPr>
      </w:r>
    </w:p>
    <w:p>
      <w:pPr>
        <w:pStyle w:val="Odsekzoznamu"/>
        <w:numPr>
          <w:ilvl w:val="0"/>
          <w:numId w:val="7"/>
        </w:numPr>
        <w:spacing w:before="0" w:after="0"/>
        <w:ind w:left="641" w:hanging="284"/>
        <w:contextualSpacing/>
        <w:jc w:val="both"/>
        <w:rPr>
          <w:rFonts w:ascii="Arial;Arial Narrow" w:hAnsi="Arial;Arial Narrow" w:cs="Arial;Arial Narrow"/>
          <w:i/>
          <w:i/>
          <w:sz w:val="20"/>
        </w:rPr>
      </w:pPr>
      <w:r>
        <w:rPr>
          <w:rFonts w:cs="Arial;Arial Narrow" w:ascii="Arial;Arial Narrow" w:hAnsi="Arial;Arial Narrow"/>
          <w:i/>
          <w:sz w:val="20"/>
        </w:rPr>
        <w:t>opise významných povinností účtovnej jednotky vyplývajúcich z dôchodkových programov pre zamestnancov.</w:t>
      </w:r>
    </w:p>
    <w:p>
      <w:pPr>
        <w:pStyle w:val="Normal"/>
        <w:jc w:val="both"/>
        <w:rPr>
          <w:rFonts w:ascii="Arial;Arial Narrow" w:hAnsi="Arial;Arial Narrow" w:cs="Arial;Arial Narrow"/>
          <w:i/>
          <w:i/>
          <w:sz w:val="20"/>
        </w:rPr>
      </w:pPr>
      <w:r>
        <w:rPr>
          <w:rFonts w:cs="Arial;Arial Narrow" w:ascii="Arial;Arial Narrow" w:hAnsi="Arial;Arial Narrow"/>
          <w:i/>
          <w:sz w:val="20"/>
        </w:rPr>
      </w:r>
    </w:p>
    <w:p>
      <w:pPr>
        <w:pStyle w:val="Normal"/>
        <w:numPr>
          <w:ilvl w:val="0"/>
          <w:numId w:val="5"/>
        </w:numPr>
        <w:ind w:left="709" w:hanging="567"/>
        <w:jc w:val="both"/>
        <w:rPr>
          <w:rFonts w:ascii="Arial;Arial Narrow" w:hAnsi="Arial;Arial Narrow" w:cs="Arial;Arial Narrow"/>
          <w:b/>
          <w:b/>
          <w:sz w:val="20"/>
        </w:rPr>
      </w:pPr>
      <w:bookmarkStart w:id="0" w:name="OLE_LINK1"/>
      <w:r>
        <w:rPr>
          <w:rFonts w:cs="Arial;Arial Narrow" w:ascii="Arial;Arial Narrow" w:hAnsi="Arial;Arial Narrow"/>
          <w:sz w:val="20"/>
        </w:rPr>
        <w:t>Informácie o udelení výlučného práva alebo osobitného práva, ktorým sa udelilo právo poskytovať služby vo verejnom záujme</w:t>
      </w:r>
      <w:bookmarkEnd w:id="0"/>
    </w:p>
    <w:p>
      <w:pPr>
        <w:pStyle w:val="Normal"/>
        <w:jc w:val="right"/>
        <w:rPr>
          <w:rFonts w:ascii="Arial;Arial Narrow" w:hAnsi="Arial;Arial Narrow" w:cs="Arial;Arial Narrow"/>
          <w:b/>
          <w:b/>
          <w:sz w:val="20"/>
        </w:rPr>
      </w:pPr>
      <w:r>
        <w:rPr>
          <w:rFonts w:cs="Arial;Arial Narrow" w:ascii="Arial;Arial Narrow" w:hAnsi="Arial;Arial Narrow"/>
          <w:b/>
          <w:sz w:val="20"/>
        </w:rPr>
      </w:r>
    </w:p>
    <w:p>
      <w:pPr>
        <w:pStyle w:val="Normal"/>
        <w:jc w:val="right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Default"/>
        <w:rPr>
          <w:rFonts w:ascii="Arial;Arial Narrow" w:hAnsi="Arial;Arial Narrow" w:cs="Arial;Arial Narrow"/>
          <w:sz w:val="22"/>
          <w:szCs w:val="23"/>
        </w:rPr>
      </w:pPr>
      <w:r>
        <w:rPr>
          <w:rFonts w:cs="Arial;Arial Narrow" w:ascii="Arial;Arial Narrow" w:hAnsi="Arial;Arial Narrow"/>
          <w:sz w:val="22"/>
          <w:szCs w:val="23"/>
        </w:rPr>
        <w:t>Použité skratky:</w:t>
      </w:r>
    </w:p>
    <w:p>
      <w:pPr>
        <w:pStyle w:val="Normal"/>
        <w:jc w:val="both"/>
        <w:rPr/>
      </w:pPr>
      <w:r>
        <w:rPr>
          <w:rFonts w:cs="Arial;Arial Narrow" w:ascii="Arial;Arial Narrow" w:hAnsi="Arial;Arial Narrow"/>
          <w:sz w:val="20"/>
        </w:rPr>
        <w:t xml:space="preserve">ÚJ - účtovná jednotka; BO- bežné účtovné obdobie; X= ÚJ má náplň pre jednotlivú položku </w:t>
      </w:r>
    </w:p>
    <w:p>
      <w:pPr>
        <w:pStyle w:val="Normal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rPr>
          <w:rFonts w:ascii="Arial;Arial Narrow" w:hAnsi="Arial;Arial Narrow" w:cs="Arial;Arial Narrow"/>
          <w:i/>
          <w:i/>
          <w:sz w:val="18"/>
          <w:szCs w:val="18"/>
        </w:rPr>
      </w:pPr>
      <w:r>
        <w:rPr>
          <w:rFonts w:cs="Arial;Arial Narrow" w:ascii="Arial;Arial Narrow" w:hAnsi="Arial;Arial Narrow"/>
          <w:i/>
          <w:sz w:val="18"/>
          <w:szCs w:val="18"/>
        </w:rPr>
        <w:t>Údaje v poznámkach sú uvádzané za bežne účtovné obdobie. Sumy sú uvádzané v celých eurách.</w:t>
      </w:r>
    </w:p>
    <w:p>
      <w:pPr>
        <w:pStyle w:val="Default"/>
        <w:rPr>
          <w:rFonts w:ascii="Arial;Arial Narrow" w:hAnsi="Arial;Arial Narrow" w:cs="Arial;Arial Narrow"/>
          <w:i/>
          <w:i/>
          <w:sz w:val="18"/>
          <w:szCs w:val="18"/>
        </w:rPr>
      </w:pPr>
      <w:r>
        <w:rPr>
          <w:rFonts w:cs="Arial;Arial Narrow" w:ascii="Arial;Arial Narrow" w:hAnsi="Arial;Arial Narrow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>
      <w:pPr>
        <w:pStyle w:val="Default"/>
        <w:rPr>
          <w:rFonts w:ascii="Arial;Arial Narrow" w:hAnsi="Arial;Arial Narrow" w:cs="Arial;Arial Narrow"/>
          <w:i/>
          <w:i/>
          <w:sz w:val="18"/>
          <w:szCs w:val="18"/>
        </w:rPr>
      </w:pPr>
      <w:r>
        <w:rPr>
          <w:rFonts w:eastAsia="Arial;Arial Narrow" w:cs="Arial;Arial Narrow" w:ascii="Arial;Arial Narrow" w:hAnsi="Arial;Arial Narrow"/>
          <w:i/>
          <w:sz w:val="18"/>
          <w:szCs w:val="18"/>
        </w:rPr>
        <w:t xml:space="preserve"> </w:t>
      </w:r>
      <w:r>
        <w:rPr>
          <w:rFonts w:cs="Arial;Arial Narrow" w:ascii="Arial;Arial Narrow" w:hAnsi="Arial;Arial Narrow"/>
          <w:i/>
          <w:sz w:val="18"/>
          <w:szCs w:val="18"/>
        </w:rPr>
        <w:t xml:space="preserve"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>
      <w:pPr>
        <w:pStyle w:val="Default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b/>
          <w:i/>
          <w:sz w:val="18"/>
          <w:szCs w:val="18"/>
        </w:rPr>
        <w:t>Údaje v poznámkach sa uvádzajú za bežné účtovné obdobie. Sumy v poznámkach sa uvádzajú v celých eurách</w:t>
      </w:r>
      <w:r>
        <w:rPr>
          <w:rFonts w:cs="Arial;Arial Narrow" w:ascii="Arial;Arial Narrow" w:hAnsi="Arial;Arial Narrow"/>
          <w:i/>
          <w:sz w:val="18"/>
          <w:szCs w:val="18"/>
        </w:rPr>
        <w:t xml:space="preserve">. </w:t>
      </w:r>
    </w:p>
    <w:p>
      <w:pPr>
        <w:pStyle w:val="Normal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021" w:right="1559" w:header="567" w:top="1107" w:footer="567" w:bottom="1418" w:gutter="0"/>
      <w:pgNumType w:start="1"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Times New Roman">
    <w:charset w:val="ee"/>
    <w:family w:val="swiss"/>
    <w:pitch w:val="variable"/>
  </w:font>
  <w:font w:name="Arial Narrow">
    <w:charset w:val="ee"/>
    <w:family w:val="roman"/>
    <w:pitch w:val="variable"/>
  </w:font>
  <w:font w:name="Tahoma">
    <w:charset w:val="ee"/>
    <w:family w:val="roman"/>
    <w:pitch w:val="variable"/>
  </w:font>
  <w:font w:name="Arial">
    <w:altName w:val="Arial Narrow"/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jc w:val="center"/>
      <w:rPr/>
    </w:pPr>
    <w:r>
      <w:rPr/>
      <w:fldChar w:fldCharType="begin"/>
    </w:r>
    <w:r>
      <w:rPr/>
      <w:instrText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343" w:type="dxa"/>
      <w:jc w:val="left"/>
      <w:tblInd w:w="18" w:type="dxa"/>
      <w:tblBorders>
        <w:top w:val="single" w:sz="4" w:space="0" w:color="000000"/>
        <w:left w:val="single" w:sz="4" w:space="0" w:color="000000"/>
        <w:bottom w:val="single" w:sz="4" w:space="0" w:color="000000"/>
        <w:insideH w:val="single" w:sz="4" w:space="0" w:color="000000"/>
      </w:tblBorders>
      <w:tblCellMar>
        <w:top w:w="0" w:type="dxa"/>
        <w:left w:w="70" w:type="dxa"/>
        <w:bottom w:w="0" w:type="dxa"/>
        <w:right w:w="70" w:type="dxa"/>
      </w:tblCellMar>
    </w:tblPr>
    <w:tblGrid>
      <w:gridCol w:w="2954"/>
      <w:gridCol w:w="709"/>
      <w:gridCol w:w="2693"/>
      <w:gridCol w:w="284"/>
      <w:gridCol w:w="2703"/>
    </w:tblGrid>
    <w:tr>
      <w:trPr>
        <w:trHeight w:val="326" w:hRule="atLeast"/>
      </w:trPr>
      <w:tc>
        <w:tcPr>
          <w:tcW w:w="295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insideH w:val="single" w:sz="4" w:space="0" w:color="000000"/>
          </w:tcBorders>
          <w:shd w:fill="auto" w:val="clear"/>
          <w:vAlign w:val="center"/>
        </w:tcPr>
        <w:p>
          <w:pPr>
            <w:pStyle w:val="Hlavika"/>
            <w:rPr/>
          </w:pPr>
          <w:r>
            <w:rPr/>
            <w:t>Poznámky Úč</w:t>
          </w:r>
          <w:r>
            <w:rPr>
              <w:lang w:val="sk-SK"/>
            </w:rPr>
            <w:t xml:space="preserve"> </w:t>
          </w:r>
          <w:r>
            <w:rPr/>
            <w:t xml:space="preserve"> </w:t>
          </w:r>
          <w:r>
            <w:rPr>
              <w:lang w:val="sk-SK"/>
            </w:rPr>
            <w:t>MÚJ</w:t>
          </w:r>
          <w:r>
            <w:rPr/>
            <w:t xml:space="preserve"> 3-01</w:t>
          </w:r>
        </w:p>
      </w:tc>
      <w:tc>
        <w:tcPr>
          <w:tcW w:w="70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insideH w:val="single" w:sz="4" w:space="0" w:color="000000"/>
          </w:tcBorders>
          <w:shd w:fill="auto" w:val="clear"/>
          <w:vAlign w:val="center"/>
        </w:tcPr>
        <w:p>
          <w:pPr>
            <w:pStyle w:val="Normal"/>
            <w:snapToGrid w:val="false"/>
            <w:rPr/>
          </w:pPr>
          <w:r>
            <w:rPr/>
          </w: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insideH w:val="single" w:sz="4" w:space="0" w:color="000000"/>
          </w:tcBorders>
          <w:shd w:fill="auto" w:val="clear"/>
          <w:vAlign w:val="center"/>
        </w:tcPr>
        <w:p>
          <w:pPr>
            <w:pStyle w:val="Normal"/>
            <w:rPr/>
          </w:pPr>
          <w:r>
            <w:rPr/>
            <w:t>IČO:</w:t>
          </w:r>
          <w:r>
            <w:rPr/>
            <w:t>53141849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insideH w:val="single" w:sz="4" w:space="0" w:color="000000"/>
          </w:tcBorders>
          <w:shd w:fill="auto" w:val="clear"/>
          <w:vAlign w:val="center"/>
        </w:tcPr>
        <w:p>
          <w:pPr>
            <w:pStyle w:val="Normal"/>
            <w:snapToGrid w:val="false"/>
            <w:rPr/>
          </w:pPr>
          <w:r>
            <w:rPr/>
          </w:r>
        </w:p>
      </w:tc>
      <w:tc>
        <w:tcPr>
          <w:tcW w:w="270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cBorders>
          <w:shd w:fill="auto" w:val="clear"/>
          <w:vAlign w:val="center"/>
        </w:tcPr>
        <w:p>
          <w:pPr>
            <w:pStyle w:val="Normal"/>
            <w:rPr/>
          </w:pPr>
          <w:r>
            <w:rPr/>
            <w:t>DIČ:</w:t>
          </w:r>
          <w:r>
            <w:rPr/>
            <w:t>2121280865</w:t>
          </w:r>
        </w:p>
      </w:tc>
    </w:tr>
  </w:tbl>
  <w:p>
    <w:pPr>
      <w:pStyle w:val="Hlavika"/>
      <w:rPr>
        <w:lang w:val="sk-SK"/>
      </w:rPr>
    </w:pPr>
    <w:r>
      <w:rPr>
        <w:lang w:val="sk-SK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decimal"/>
      <w:lvlText w:val="§ %1"/>
      <w:lvlJc w:val="center"/>
      <w:pPr>
        <w:tabs>
          <w:tab w:val="num" w:pos="4613"/>
        </w:tabs>
        <w:ind w:left="3893" w:hanging="-360"/>
      </w:pPr>
      <w:rPr>
        <w:sz w:val="24"/>
        <w:b/>
        <w:szCs w:val="24"/>
        <w:bCs/>
        <w:rFonts w:cs="Times New Roman"/>
        <w:lang w:val="sk-SK" w:bidi="sk-SK"/>
      </w:r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2">
    <w:lvl w:ilvl="0">
      <w:start w:val="1"/>
      <w:numFmt w:val="decimal"/>
      <w:lvlText w:val="(%1)"/>
      <w:lvlJc w:val="left"/>
      <w:pPr>
        <w:ind w:left="644" w:hanging="360"/>
      </w:pPr>
      <w:rPr>
        <w:sz w:val="20"/>
        <w:b/>
        <w:szCs w:val="20"/>
        <w:rFonts w:ascii="Arial;Arial Narrow" w:hAnsi="Arial;Arial Narrow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2"/>
      <w:numFmt w:val="decimal"/>
      <w:lvlText w:val="%1."/>
      <w:lvlJc w:val="left"/>
      <w:pPr>
        <w:ind w:left="251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lowerLetter"/>
      <w:lvlText w:val="%1)"/>
      <w:lvlJc w:val="left"/>
      <w:pPr>
        <w:ind w:left="641" w:hanging="284"/>
      </w:pPr>
      <w:rPr>
        <w:sz w:val="20"/>
        <w:b/>
        <w:rFonts w:ascii="Arial;Arial Narrow" w:hAnsi="Arial;Arial Narrow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lvl w:ilvl="0">
      <w:start w:val="1"/>
      <w:numFmt w:val="decimal"/>
      <w:lvlText w:val="(%1)"/>
      <w:lvlJc w:val="left"/>
      <w:pPr>
        <w:ind w:left="786" w:hanging="360"/>
      </w:pPr>
      <w:rPr>
        <w:sz w:val="20"/>
        <w:i w:val="false"/>
        <w:b/>
        <w:szCs w:val="24"/>
        <w:rFonts w:ascii="Arial;Arial Narrow" w:hAnsi="Arial;Arial Narrow"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>
    <w:lvl w:ilvl="0">
      <w:start w:val="1"/>
      <w:numFmt w:val="upperRoman"/>
      <w:lvlText w:val="%1."/>
      <w:lvlJc w:val="right"/>
      <w:pPr>
        <w:ind w:left="720" w:hanging="360"/>
      </w:pPr>
      <w:rPr>
        <w:sz w:val="20"/>
        <w:i/>
        <w:szCs w:val="2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lvl w:ilvl="0">
      <w:start w:val="1"/>
      <w:numFmt w:val="lowerLetter"/>
      <w:lvlText w:val="%1)"/>
      <w:lvlJc w:val="left"/>
      <w:pPr>
        <w:ind w:left="644" w:hanging="360"/>
      </w:pPr>
      <w:rPr>
        <w:sz w:val="20"/>
        <w:b/>
        <w:rFonts w:ascii="Arial;Arial Narrow" w:hAnsi="Arial;Arial Narrow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lvl w:ilvl="0">
      <w:start w:val="1"/>
      <w:numFmt w:val="decimal"/>
      <w:lvlText w:val="%1."/>
      <w:lvlJc w:val="left"/>
      <w:pPr>
        <w:ind w:left="2487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9">
    <w:lvl w:ilvl="0">
      <w:start w:val="1"/>
      <w:numFmt w:val="lowerLetter"/>
      <w:lvlText w:val="%1)"/>
      <w:lvlJc w:val="left"/>
      <w:pPr>
        <w:ind w:left="786" w:hanging="360"/>
      </w:pPr>
      <w:rPr>
        <w:sz w:val="20"/>
        <w:i/>
        <w:b/>
        <w:szCs w:val="24"/>
        <w:rFonts w:ascii="Arial;Arial Narrow" w:hAnsi="Arial;Arial Narrow"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0">
    <w:lvl w:ilvl="0">
      <w:start w:val="1"/>
      <w:numFmt w:val="decimal"/>
      <w:lvlText w:val="(%1)"/>
      <w:lvlJc w:val="left"/>
      <w:pPr>
        <w:ind w:left="644" w:hanging="360"/>
      </w:pPr>
      <w:rPr>
        <w:sz w:val="20"/>
        <w:b/>
        <w:szCs w:val="20"/>
        <w:rFonts w:ascii="Arial;Arial Narrow" w:hAnsi="Arial;Arial Narrow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</w:numbering>
</file>

<file path=word/settings.xml><?xml version="1.0" encoding="utf-8"?>
<w:settings xmlns:w="http://schemas.openxmlformats.org/wordprocessingml/2006/main">
  <w:zoom w:percent="110"/>
  <w:defaultTabStop w:val="709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sz w:val="20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/>
      <w:bidi w:val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sk-SK" w:eastAsia="zh-CN" w:bidi="ar-SA"/>
    </w:rPr>
  </w:style>
  <w:style w:type="paragraph" w:styleId="Nadpis1">
    <w:name w:val="Heading 1"/>
    <w:basedOn w:val="Nadpis"/>
    <w:next w:val="Nadpis2"/>
    <w:qFormat/>
    <w:pPr>
      <w:keepNext w:val="true"/>
      <w:widowControl/>
      <w:numPr>
        <w:ilvl w:val="0"/>
        <w:numId w:val="1"/>
      </w:numPr>
      <w:bidi w:val="0"/>
      <w:spacing w:before="240" w:after="60"/>
      <w:jc w:val="center"/>
      <w:outlineLvl w:val="0"/>
    </w:pPr>
    <w:rPr>
      <w:rFonts w:ascii="Times New Roman" w:hAnsi="Times New Roman" w:eastAsia="Times New Roman" w:cs="Arial;Arial Narrow"/>
      <w:b/>
      <w:bCs/>
      <w:color w:val="auto"/>
      <w:kern w:val="2"/>
      <w:sz w:val="24"/>
      <w:szCs w:val="32"/>
      <w:lang w:val="sk-SK" w:eastAsia="zh-CN" w:bidi="ar-SA"/>
    </w:rPr>
  </w:style>
  <w:style w:type="paragraph" w:styleId="Nadpis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</w:rPr>
  </w:style>
  <w:style w:type="paragraph" w:styleId="Nadpis3">
    <w:name w:val="Heading 3"/>
    <w:basedOn w:val="Normal"/>
    <w:next w:val="Normal"/>
    <w:qFormat/>
    <w:pPr>
      <w:keepNext w:val="true"/>
      <w:jc w:val="both"/>
      <w:outlineLvl w:val="2"/>
    </w:pPr>
    <w:rPr>
      <w:b/>
      <w:u w:val="single"/>
    </w:rPr>
  </w:style>
  <w:style w:type="paragraph" w:styleId="Nadpis4">
    <w:name w:val="Heading 4"/>
    <w:basedOn w:val="Normal"/>
    <w:next w:val="Normal"/>
    <w:qFormat/>
    <w:pPr>
      <w:keepNext w:val="true"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al"/>
    <w:next w:val="Normal"/>
    <w:qFormat/>
    <w:pPr>
      <w:keepNext w:val="true"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al"/>
    <w:next w:val="Normal"/>
    <w:qFormat/>
    <w:pPr>
      <w:keepNext w:val="true"/>
      <w:ind w:left="360" w:hanging="0"/>
      <w:jc w:val="center"/>
      <w:outlineLvl w:val="5"/>
    </w:pPr>
    <w:rPr>
      <w:rFonts w:ascii="Arial Narrow" w:hAnsi="Arial Narrow" w:cs="Arial Narrow"/>
      <w:b/>
      <w:bCs/>
      <w:sz w:val="28"/>
      <w:szCs w:val="22"/>
    </w:rPr>
  </w:style>
  <w:style w:type="character" w:styleId="WW8Num1z0">
    <w:name w:val="WW8Num1z0"/>
    <w:qFormat/>
    <w:rPr>
      <w:b w:val="false"/>
      <w:sz w:val="20"/>
      <w:szCs w:val="20"/>
    </w:rPr>
  </w:style>
  <w:style w:type="character" w:styleId="WW8Num1z1">
    <w:name w:val="WW8Num1z1"/>
    <w:qFormat/>
    <w:rPr/>
  </w:style>
  <w:style w:type="character" w:styleId="WW8Num1z2">
    <w:name w:val="WW8Num1z2"/>
    <w:qFormat/>
    <w:rPr/>
  </w:style>
  <w:style w:type="character" w:styleId="WW8Num1z3">
    <w:name w:val="WW8Num1z3"/>
    <w:qFormat/>
    <w:rPr/>
  </w:style>
  <w:style w:type="character" w:styleId="WW8Num1z4">
    <w:name w:val="WW8Num1z4"/>
    <w:qFormat/>
    <w:rPr/>
  </w:style>
  <w:style w:type="character" w:styleId="WW8Num1z5">
    <w:name w:val="WW8Num1z5"/>
    <w:qFormat/>
    <w:rPr/>
  </w:style>
  <w:style w:type="character" w:styleId="WW8Num1z6">
    <w:name w:val="WW8Num1z6"/>
    <w:qFormat/>
    <w:rPr/>
  </w:style>
  <w:style w:type="character" w:styleId="WW8Num1z7">
    <w:name w:val="WW8Num1z7"/>
    <w:qFormat/>
    <w:rPr/>
  </w:style>
  <w:style w:type="character" w:styleId="WW8Num1z8">
    <w:name w:val="WW8Num1z8"/>
    <w:qFormat/>
    <w:rPr/>
  </w:style>
  <w:style w:type="character" w:styleId="WW8Num2z0">
    <w:name w:val="WW8Num2z0"/>
    <w:qFormat/>
    <w:rPr/>
  </w:style>
  <w:style w:type="character" w:styleId="WW8Num2z1">
    <w:name w:val="WW8Num2z1"/>
    <w:qFormat/>
    <w:rPr/>
  </w:style>
  <w:style w:type="character" w:styleId="WW8Num2z2">
    <w:name w:val="WW8Num2z2"/>
    <w:qFormat/>
    <w:rPr/>
  </w:style>
  <w:style w:type="character" w:styleId="WW8Num2z3">
    <w:name w:val="WW8Num2z3"/>
    <w:qFormat/>
    <w:rPr/>
  </w:style>
  <w:style w:type="character" w:styleId="WW8Num2z4">
    <w:name w:val="WW8Num2z4"/>
    <w:qFormat/>
    <w:rPr/>
  </w:style>
  <w:style w:type="character" w:styleId="WW8Num2z5">
    <w:name w:val="WW8Num2z5"/>
    <w:qFormat/>
    <w:rPr/>
  </w:style>
  <w:style w:type="character" w:styleId="WW8Num2z6">
    <w:name w:val="WW8Num2z6"/>
    <w:qFormat/>
    <w:rPr/>
  </w:style>
  <w:style w:type="character" w:styleId="WW8Num2z7">
    <w:name w:val="WW8Num2z7"/>
    <w:qFormat/>
    <w:rPr/>
  </w:style>
  <w:style w:type="character" w:styleId="WW8Num2z8">
    <w:name w:val="WW8Num2z8"/>
    <w:qFormat/>
    <w:rPr/>
  </w:style>
  <w:style w:type="character" w:styleId="WW8Num3z0">
    <w:name w:val="WW8Num3z0"/>
    <w:qFormat/>
    <w:rPr>
      <w:b w:val="false"/>
    </w:rPr>
  </w:style>
  <w:style w:type="character" w:styleId="WW8Num3z1">
    <w:name w:val="WW8Num3z1"/>
    <w:qFormat/>
    <w:rPr/>
  </w:style>
  <w:style w:type="character" w:styleId="WW8Num3z2">
    <w:name w:val="WW8Num3z2"/>
    <w:qFormat/>
    <w:rPr/>
  </w:style>
  <w:style w:type="character" w:styleId="WW8Num3z3">
    <w:name w:val="WW8Num3z3"/>
    <w:qFormat/>
    <w:rPr/>
  </w:style>
  <w:style w:type="character" w:styleId="WW8Num3z4">
    <w:name w:val="WW8Num3z4"/>
    <w:qFormat/>
    <w:rPr/>
  </w:style>
  <w:style w:type="character" w:styleId="WW8Num3z5">
    <w:name w:val="WW8Num3z5"/>
    <w:qFormat/>
    <w:rPr/>
  </w:style>
  <w:style w:type="character" w:styleId="WW8Num3z6">
    <w:name w:val="WW8Num3z6"/>
    <w:qFormat/>
    <w:rPr/>
  </w:style>
  <w:style w:type="character" w:styleId="WW8Num3z7">
    <w:name w:val="WW8Num3z7"/>
    <w:qFormat/>
    <w:rPr/>
  </w:style>
  <w:style w:type="character" w:styleId="WW8Num3z8">
    <w:name w:val="WW8Num3z8"/>
    <w:qFormat/>
    <w:rPr/>
  </w:style>
  <w:style w:type="character" w:styleId="WW8Num4z0">
    <w:name w:val="WW8Num4z0"/>
    <w:qFormat/>
    <w:rPr>
      <w:rFonts w:ascii="Times New Roman" w:hAnsi="Times New Roman" w:cs="Times New Roman"/>
      <w:b w:val="false"/>
      <w:i w:val="false"/>
      <w:sz w:val="20"/>
      <w:szCs w:val="24"/>
    </w:rPr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i/>
      <w:szCs w:val="20"/>
    </w:rPr>
  </w:style>
  <w:style w:type="character" w:styleId="WW8Num5z1">
    <w:name w:val="WW8Num5z1"/>
    <w:qFormat/>
    <w:rPr/>
  </w:style>
  <w:style w:type="character" w:styleId="WW8Num5z2">
    <w:name w:val="WW8Num5z2"/>
    <w:qFormat/>
    <w:rPr/>
  </w:style>
  <w:style w:type="character" w:styleId="WW8Num5z3">
    <w:name w:val="WW8Num5z3"/>
    <w:qFormat/>
    <w:rPr/>
  </w:style>
  <w:style w:type="character" w:styleId="WW8Num5z4">
    <w:name w:val="WW8Num5z4"/>
    <w:qFormat/>
    <w:rPr/>
  </w:style>
  <w:style w:type="character" w:styleId="WW8Num5z5">
    <w:name w:val="WW8Num5z5"/>
    <w:qFormat/>
    <w:rPr/>
  </w:style>
  <w:style w:type="character" w:styleId="WW8Num5z6">
    <w:name w:val="WW8Num5z6"/>
    <w:qFormat/>
    <w:rPr/>
  </w:style>
  <w:style w:type="character" w:styleId="WW8Num5z7">
    <w:name w:val="WW8Num5z7"/>
    <w:qFormat/>
    <w:rPr/>
  </w:style>
  <w:style w:type="character" w:styleId="WW8Num5z8">
    <w:name w:val="WW8Num5z8"/>
    <w:qFormat/>
    <w:rPr/>
  </w:style>
  <w:style w:type="character" w:styleId="WW8Num6z0">
    <w:name w:val="WW8Num6z0"/>
    <w:qFormat/>
    <w:rPr>
      <w:b w:val="false"/>
    </w:rPr>
  </w:style>
  <w:style w:type="character" w:styleId="WW8Num6z1">
    <w:name w:val="WW8Num6z1"/>
    <w:qFormat/>
    <w:rPr/>
  </w:style>
  <w:style w:type="character" w:styleId="WW8Num6z2">
    <w:name w:val="WW8Num6z2"/>
    <w:qFormat/>
    <w:rPr/>
  </w:style>
  <w:style w:type="character" w:styleId="WW8Num6z3">
    <w:name w:val="WW8Num6z3"/>
    <w:qFormat/>
    <w:rPr/>
  </w:style>
  <w:style w:type="character" w:styleId="WW8Num6z4">
    <w:name w:val="WW8Num6z4"/>
    <w:qFormat/>
    <w:rPr/>
  </w:style>
  <w:style w:type="character" w:styleId="WW8Num6z5">
    <w:name w:val="WW8Num6z5"/>
    <w:qFormat/>
    <w:rPr/>
  </w:style>
  <w:style w:type="character" w:styleId="WW8Num6z6">
    <w:name w:val="WW8Num6z6"/>
    <w:qFormat/>
    <w:rPr/>
  </w:style>
  <w:style w:type="character" w:styleId="WW8Num6z7">
    <w:name w:val="WW8Num6z7"/>
    <w:qFormat/>
    <w:rPr/>
  </w:style>
  <w:style w:type="character" w:styleId="WW8Num6z8">
    <w:name w:val="WW8Num6z8"/>
    <w:qFormat/>
    <w:rPr/>
  </w:style>
  <w:style w:type="character" w:styleId="WW8Num7z0">
    <w:name w:val="WW8Num7z0"/>
    <w:qFormat/>
    <w:rPr/>
  </w:style>
  <w:style w:type="character" w:styleId="WW8Num7z1">
    <w:name w:val="WW8Num7z1"/>
    <w:qFormat/>
    <w:rPr/>
  </w:style>
  <w:style w:type="character" w:styleId="WW8Num7z2">
    <w:name w:val="WW8Num7z2"/>
    <w:qFormat/>
    <w:rPr/>
  </w:style>
  <w:style w:type="character" w:styleId="WW8Num7z3">
    <w:name w:val="WW8Num7z3"/>
    <w:qFormat/>
    <w:rPr/>
  </w:style>
  <w:style w:type="character" w:styleId="WW8Num7z4">
    <w:name w:val="WW8Num7z4"/>
    <w:qFormat/>
    <w:rPr/>
  </w:style>
  <w:style w:type="character" w:styleId="WW8Num7z5">
    <w:name w:val="WW8Num7z5"/>
    <w:qFormat/>
    <w:rPr/>
  </w:style>
  <w:style w:type="character" w:styleId="WW8Num7z6">
    <w:name w:val="WW8Num7z6"/>
    <w:qFormat/>
    <w:rPr/>
  </w:style>
  <w:style w:type="character" w:styleId="WW8Num7z7">
    <w:name w:val="WW8Num7z7"/>
    <w:qFormat/>
    <w:rPr/>
  </w:style>
  <w:style w:type="character" w:styleId="WW8Num7z8">
    <w:name w:val="WW8Num7z8"/>
    <w:qFormat/>
    <w:rPr/>
  </w:style>
  <w:style w:type="character" w:styleId="WW8Num8z0">
    <w:name w:val="WW8Num8z0"/>
    <w:qFormat/>
    <w:rPr/>
  </w:style>
  <w:style w:type="character" w:styleId="WW8Num8z1">
    <w:name w:val="WW8Num8z1"/>
    <w:qFormat/>
    <w:rPr/>
  </w:style>
  <w:style w:type="character" w:styleId="WW8Num8z2">
    <w:name w:val="WW8Num8z2"/>
    <w:qFormat/>
    <w:rPr/>
  </w:style>
  <w:style w:type="character" w:styleId="WW8Num8z3">
    <w:name w:val="WW8Num8z3"/>
    <w:qFormat/>
    <w:rPr/>
  </w:style>
  <w:style w:type="character" w:styleId="WW8Num8z4">
    <w:name w:val="WW8Num8z4"/>
    <w:qFormat/>
    <w:rPr/>
  </w:style>
  <w:style w:type="character" w:styleId="WW8Num8z5">
    <w:name w:val="WW8Num8z5"/>
    <w:qFormat/>
    <w:rPr/>
  </w:style>
  <w:style w:type="character" w:styleId="WW8Num8z6">
    <w:name w:val="WW8Num8z6"/>
    <w:qFormat/>
    <w:rPr/>
  </w:style>
  <w:style w:type="character" w:styleId="WW8Num8z7">
    <w:name w:val="WW8Num8z7"/>
    <w:qFormat/>
    <w:rPr/>
  </w:style>
  <w:style w:type="character" w:styleId="WW8Num8z8">
    <w:name w:val="WW8Num8z8"/>
    <w:qFormat/>
    <w:rPr/>
  </w:style>
  <w:style w:type="character" w:styleId="WW8Num9z0">
    <w:name w:val="WW8Num9z0"/>
    <w:qFormat/>
    <w:rPr>
      <w:rFonts w:ascii="Times New Roman" w:hAnsi="Times New Roman" w:cs="Times New Roman"/>
      <w:i/>
      <w:sz w:val="18"/>
      <w:szCs w:val="24"/>
    </w:rPr>
  </w:style>
  <w:style w:type="character" w:styleId="WW8Num9z1">
    <w:name w:val="WW8Num9z1"/>
    <w:qFormat/>
    <w:rPr/>
  </w:style>
  <w:style w:type="character" w:styleId="WW8Num9z2">
    <w:name w:val="WW8Num9z2"/>
    <w:qFormat/>
    <w:rPr/>
  </w:style>
  <w:style w:type="character" w:styleId="WW8Num9z3">
    <w:name w:val="WW8Num9z3"/>
    <w:qFormat/>
    <w:rPr/>
  </w:style>
  <w:style w:type="character" w:styleId="WW8Num9z4">
    <w:name w:val="WW8Num9z4"/>
    <w:qFormat/>
    <w:rPr/>
  </w:style>
  <w:style w:type="character" w:styleId="WW8Num9z5">
    <w:name w:val="WW8Num9z5"/>
    <w:qFormat/>
    <w:rPr/>
  </w:style>
  <w:style w:type="character" w:styleId="WW8Num9z6">
    <w:name w:val="WW8Num9z6"/>
    <w:qFormat/>
    <w:rPr/>
  </w:style>
  <w:style w:type="character" w:styleId="WW8Num9z7">
    <w:name w:val="WW8Num9z7"/>
    <w:qFormat/>
    <w:rPr/>
  </w:style>
  <w:style w:type="character" w:styleId="WW8Num9z8">
    <w:name w:val="WW8Num9z8"/>
    <w:qFormat/>
    <w:rPr/>
  </w:style>
  <w:style w:type="character" w:styleId="WW8Num10z0">
    <w:name w:val="WW8Num10z0"/>
    <w:qFormat/>
    <w:rPr>
      <w:b w:val="false"/>
      <w:sz w:val="20"/>
      <w:szCs w:val="20"/>
    </w:rPr>
  </w:style>
  <w:style w:type="character" w:styleId="WW8Num10z1">
    <w:name w:val="WW8Num10z1"/>
    <w:qFormat/>
    <w:rPr/>
  </w:style>
  <w:style w:type="character" w:styleId="WW8Num10z2">
    <w:name w:val="WW8Num10z2"/>
    <w:qFormat/>
    <w:rPr/>
  </w:style>
  <w:style w:type="character" w:styleId="WW8Num10z3">
    <w:name w:val="WW8Num10z3"/>
    <w:qFormat/>
    <w:rPr/>
  </w:style>
  <w:style w:type="character" w:styleId="WW8Num10z4">
    <w:name w:val="WW8Num10z4"/>
    <w:qFormat/>
    <w:rPr/>
  </w:style>
  <w:style w:type="character" w:styleId="WW8Num10z5">
    <w:name w:val="WW8Num10z5"/>
    <w:qFormat/>
    <w:rPr/>
  </w:style>
  <w:style w:type="character" w:styleId="WW8Num10z6">
    <w:name w:val="WW8Num10z6"/>
    <w:qFormat/>
    <w:rPr/>
  </w:style>
  <w:style w:type="character" w:styleId="WW8Num10z7">
    <w:name w:val="WW8Num10z7"/>
    <w:qFormat/>
    <w:rPr/>
  </w:style>
  <w:style w:type="character" w:styleId="WW8Num10z8">
    <w:name w:val="WW8Num10z8"/>
    <w:qFormat/>
    <w:rPr/>
  </w:style>
  <w:style w:type="character" w:styleId="WW8Num11z0">
    <w:name w:val="WW8Num11z0"/>
    <w:qFormat/>
    <w:rPr>
      <w:rFonts w:ascii="Times New Roman" w:hAnsi="Times New Roman" w:cs="Times New Roman"/>
      <w:b/>
      <w:bCs/>
      <w:sz w:val="24"/>
      <w:szCs w:val="24"/>
      <w:lang w:val="sk-SK" w:bidi="sk-SK"/>
    </w:rPr>
  </w:style>
  <w:style w:type="character" w:styleId="WW8Num11z1">
    <w:name w:val="WW8Num11z1"/>
    <w:qFormat/>
    <w:rPr/>
  </w:style>
  <w:style w:type="character" w:styleId="WW8Num11z2">
    <w:name w:val="WW8Num11z2"/>
    <w:qFormat/>
    <w:rPr/>
  </w:style>
  <w:style w:type="character" w:styleId="WW8Num11z3">
    <w:name w:val="WW8Num11z3"/>
    <w:qFormat/>
    <w:rPr/>
  </w:style>
  <w:style w:type="character" w:styleId="WW8Num11z4">
    <w:name w:val="WW8Num11z4"/>
    <w:qFormat/>
    <w:rPr/>
  </w:style>
  <w:style w:type="character" w:styleId="WW8Num11z5">
    <w:name w:val="WW8Num11z5"/>
    <w:qFormat/>
    <w:rPr/>
  </w:style>
  <w:style w:type="character" w:styleId="WW8Num11z6">
    <w:name w:val="WW8Num11z6"/>
    <w:qFormat/>
    <w:rPr/>
  </w:style>
  <w:style w:type="character" w:styleId="WW8Num11z7">
    <w:name w:val="WW8Num11z7"/>
    <w:qFormat/>
    <w:rPr/>
  </w:style>
  <w:style w:type="character" w:styleId="WW8Num11z8">
    <w:name w:val="WW8Num11z8"/>
    <w:qFormat/>
    <w:rPr/>
  </w:style>
  <w:style w:type="character" w:styleId="Predvolenpsmoodseku">
    <w:name w:val="Predvolené písmo odseku"/>
    <w:qFormat/>
    <w:rPr/>
  </w:style>
  <w:style w:type="character" w:styleId="Znakyprepoznmkupodiarou">
    <w:name w:val="Znaky pre poznámku pod čiarou"/>
    <w:qFormat/>
    <w:rPr>
      <w:vertAlign w:val="superscript"/>
    </w:rPr>
  </w:style>
  <w:style w:type="character" w:styleId="Slostrany">
    <w:name w:val="Číslo strany"/>
    <w:basedOn w:val="Predvolenpsmoodseku"/>
    <w:rPr/>
  </w:style>
  <w:style w:type="character" w:styleId="PtaChar">
    <w:name w:val="Päta Char"/>
    <w:qFormat/>
    <w:rPr>
      <w:sz w:val="24"/>
      <w:szCs w:val="24"/>
    </w:rPr>
  </w:style>
  <w:style w:type="character" w:styleId="TextkoncovejpoznmkyChar">
    <w:name w:val="Text koncovej poznámky Char"/>
    <w:basedOn w:val="Predvolenpsmoodseku"/>
    <w:qFormat/>
    <w:rPr/>
  </w:style>
  <w:style w:type="character" w:styleId="Znakyprekoncovpoznmku">
    <w:name w:val="Znaky pre koncovú poznámku"/>
    <w:qFormat/>
    <w:rPr>
      <w:vertAlign w:val="superscript"/>
    </w:rPr>
  </w:style>
  <w:style w:type="character" w:styleId="HlavikaChar">
    <w:name w:val="Hlavička Char"/>
    <w:qFormat/>
    <w:rPr>
      <w:sz w:val="24"/>
      <w:szCs w:val="24"/>
    </w:rPr>
  </w:style>
  <w:style w:type="character" w:styleId="TextbublinyChar">
    <w:name w:val="Text bubliny Char"/>
    <w:qFormat/>
    <w:rPr>
      <w:rFonts w:ascii="Tahoma" w:hAnsi="Tahoma" w:cs="Tahoma"/>
      <w:sz w:val="16"/>
      <w:szCs w:val="16"/>
    </w:rPr>
  </w:style>
  <w:style w:type="character" w:styleId="Tl">
    <w:name w:val="tl"/>
    <w:basedOn w:val="Predvolenpsmoodseku"/>
    <w:qFormat/>
    <w:rPr/>
  </w:style>
  <w:style w:type="character" w:styleId="Tl1Char">
    <w:name w:val="Štýl1 Char"/>
    <w:basedOn w:val="PtaChar"/>
    <w:qFormat/>
    <w:rPr/>
  </w:style>
  <w:style w:type="character" w:styleId="Ra">
    <w:name w:val="ra"/>
    <w:basedOn w:val="Predvolenpsmoodseku"/>
    <w:qFormat/>
    <w:rPr/>
  </w:style>
  <w:style w:type="character" w:styleId="OdsekzoznamuChar">
    <w:name w:val="Odsek zoznamu Char"/>
    <w:qFormat/>
    <w:rPr>
      <w:sz w:val="24"/>
      <w:szCs w:val="24"/>
    </w:rPr>
  </w:style>
  <w:style w:type="character" w:styleId="ListLabel1">
    <w:name w:val="ListLabel 1"/>
    <w:qFormat/>
    <w:rPr>
      <w:rFonts w:cs="Times New Roman"/>
      <w:b/>
      <w:bCs/>
      <w:sz w:val="24"/>
      <w:szCs w:val="24"/>
      <w:lang w:val="sk-SK" w:bidi="sk-SK"/>
    </w:rPr>
  </w:style>
  <w:style w:type="character" w:styleId="ListLabel2">
    <w:name w:val="ListLabel 2"/>
    <w:qFormat/>
    <w:rPr>
      <w:rFonts w:ascii="Arial;Arial Narrow" w:hAnsi="Arial;Arial Narrow"/>
      <w:b/>
      <w:sz w:val="20"/>
      <w:szCs w:val="20"/>
    </w:rPr>
  </w:style>
  <w:style w:type="character" w:styleId="ListLabel3">
    <w:name w:val="ListLabel 3"/>
    <w:qFormat/>
    <w:rPr>
      <w:rFonts w:ascii="Arial;Arial Narrow" w:hAnsi="Arial;Arial Narrow"/>
      <w:b/>
      <w:sz w:val="20"/>
    </w:rPr>
  </w:style>
  <w:style w:type="character" w:styleId="ListLabel4">
    <w:name w:val="ListLabel 4"/>
    <w:qFormat/>
    <w:rPr>
      <w:rFonts w:ascii="Arial;Arial Narrow" w:hAnsi="Arial;Arial Narrow" w:cs="Times New Roman"/>
      <w:b/>
      <w:i w:val="false"/>
      <w:sz w:val="20"/>
      <w:szCs w:val="24"/>
    </w:rPr>
  </w:style>
  <w:style w:type="character" w:styleId="ListLabel5">
    <w:name w:val="ListLabel 5"/>
    <w:qFormat/>
    <w:rPr>
      <w:i/>
      <w:sz w:val="20"/>
      <w:szCs w:val="20"/>
    </w:rPr>
  </w:style>
  <w:style w:type="character" w:styleId="ListLabel6">
    <w:name w:val="ListLabel 6"/>
    <w:qFormat/>
    <w:rPr>
      <w:rFonts w:ascii="Arial;Arial Narrow" w:hAnsi="Arial;Arial Narrow"/>
      <w:b/>
      <w:sz w:val="20"/>
    </w:rPr>
  </w:style>
  <w:style w:type="character" w:styleId="ListLabel7">
    <w:name w:val="ListLabel 7"/>
    <w:qFormat/>
    <w:rPr>
      <w:rFonts w:ascii="Arial;Arial Narrow" w:hAnsi="Arial;Arial Narrow" w:cs="Times New Roman"/>
      <w:b/>
      <w:i/>
      <w:sz w:val="20"/>
      <w:szCs w:val="24"/>
    </w:rPr>
  </w:style>
  <w:style w:type="character" w:styleId="ListLabel8">
    <w:name w:val="ListLabel 8"/>
    <w:qFormat/>
    <w:rPr>
      <w:rFonts w:ascii="Arial;Arial Narrow" w:hAnsi="Arial;Arial Narrow"/>
      <w:b/>
      <w:sz w:val="20"/>
      <w:szCs w:val="20"/>
    </w:rPr>
  </w:style>
  <w:style w:type="character" w:styleId="ListLabel9">
    <w:name w:val="ListLabel 9"/>
    <w:qFormat/>
    <w:rPr>
      <w:rFonts w:cs="Times New Roman"/>
      <w:b/>
      <w:bCs/>
      <w:sz w:val="24"/>
      <w:szCs w:val="24"/>
      <w:lang w:val="sk-SK" w:bidi="sk-SK"/>
    </w:rPr>
  </w:style>
  <w:style w:type="character" w:styleId="ListLabel10">
    <w:name w:val="ListLabel 10"/>
    <w:qFormat/>
    <w:rPr>
      <w:rFonts w:ascii="Arial;Arial Narrow" w:hAnsi="Arial;Arial Narrow"/>
      <w:b/>
      <w:sz w:val="20"/>
      <w:szCs w:val="20"/>
    </w:rPr>
  </w:style>
  <w:style w:type="character" w:styleId="ListLabel11">
    <w:name w:val="ListLabel 11"/>
    <w:qFormat/>
    <w:rPr>
      <w:rFonts w:ascii="Arial;Arial Narrow" w:hAnsi="Arial;Arial Narrow"/>
      <w:b/>
      <w:sz w:val="20"/>
    </w:rPr>
  </w:style>
  <w:style w:type="character" w:styleId="ListLabel12">
    <w:name w:val="ListLabel 12"/>
    <w:qFormat/>
    <w:rPr>
      <w:rFonts w:ascii="Arial;Arial Narrow" w:hAnsi="Arial;Arial Narrow" w:cs="Times New Roman"/>
      <w:b/>
      <w:i w:val="false"/>
      <w:sz w:val="20"/>
      <w:szCs w:val="24"/>
    </w:rPr>
  </w:style>
  <w:style w:type="character" w:styleId="ListLabel13">
    <w:name w:val="ListLabel 13"/>
    <w:qFormat/>
    <w:rPr>
      <w:i/>
      <w:sz w:val="20"/>
      <w:szCs w:val="20"/>
    </w:rPr>
  </w:style>
  <w:style w:type="character" w:styleId="ListLabel14">
    <w:name w:val="ListLabel 14"/>
    <w:qFormat/>
    <w:rPr>
      <w:rFonts w:ascii="Arial;Arial Narrow" w:hAnsi="Arial;Arial Narrow"/>
      <w:b/>
      <w:sz w:val="20"/>
    </w:rPr>
  </w:style>
  <w:style w:type="character" w:styleId="ListLabel15">
    <w:name w:val="ListLabel 15"/>
    <w:qFormat/>
    <w:rPr>
      <w:rFonts w:ascii="Arial;Arial Narrow" w:hAnsi="Arial;Arial Narrow" w:cs="Times New Roman"/>
      <w:b/>
      <w:i/>
      <w:sz w:val="20"/>
      <w:szCs w:val="24"/>
    </w:rPr>
  </w:style>
  <w:style w:type="character" w:styleId="ListLabel16">
    <w:name w:val="ListLabel 16"/>
    <w:qFormat/>
    <w:rPr>
      <w:rFonts w:ascii="Arial;Arial Narrow" w:hAnsi="Arial;Arial Narrow"/>
      <w:b/>
      <w:sz w:val="20"/>
      <w:szCs w:val="20"/>
    </w:rPr>
  </w:style>
  <w:style w:type="character" w:styleId="ListLabel17">
    <w:name w:val="ListLabel 17"/>
    <w:qFormat/>
    <w:rPr>
      <w:rFonts w:cs="Times New Roman"/>
      <w:b/>
      <w:bCs/>
      <w:sz w:val="24"/>
      <w:szCs w:val="24"/>
      <w:lang w:val="sk-SK" w:bidi="sk-SK"/>
    </w:rPr>
  </w:style>
  <w:style w:type="character" w:styleId="ListLabel18">
    <w:name w:val="ListLabel 18"/>
    <w:qFormat/>
    <w:rPr>
      <w:rFonts w:ascii="Arial;Arial Narrow" w:hAnsi="Arial;Arial Narrow"/>
      <w:b/>
      <w:sz w:val="20"/>
      <w:szCs w:val="20"/>
    </w:rPr>
  </w:style>
  <w:style w:type="character" w:styleId="ListLabel19">
    <w:name w:val="ListLabel 19"/>
    <w:qFormat/>
    <w:rPr>
      <w:rFonts w:ascii="Arial;Arial Narrow" w:hAnsi="Arial;Arial Narrow"/>
      <w:b/>
      <w:sz w:val="20"/>
    </w:rPr>
  </w:style>
  <w:style w:type="character" w:styleId="ListLabel20">
    <w:name w:val="ListLabel 20"/>
    <w:qFormat/>
    <w:rPr>
      <w:rFonts w:ascii="Arial;Arial Narrow" w:hAnsi="Arial;Arial Narrow" w:cs="Times New Roman"/>
      <w:b/>
      <w:i w:val="false"/>
      <w:sz w:val="20"/>
      <w:szCs w:val="24"/>
    </w:rPr>
  </w:style>
  <w:style w:type="character" w:styleId="ListLabel21">
    <w:name w:val="ListLabel 21"/>
    <w:qFormat/>
    <w:rPr>
      <w:i/>
      <w:sz w:val="20"/>
      <w:szCs w:val="20"/>
    </w:rPr>
  </w:style>
  <w:style w:type="character" w:styleId="ListLabel22">
    <w:name w:val="ListLabel 22"/>
    <w:qFormat/>
    <w:rPr>
      <w:rFonts w:ascii="Arial;Arial Narrow" w:hAnsi="Arial;Arial Narrow"/>
      <w:b/>
      <w:sz w:val="20"/>
    </w:rPr>
  </w:style>
  <w:style w:type="character" w:styleId="ListLabel23">
    <w:name w:val="ListLabel 23"/>
    <w:qFormat/>
    <w:rPr>
      <w:rFonts w:ascii="Arial;Arial Narrow" w:hAnsi="Arial;Arial Narrow" w:cs="Times New Roman"/>
      <w:b/>
      <w:i/>
      <w:sz w:val="20"/>
      <w:szCs w:val="24"/>
    </w:rPr>
  </w:style>
  <w:style w:type="character" w:styleId="ListLabel24">
    <w:name w:val="ListLabel 24"/>
    <w:qFormat/>
    <w:rPr>
      <w:rFonts w:ascii="Arial;Arial Narrow" w:hAnsi="Arial;Arial Narrow"/>
      <w:b/>
      <w:sz w:val="20"/>
      <w:szCs w:val="20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/>
    <w:rPr>
      <w:rFonts w:ascii="Arial;Arial Narrow" w:hAnsi="Arial;Arial Narrow" w:cs="Arial;Arial Narrow"/>
      <w:sz w:val="20"/>
      <w:szCs w:val="18"/>
      <w:lang w:val="en-GB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Zkladntext">
    <w:name w:val="Základní text"/>
    <w:qFormat/>
    <w:pPr>
      <w:widowControl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0"/>
      <w:lang w:val="sk-SK" w:eastAsia="zh-CN" w:bidi="ar-SA"/>
    </w:rPr>
  </w:style>
  <w:style w:type="paragraph" w:styleId="Poznmkapodiarou">
    <w:name w:val="Footnote Text"/>
    <w:basedOn w:val="Normal"/>
    <w:pPr/>
    <w:rPr>
      <w:sz w:val="20"/>
      <w:szCs w:val="20"/>
    </w:rPr>
  </w:style>
  <w:style w:type="paragraph" w:styleId="Pta">
    <w:name w:val="Footer"/>
    <w:basedOn w:val="Normal"/>
    <w:pPr>
      <w:tabs>
        <w:tab w:val="clear" w:pos="709"/>
        <w:tab w:val="center" w:pos="4536" w:leader="none"/>
        <w:tab w:val="right" w:pos="9072" w:leader="none"/>
      </w:tabs>
      <w:jc w:val="right"/>
    </w:pPr>
    <w:rPr>
      <w:lang w:val="sk-SK"/>
    </w:rPr>
  </w:style>
  <w:style w:type="paragraph" w:styleId="Zkladntext2">
    <w:name w:val="Základný text 2"/>
    <w:basedOn w:val="Normal"/>
    <w:qFormat/>
    <w:pPr>
      <w:jc w:val="both"/>
    </w:pPr>
    <w:rPr/>
  </w:style>
  <w:style w:type="paragraph" w:styleId="Odsadenietelatextu">
    <w:name w:val="Body Text Indent"/>
    <w:basedOn w:val="Normal"/>
    <w:pPr>
      <w:ind w:firstLine="360"/>
      <w:jc w:val="both"/>
    </w:pPr>
    <w:rPr/>
  </w:style>
  <w:style w:type="paragraph" w:styleId="Zarkazkladnhotextu2">
    <w:name w:val="Zarážka základného textu 2"/>
    <w:basedOn w:val="Normal"/>
    <w:qFormat/>
    <w:pPr>
      <w:ind w:firstLine="360"/>
    </w:pPr>
    <w:rPr/>
  </w:style>
  <w:style w:type="paragraph" w:styleId="Zkladntext3">
    <w:name w:val="Základný text 3"/>
    <w:basedOn w:val="Normal"/>
    <w:qFormat/>
    <w:pPr>
      <w:ind w:right="-468" w:hanging="0"/>
      <w:jc w:val="both"/>
    </w:pPr>
    <w:rPr>
      <w:b/>
      <w:bCs/>
    </w:rPr>
  </w:style>
  <w:style w:type="paragraph" w:styleId="Oznaitext">
    <w:name w:val="Označiť text"/>
    <w:basedOn w:val="Normal"/>
    <w:qFormat/>
    <w:pPr>
      <w:ind w:left="1680" w:right="-468" w:hanging="240"/>
    </w:pPr>
    <w:rPr/>
  </w:style>
  <w:style w:type="paragraph" w:styleId="Zarkazkladnhotextu3">
    <w:name w:val="Zarážka základného textu 3"/>
    <w:basedOn w:val="Normal"/>
    <w:qFormat/>
    <w:pPr>
      <w:ind w:right="-468" w:firstLine="720"/>
      <w:jc w:val="both"/>
    </w:pPr>
    <w:rPr>
      <w:bCs/>
    </w:rPr>
  </w:style>
  <w:style w:type="paragraph" w:styleId="Hlavika">
    <w:name w:val="Header"/>
    <w:basedOn w:val="Normal"/>
    <w:pPr>
      <w:tabs>
        <w:tab w:val="clear" w:pos="709"/>
        <w:tab w:val="center" w:pos="4703" w:leader="none"/>
        <w:tab w:val="right" w:pos="9406" w:leader="none"/>
      </w:tabs>
    </w:pPr>
    <w:rPr>
      <w:lang w:val="sk-SK"/>
    </w:rPr>
  </w:style>
  <w:style w:type="paragraph" w:styleId="Odsekzoznamu">
    <w:name w:val="Odsek zoznamu"/>
    <w:basedOn w:val="Normal"/>
    <w:qFormat/>
    <w:pPr>
      <w:ind w:left="708" w:hanging="0"/>
    </w:pPr>
    <w:rPr>
      <w:lang w:val="sk-SK"/>
    </w:rPr>
  </w:style>
  <w:style w:type="paragraph" w:styleId="Koncovpoznmka">
    <w:name w:val="Endnote Text"/>
    <w:basedOn w:val="Normal"/>
    <w:pPr/>
    <w:rPr>
      <w:sz w:val="20"/>
      <w:szCs w:val="20"/>
    </w:rPr>
  </w:style>
  <w:style w:type="paragraph" w:styleId="Textbubliny">
    <w:name w:val="Text bubliny"/>
    <w:basedOn w:val="Normal"/>
    <w:qFormat/>
    <w:pPr/>
    <w:rPr>
      <w:rFonts w:ascii="Tahoma" w:hAnsi="Tahoma" w:cs="Tahoma"/>
      <w:sz w:val="16"/>
      <w:szCs w:val="16"/>
      <w:lang w:val="sk-SK"/>
    </w:rPr>
  </w:style>
  <w:style w:type="paragraph" w:styleId="Tl1">
    <w:name w:val="Štýl1"/>
    <w:basedOn w:val="Pta"/>
    <w:qFormat/>
    <w:pPr/>
    <w:rPr/>
  </w:style>
  <w:style w:type="paragraph" w:styleId="TopHeader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Default">
    <w:name w:val="Default"/>
    <w:qFormat/>
    <w:pPr>
      <w:widowControl/>
      <w:bidi w:val="0"/>
      <w:jc w:val="left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sk-SK" w:eastAsia="zh-CN" w:bidi="ar-SA"/>
    </w:rPr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numbering" w:styleId="WW8Num1">
    <w:name w:val="WW8Num1"/>
    <w:qFormat/>
  </w:style>
  <w:style w:type="numbering" w:styleId="WW8Num2">
    <w:name w:val="WW8Num2"/>
    <w:qFormat/>
  </w:style>
  <w:style w:type="numbering" w:styleId="WW8Num3">
    <w:name w:val="WW8Num3"/>
    <w:qFormat/>
  </w:style>
  <w:style w:type="numbering" w:styleId="WW8Num4">
    <w:name w:val="WW8Num4"/>
    <w:qFormat/>
  </w:style>
  <w:style w:type="numbering" w:styleId="WW8Num5">
    <w:name w:val="WW8Num5"/>
    <w:qFormat/>
  </w:style>
  <w:style w:type="numbering" w:styleId="WW8Num6">
    <w:name w:val="WW8Num6"/>
    <w:qFormat/>
  </w:style>
  <w:style w:type="numbering" w:styleId="WW8Num7">
    <w:name w:val="WW8Num7"/>
    <w:qFormat/>
  </w:style>
  <w:style w:type="numbering" w:styleId="WW8Num8">
    <w:name w:val="WW8Num8"/>
    <w:qFormat/>
  </w:style>
  <w:style w:type="numbering" w:styleId="WW8Num9">
    <w:name w:val="WW8Num9"/>
    <w:qFormat/>
  </w:style>
  <w:style w:type="numbering" w:styleId="WW8Num10">
    <w:name w:val="WW8Num10"/>
    <w:qFormat/>
  </w:style>
  <w:style w:type="numbering" w:styleId="WW8Num11">
    <w:name w:val="WW8Num11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348</TotalTime>
  <Application>LibreOffice/6.1.4.2$Windows_X86_64 LibreOffice_project/9d0f32d1f0b509096fd65e0d4bec26ddd1938fd3</Application>
  <Pages>5</Pages>
  <Words>1356</Words>
  <Characters>8090</Characters>
  <CharactersWithSpaces>9307</CharactersWithSpaces>
  <Paragraphs>196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2016-01-30T15:32:00Z</dcterms:created>
  <dc:creator>EK</dc:creator>
  <dc:description/>
  <dc:language>sk-SK</dc:language>
  <cp:lastModifiedBy/>
  <cp:lastPrinted>2019-01-11T10:52:00Z</cp:lastPrinted>
  <dcterms:modified xsi:type="dcterms:W3CDTF">2021-11-22T09:54:22Z</dcterms:modified>
  <cp:revision>28</cp:revision>
  <dc:subject/>
  <dc:title>Opatrenie</dc:title>
</cp:coreProperties>
</file>