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media/image3.jpeg" ContentType="image/jpeg"/>
  <Override PartName="/word/media/image4.jpeg" ContentType="image/jpeg"/>
  <Override PartName="/word/media/image5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  <w:bookmarkStart w:id="0" w:name="_GoBack"/>
      <w:bookmarkStart w:id="1" w:name="_GoBack"/>
      <w:bookmarkEnd w:id="1"/>
    </w:p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jc w:val="center"/>
        <w:rPr>
          <w:rFonts w:ascii="Baskerville Old Face" w:hAnsi="Baskerville Old Face"/>
          <w:b/>
          <w:b/>
          <w:sz w:val="40"/>
          <w:szCs w:val="40"/>
        </w:rPr>
      </w:pPr>
      <w:r>
        <w:rPr>
          <w:rFonts w:ascii="Baskerville Old Face" w:hAnsi="Baskerville Old Face"/>
          <w:b/>
          <w:sz w:val="40"/>
          <w:szCs w:val="40"/>
        </w:rPr>
      </w:r>
    </w:p>
    <w:p>
      <w:pPr>
        <w:pStyle w:val="Normal"/>
        <w:jc w:val="center"/>
        <w:rPr>
          <w:rFonts w:ascii="Bodoni MT Black" w:hAnsi="Bodoni MT Black"/>
          <w:b/>
          <w:b/>
          <w:sz w:val="52"/>
          <w:szCs w:val="52"/>
        </w:rPr>
      </w:pPr>
      <w:r>
        <w:rPr>
          <w:rFonts w:ascii="Bodoni MT Black" w:hAnsi="Bodoni MT Black"/>
          <w:b/>
          <w:sz w:val="52"/>
          <w:szCs w:val="52"/>
        </w:rPr>
        <w:t>Individuálna výro</w:t>
      </w:r>
      <w:r>
        <w:rPr>
          <w:b/>
          <w:sz w:val="52"/>
          <w:szCs w:val="52"/>
        </w:rPr>
        <w:t>č</w:t>
      </w:r>
      <w:r>
        <w:rPr>
          <w:rFonts w:ascii="Bodoni MT Black" w:hAnsi="Bodoni MT Black"/>
          <w:b/>
          <w:sz w:val="52"/>
          <w:szCs w:val="52"/>
        </w:rPr>
        <w:t>ná správa</w:t>
      </w:r>
    </w:p>
    <w:p>
      <w:pPr>
        <w:pStyle w:val="Normal"/>
        <w:jc w:val="center"/>
        <w:rPr>
          <w:rFonts w:ascii="Bodoni MT Black" w:hAnsi="Bodoni MT Black"/>
          <w:b/>
          <w:b/>
          <w:sz w:val="52"/>
          <w:szCs w:val="52"/>
        </w:rPr>
      </w:pPr>
      <w:r>
        <w:rPr>
          <w:rFonts w:ascii="Bodoni MT Black" w:hAnsi="Bodoni MT Black"/>
          <w:b/>
          <w:sz w:val="52"/>
          <w:szCs w:val="52"/>
        </w:rPr>
      </w:r>
    </w:p>
    <w:p>
      <w:pPr>
        <w:pStyle w:val="Normal"/>
        <w:jc w:val="center"/>
        <w:rPr>
          <w:rFonts w:ascii="Bodoni MT Black" w:hAnsi="Bodoni MT Black"/>
          <w:b/>
          <w:b/>
          <w:i/>
          <w:i/>
          <w:sz w:val="52"/>
          <w:szCs w:val="52"/>
        </w:rPr>
      </w:pPr>
      <w:r>
        <w:rPr>
          <w:rFonts w:ascii="Bodoni MT Black" w:hAnsi="Bodoni MT Black"/>
          <w:b/>
          <w:sz w:val="52"/>
          <w:szCs w:val="52"/>
        </w:rPr>
        <w:t xml:space="preserve">Obce </w:t>
      </w:r>
      <w:r>
        <w:rPr>
          <w:rFonts w:ascii="Bodoni MT Black" w:hAnsi="Bodoni MT Black"/>
          <w:b/>
          <w:i/>
          <w:sz w:val="52"/>
          <w:szCs w:val="52"/>
        </w:rPr>
        <w:t>Kožany</w:t>
      </w:r>
    </w:p>
    <w:p>
      <w:pPr>
        <w:pStyle w:val="Normal"/>
        <w:jc w:val="center"/>
        <w:rPr>
          <w:rFonts w:ascii="Bodoni MT Black" w:hAnsi="Bodoni MT Black"/>
          <w:b/>
          <w:b/>
          <w:sz w:val="52"/>
          <w:szCs w:val="52"/>
        </w:rPr>
      </w:pPr>
      <w:r>
        <w:rPr>
          <w:rFonts w:ascii="Bodoni MT Black" w:hAnsi="Bodoni MT Black"/>
          <w:b/>
          <w:sz w:val="52"/>
          <w:szCs w:val="52"/>
        </w:rPr>
      </w:r>
    </w:p>
    <w:p>
      <w:pPr>
        <w:pStyle w:val="Normal"/>
        <w:jc w:val="center"/>
        <w:rPr>
          <w:b/>
          <w:b/>
        </w:rPr>
      </w:pPr>
      <w:r>
        <w:rPr>
          <w:rFonts w:ascii="Bodoni MT Black" w:hAnsi="Bodoni MT Black"/>
          <w:b/>
          <w:sz w:val="52"/>
          <w:szCs w:val="52"/>
        </w:rPr>
        <w:t>za rok 2020</w:t>
      </w:r>
    </w:p>
    <w:p>
      <w:pPr>
        <w:pStyle w:val="Normal"/>
        <w:jc w:val="center"/>
        <w:rPr>
          <w:rFonts w:ascii="Arial Rounded MT Bold" w:hAnsi="Arial Rounded MT Bold"/>
          <w:b/>
          <w:b/>
          <w:sz w:val="44"/>
          <w:szCs w:val="44"/>
        </w:rPr>
      </w:pPr>
      <w:r>
        <w:rPr>
          <w:rFonts w:ascii="Arial Rounded MT Bold" w:hAnsi="Arial Rounded MT Bold"/>
          <w:b/>
          <w:sz w:val="44"/>
          <w:szCs w:val="44"/>
        </w:rPr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/>
        <w:drawing>
          <wp:inline distT="0" distB="0" distL="0" distR="0">
            <wp:extent cx="2362200" cy="2343150"/>
            <wp:effectExtent l="0" t="0" r="0" b="0"/>
            <wp:docPr id="1" name="Obrázok 1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Erb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44"/>
          <w:szCs w:val="44"/>
        </w:rPr>
        <w:t>Peter Rajnič</w:t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40"/>
          <w:szCs w:val="40"/>
        </w:rPr>
        <w:t>starosta obce</w:t>
      </w:r>
    </w:p>
    <w:p>
      <w:pPr>
        <w:pStyle w:val="Normal"/>
        <w:tabs>
          <w:tab w:val="clear" w:pos="708"/>
          <w:tab w:val="right" w:pos="8820" w:leader="none"/>
        </w:tabs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708"/>
          <w:tab w:val="right" w:pos="8820" w:leader="none"/>
        </w:tabs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708"/>
          <w:tab w:val="right" w:pos="8820" w:leader="none"/>
        </w:tabs>
        <w:spacing w:lineRule="auto" w:line="276"/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708"/>
          <w:tab w:val="right" w:pos="8820" w:leader="none"/>
        </w:tabs>
        <w:spacing w:lineRule="auto" w:line="276"/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708"/>
          <w:tab w:val="right" w:pos="8820" w:leader="none"/>
        </w:tabs>
        <w:spacing w:lineRule="auto" w:line="276"/>
        <w:jc w:val="both"/>
        <w:rPr>
          <w:b/>
          <w:b/>
        </w:rPr>
      </w:pPr>
      <w:r>
        <w:rPr>
          <w:b/>
        </w:rPr>
        <w:t>OBSAH</w:t>
        <w:tab/>
        <w:t>str.</w:t>
      </w:r>
    </w:p>
    <w:p>
      <w:pPr>
        <w:pStyle w:val="Normal"/>
        <w:numPr>
          <w:ilvl w:val="0"/>
          <w:numId w:val="3"/>
        </w:numPr>
        <w:spacing w:lineRule="auto" w:line="276"/>
        <w:ind w:left="284" w:hanging="284"/>
        <w:rPr/>
      </w:pPr>
      <w:r>
        <w:rPr/>
        <w:t xml:space="preserve">Úvodné slovo starostu obce </w:t>
        <w:tab/>
        <w:t xml:space="preserve"> </w:t>
        <w:tab/>
        <w:tab/>
        <w:tab/>
        <w:tab/>
        <w:tab/>
        <w:tab/>
        <w:tab/>
        <w:t>3</w:t>
      </w:r>
    </w:p>
    <w:p>
      <w:pPr>
        <w:pStyle w:val="Normal"/>
        <w:numPr>
          <w:ilvl w:val="0"/>
          <w:numId w:val="3"/>
        </w:numPr>
        <w:spacing w:lineRule="auto" w:line="276"/>
        <w:ind w:left="284" w:hanging="284"/>
        <w:rPr/>
      </w:pPr>
      <w:r>
        <w:rPr/>
        <w:t>Identifikačné údaje obce</w:t>
        <w:tab/>
        <w:tab/>
        <w:tab/>
        <w:tab/>
        <w:tab/>
        <w:tab/>
        <w:tab/>
        <w:tab/>
        <w:tab/>
        <w:t>3</w:t>
      </w:r>
    </w:p>
    <w:p>
      <w:pPr>
        <w:pStyle w:val="Normal"/>
        <w:numPr>
          <w:ilvl w:val="0"/>
          <w:numId w:val="3"/>
        </w:numPr>
        <w:spacing w:lineRule="auto" w:line="276"/>
        <w:ind w:left="284" w:hanging="284"/>
        <w:rPr/>
      </w:pPr>
      <w:r>
        <w:rPr/>
        <w:t>Organizačná štruktúra obce a identifikácia vedúcich predstaviteľov</w:t>
        <w:tab/>
        <w:tab/>
        <w:tab/>
        <w:t>3</w:t>
      </w:r>
    </w:p>
    <w:p>
      <w:pPr>
        <w:pStyle w:val="Normal"/>
        <w:numPr>
          <w:ilvl w:val="0"/>
          <w:numId w:val="3"/>
        </w:numPr>
        <w:spacing w:lineRule="auto" w:line="276"/>
        <w:ind w:left="284" w:hanging="284"/>
        <w:rPr/>
      </w:pPr>
      <w:r>
        <w:rPr/>
        <w:t xml:space="preserve">Poslanie, vízie, ciele </w:t>
        <w:tab/>
        <w:tab/>
        <w:tab/>
        <w:tab/>
        <w:tab/>
        <w:tab/>
        <w:tab/>
        <w:tab/>
        <w:tab/>
        <w:t>3</w:t>
      </w:r>
    </w:p>
    <w:p>
      <w:pPr>
        <w:pStyle w:val="Normal"/>
        <w:numPr>
          <w:ilvl w:val="0"/>
          <w:numId w:val="3"/>
        </w:numPr>
        <w:spacing w:lineRule="auto" w:line="276"/>
        <w:ind w:left="284" w:hanging="284"/>
        <w:rPr/>
      </w:pPr>
      <w:r>
        <w:rPr/>
        <w:t>Základná charakteristika obce</w:t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</w:t>
      </w:r>
      <w:r>
        <w:rPr/>
        <w:t>5.1.  Geografické údaje</w:t>
        <w:tab/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clear" w:pos="708"/>
          <w:tab w:val="right" w:pos="-5670" w:leader="none"/>
        </w:tabs>
        <w:spacing w:lineRule="auto" w:line="276"/>
        <w:jc w:val="both"/>
        <w:rPr/>
      </w:pPr>
      <w:r>
        <w:rPr/>
        <w:t xml:space="preserve">    </w:t>
      </w:r>
      <w:r>
        <w:rPr/>
        <w:t>5.2.  Demografické údaje</w:t>
        <w:tab/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clear" w:pos="708"/>
          <w:tab w:val="right" w:pos="-5670" w:leader="none"/>
        </w:tabs>
        <w:spacing w:lineRule="auto" w:line="276"/>
        <w:jc w:val="both"/>
        <w:rPr/>
      </w:pPr>
      <w:r>
        <w:rPr/>
        <w:t xml:space="preserve">    </w:t>
      </w:r>
      <w:r>
        <w:rPr/>
        <w:t>5.3.  Ekonomické údaje</w:t>
        <w:tab/>
        <w:tab/>
        <w:tab/>
        <w:tab/>
        <w:tab/>
        <w:tab/>
        <w:tab/>
        <w:tab/>
        <w:tab/>
        <w:t>4</w:t>
      </w:r>
    </w:p>
    <w:p>
      <w:pPr>
        <w:pStyle w:val="Normal"/>
        <w:spacing w:lineRule="auto" w:line="276"/>
        <w:jc w:val="both"/>
        <w:rPr/>
      </w:pPr>
      <w:r>
        <w:rPr/>
        <w:t xml:space="preserve">    </w:t>
      </w:r>
      <w:r>
        <w:rPr/>
        <w:t>5.4.  Symboly obce</w:t>
        <w:tab/>
        <w:tab/>
        <w:tab/>
        <w:tab/>
        <w:tab/>
        <w:tab/>
        <w:tab/>
        <w:tab/>
        <w:tab/>
        <w:tab/>
        <w:t>5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</w:t>
      </w:r>
      <w:r>
        <w:rPr/>
        <w:t>5.5.  Logo obce</w:t>
        <w:tab/>
        <w:tab/>
        <w:tab/>
        <w:tab/>
        <w:tab/>
        <w:tab/>
        <w:tab/>
        <w:tab/>
        <w:tab/>
        <w:tab/>
        <w:t>5</w:t>
      </w:r>
    </w:p>
    <w:p>
      <w:pPr>
        <w:pStyle w:val="Normal"/>
        <w:tabs>
          <w:tab w:val="clear" w:pos="708"/>
          <w:tab w:val="right" w:pos="-5670" w:leader="none"/>
        </w:tabs>
        <w:spacing w:lineRule="auto" w:line="276"/>
        <w:jc w:val="both"/>
        <w:rPr/>
      </w:pPr>
      <w:r>
        <w:rPr/>
        <w:t xml:space="preserve">    </w:t>
      </w:r>
      <w:r>
        <w:rPr/>
        <w:t>5.6.  História obce</w:t>
        <w:tab/>
        <w:tab/>
        <w:tab/>
        <w:tab/>
        <w:tab/>
        <w:tab/>
        <w:tab/>
        <w:tab/>
        <w:tab/>
        <w:tab/>
        <w:t>5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</w:t>
      </w:r>
      <w:r>
        <w:rPr/>
        <w:t>5.7.  Pamiatky</w:t>
        <w:tab/>
        <w:tab/>
        <w:tab/>
        <w:tab/>
        <w:tab/>
        <w:tab/>
        <w:tab/>
        <w:tab/>
        <w:tab/>
        <w:tab/>
        <w:t>5</w:t>
      </w:r>
    </w:p>
    <w:p>
      <w:pPr>
        <w:pStyle w:val="Normal"/>
        <w:spacing w:lineRule="auto" w:line="276"/>
        <w:jc w:val="both"/>
        <w:rPr/>
      </w:pPr>
      <w:r>
        <w:rPr/>
        <w:t xml:space="preserve">    </w:t>
      </w:r>
      <w:r>
        <w:rPr/>
        <w:t>5.8.  Významné osobnosti obce</w:t>
        <w:tab/>
        <w:tab/>
        <w:tab/>
        <w:tab/>
        <w:tab/>
        <w:tab/>
        <w:tab/>
        <w:tab/>
        <w:t>5</w:t>
      </w:r>
    </w:p>
    <w:p>
      <w:pPr>
        <w:pStyle w:val="Normal"/>
        <w:numPr>
          <w:ilvl w:val="0"/>
          <w:numId w:val="3"/>
        </w:numPr>
        <w:spacing w:lineRule="auto" w:line="276"/>
        <w:ind w:left="284" w:hanging="284"/>
        <w:rPr/>
      </w:pPr>
      <w:r>
        <w:rPr/>
        <w:t xml:space="preserve">Plnenie funkcií obce (prenesené kompetencie, originálne kompetencie) </w:t>
      </w:r>
    </w:p>
    <w:p>
      <w:pPr>
        <w:pStyle w:val="Normal"/>
        <w:spacing w:lineRule="auto" w:line="276"/>
        <w:ind w:left="284" w:hanging="0"/>
        <w:rPr/>
      </w:pPr>
      <w:r>
        <w:rPr/>
        <w:t>6.1. Výchova a vzdelávanie</w:t>
        <w:tab/>
        <w:tab/>
        <w:tab/>
        <w:tab/>
        <w:tab/>
        <w:tab/>
        <w:tab/>
        <w:tab/>
        <w:t>5</w:t>
      </w:r>
    </w:p>
    <w:p>
      <w:pPr>
        <w:pStyle w:val="Normal"/>
        <w:spacing w:lineRule="auto" w:line="276"/>
        <w:ind w:left="284" w:hanging="0"/>
        <w:rPr/>
      </w:pPr>
      <w:r>
        <w:rPr/>
        <w:t>6.2. Zdravotníctvo</w:t>
        <w:tab/>
        <w:tab/>
        <w:tab/>
        <w:tab/>
        <w:tab/>
        <w:tab/>
        <w:tab/>
        <w:tab/>
        <w:tab/>
        <w:tab/>
        <w:t>6</w:t>
      </w:r>
    </w:p>
    <w:p>
      <w:pPr>
        <w:pStyle w:val="Normal"/>
        <w:tabs>
          <w:tab w:val="clear" w:pos="708"/>
          <w:tab w:val="right" w:pos="-5670" w:leader="none"/>
        </w:tabs>
        <w:spacing w:lineRule="auto" w:line="276"/>
        <w:jc w:val="both"/>
        <w:rPr/>
      </w:pPr>
      <w:r>
        <w:rPr/>
        <w:t xml:space="preserve">     </w:t>
      </w:r>
      <w:r>
        <w:rPr/>
        <w:t>6.3. Sociálne zabezpečenie</w:t>
        <w:tab/>
        <w:tab/>
        <w:tab/>
        <w:tab/>
        <w:tab/>
        <w:tab/>
        <w:tab/>
        <w:tab/>
        <w:t>6</w:t>
      </w:r>
    </w:p>
    <w:p>
      <w:pPr>
        <w:pStyle w:val="Normal"/>
        <w:tabs>
          <w:tab w:val="clear" w:pos="708"/>
          <w:tab w:val="right" w:pos="-5670" w:leader="none"/>
        </w:tabs>
        <w:spacing w:lineRule="auto" w:line="276"/>
        <w:jc w:val="both"/>
        <w:rPr/>
      </w:pPr>
      <w:r>
        <w:rPr/>
        <w:t xml:space="preserve">     </w:t>
      </w:r>
      <w:r>
        <w:rPr/>
        <w:t>6.4. Kultúra</w:t>
        <w:tab/>
        <w:tab/>
        <w:tab/>
        <w:tab/>
        <w:tab/>
        <w:tab/>
        <w:tab/>
        <w:tab/>
        <w:tab/>
        <w:tab/>
        <w:t>6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 </w:t>
      </w:r>
      <w:r>
        <w:rPr/>
        <w:t>6.5. Hospodárstvo</w:t>
        <w:tab/>
        <w:tab/>
        <w:tab/>
        <w:tab/>
        <w:tab/>
        <w:tab/>
        <w:tab/>
        <w:tab/>
        <w:tab/>
        <w:tab/>
        <w:t>6</w:t>
      </w:r>
    </w:p>
    <w:p>
      <w:pPr>
        <w:pStyle w:val="Normal"/>
        <w:numPr>
          <w:ilvl w:val="0"/>
          <w:numId w:val="3"/>
        </w:numPr>
        <w:spacing w:lineRule="auto" w:line="276"/>
        <w:ind w:left="284" w:hanging="284"/>
        <w:rPr/>
      </w:pPr>
      <w:r>
        <w:rPr/>
        <w:t>Informácia o vývoji obce z pohľadu rozpočtovníctva</w:t>
        <w:tab/>
        <w:tab/>
        <w:tab/>
        <w:tab/>
        <w:tab/>
        <w:t>5</w:t>
      </w:r>
    </w:p>
    <w:p>
      <w:pPr>
        <w:pStyle w:val="Normal"/>
        <w:spacing w:lineRule="auto" w:line="276"/>
        <w:jc w:val="both"/>
        <w:rPr/>
      </w:pPr>
      <w:r>
        <w:rPr/>
        <w:t xml:space="preserve">    </w:t>
      </w:r>
      <w:r>
        <w:rPr/>
        <w:t>7.1.  Plnenie príjmov a čerpanie výdavkov za rok 2020</w:t>
        <w:tab/>
        <w:tab/>
        <w:tab/>
        <w:t xml:space="preserve">                      6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</w:t>
      </w:r>
      <w:r>
        <w:rPr/>
        <w:t>7.2.  Prebytok/schodok rozpočtového hospodárenia za rok 2020</w:t>
        <w:tab/>
        <w:tab/>
        <w:tab/>
        <w:t xml:space="preserve">           7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</w:t>
      </w:r>
      <w:r>
        <w:rPr/>
        <w:t>7.3.  Rozpočet na roky 2020 - 2022</w:t>
        <w:tab/>
        <w:tab/>
        <w:tab/>
        <w:tab/>
        <w:tab/>
        <w:tab/>
        <w:tab/>
        <w:t>7</w:t>
      </w:r>
    </w:p>
    <w:p>
      <w:pPr>
        <w:pStyle w:val="Normal"/>
        <w:numPr>
          <w:ilvl w:val="0"/>
          <w:numId w:val="3"/>
        </w:numPr>
        <w:spacing w:lineRule="auto" w:line="276"/>
        <w:ind w:left="284" w:hanging="284"/>
        <w:rPr/>
      </w:pPr>
      <w:r>
        <w:rPr/>
        <w:t xml:space="preserve">Informácia o vývoji obce z pohľadu účtovníctva </w:t>
        <w:tab/>
        <w:tab/>
        <w:tab/>
        <w:tab/>
        <w:tab/>
        <w:t>8</w:t>
      </w:r>
    </w:p>
    <w:p>
      <w:pPr>
        <w:pStyle w:val="Normal"/>
        <w:tabs>
          <w:tab w:val="clear" w:pos="708"/>
          <w:tab w:val="right" w:pos="-5670" w:leader="none"/>
        </w:tabs>
        <w:spacing w:lineRule="auto" w:line="276"/>
        <w:jc w:val="both"/>
        <w:rPr/>
      </w:pPr>
      <w:r>
        <w:rPr/>
        <w:t xml:space="preserve">     </w:t>
      </w:r>
      <w:r>
        <w:rPr/>
        <w:t>8.1.  Majetok</w:t>
        <w:tab/>
        <w:tab/>
        <w:tab/>
        <w:tab/>
        <w:tab/>
        <w:tab/>
        <w:tab/>
        <w:tab/>
        <w:tab/>
        <w:tab/>
        <w:t>8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 </w:t>
      </w:r>
      <w:r>
        <w:rPr/>
        <w:t>8.2.  Zdroje krytia</w:t>
        <w:tab/>
        <w:tab/>
        <w:tab/>
        <w:tab/>
        <w:tab/>
        <w:tab/>
        <w:tab/>
        <w:tab/>
        <w:tab/>
        <w:tab/>
        <w:t>8</w:t>
      </w:r>
    </w:p>
    <w:p>
      <w:pPr>
        <w:pStyle w:val="Normal"/>
        <w:spacing w:lineRule="auto" w:line="276"/>
        <w:jc w:val="both"/>
        <w:rPr/>
      </w:pPr>
      <w:r>
        <w:rPr/>
        <w:t xml:space="preserve">     </w:t>
      </w:r>
      <w:r>
        <w:rPr/>
        <w:t>8.3.  Pohľadávky</w:t>
        <w:tab/>
        <w:tab/>
        <w:tab/>
        <w:tab/>
        <w:tab/>
        <w:tab/>
        <w:tab/>
        <w:tab/>
        <w:tab/>
        <w:tab/>
        <w:t>9</w:t>
      </w:r>
    </w:p>
    <w:p>
      <w:pPr>
        <w:pStyle w:val="Normal"/>
        <w:tabs>
          <w:tab w:val="clear" w:pos="708"/>
          <w:tab w:val="right" w:pos="-5670" w:leader="none"/>
        </w:tabs>
        <w:spacing w:lineRule="auto" w:line="276"/>
        <w:jc w:val="both"/>
        <w:rPr/>
      </w:pPr>
      <w:r>
        <w:rPr/>
        <w:t xml:space="preserve">     </w:t>
      </w:r>
      <w:r>
        <w:rPr/>
        <w:t>8.4.  Záväzky</w:t>
        <w:tab/>
        <w:tab/>
        <w:tab/>
        <w:tab/>
        <w:tab/>
        <w:tab/>
        <w:tab/>
        <w:tab/>
        <w:tab/>
        <w:tab/>
        <w:t>9</w:t>
      </w:r>
    </w:p>
    <w:p>
      <w:pPr>
        <w:pStyle w:val="Normal"/>
        <w:numPr>
          <w:ilvl w:val="0"/>
          <w:numId w:val="3"/>
        </w:numPr>
        <w:spacing w:lineRule="auto" w:line="276"/>
        <w:ind w:left="284" w:hanging="284"/>
        <w:rPr/>
      </w:pPr>
      <w:r>
        <w:rPr/>
        <w:t>Hospodársky výsledok za rok 2020 - vývoj nákladov a výnosov</w:t>
        <w:tab/>
        <w:tab/>
        <w:tab/>
        <w:t>9</w:t>
      </w:r>
    </w:p>
    <w:p>
      <w:pPr>
        <w:pStyle w:val="Normal"/>
        <w:numPr>
          <w:ilvl w:val="0"/>
          <w:numId w:val="3"/>
        </w:numPr>
        <w:spacing w:lineRule="auto" w:line="276"/>
        <w:ind w:left="426" w:hanging="426"/>
        <w:rPr/>
      </w:pPr>
      <w:r>
        <w:rPr/>
        <w:t xml:space="preserve"> </w:t>
      </w:r>
      <w:r>
        <w:rPr/>
        <w:t>Ostatné dôležité informácie</w:t>
        <w:tab/>
        <w:tab/>
        <w:tab/>
        <w:tab/>
        <w:tab/>
        <w:tab/>
        <w:tab/>
        <w:tab/>
        <w:t>10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   </w:t>
      </w:r>
      <w:r>
        <w:rPr/>
        <w:t>10.1.  Prijaté granty a transfery</w:t>
        <w:tab/>
        <w:tab/>
        <w:tab/>
        <w:tab/>
        <w:tab/>
        <w:tab/>
        <w:tab/>
        <w:tab/>
        <w:t>10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   </w:t>
      </w:r>
      <w:r>
        <w:rPr/>
        <w:t>10.2.  Poskytnuté dotácie</w:t>
        <w:tab/>
        <w:tab/>
        <w:tab/>
        <w:tab/>
        <w:tab/>
        <w:tab/>
        <w:tab/>
        <w:tab/>
        <w:t>10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   </w:t>
      </w:r>
      <w:r>
        <w:rPr/>
        <w:t>10.3.  Významné investičné akcie v roku 2020</w:t>
        <w:tab/>
        <w:tab/>
        <w:tab/>
        <w:tab/>
        <w:tab/>
        <w:tab/>
        <w:t>10</w:t>
      </w:r>
    </w:p>
    <w:p>
      <w:pPr>
        <w:pStyle w:val="Normal"/>
        <w:tabs>
          <w:tab w:val="clear" w:pos="708"/>
          <w:tab w:val="right" w:pos="-5670" w:leader="none"/>
        </w:tabs>
        <w:spacing w:lineRule="auto" w:line="276"/>
        <w:jc w:val="both"/>
        <w:rPr/>
      </w:pPr>
      <w:r>
        <w:rPr/>
        <w:t xml:space="preserve">       </w:t>
      </w:r>
      <w:r>
        <w:rPr/>
        <w:t>10.4.  Predpokladaný budúci vývoj činnosti</w:t>
        <w:tab/>
        <w:tab/>
        <w:tab/>
        <w:tab/>
        <w:tab/>
        <w:tab/>
        <w:t>10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   </w:t>
      </w:r>
      <w:r>
        <w:rPr/>
        <w:t>10.5   Udalosti osobitného významu po skončení účtovného obdobia</w:t>
        <w:tab/>
        <w:tab/>
        <w:tab/>
        <w:t>11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  <w:t xml:space="preserve">       </w:t>
      </w:r>
      <w:r>
        <w:rPr/>
        <w:t xml:space="preserve">10.6. Významné riziká a neistoty, ktorým je účtovná jednotka vystavená </w:t>
        <w:tab/>
        <w:tab/>
        <w:t>11</w:t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</w:r>
    </w:p>
    <w:p>
      <w:pPr>
        <w:pStyle w:val="Normal"/>
        <w:tabs>
          <w:tab w:val="clear" w:pos="708"/>
          <w:tab w:val="right" w:pos="-5529" w:leader="none"/>
        </w:tabs>
        <w:spacing w:lineRule="auto" w:line="276"/>
        <w:jc w:val="both"/>
        <w:rPr/>
      </w:pPr>
      <w:r>
        <w:rPr/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</w:p>
    <w:p>
      <w:pPr>
        <w:pStyle w:val="Normal"/>
        <w:spacing w:lineRule="auto" w:line="360"/>
        <w:ind w:firstLine="284"/>
        <w:rPr/>
      </w:pPr>
      <w:r>
        <w:rPr/>
        <w:t>Starostom obce Kožany som od roku 2010, postupne sa oboznamujem s problematikou výkonu funkcie starostu obce.</w:t>
      </w:r>
    </w:p>
    <w:p>
      <w:pPr>
        <w:pStyle w:val="Normal"/>
        <w:spacing w:lineRule="auto" w:line="360"/>
        <w:ind w:firstLine="284"/>
        <w:rPr>
          <w:b/>
          <w:b/>
          <w:sz w:val="28"/>
          <w:szCs w:val="28"/>
        </w:rPr>
      </w:pPr>
      <w:r>
        <w:rPr/>
        <w:t>Individuálna výročná správa obce Kožany za rok 2020 je zostavená na základe výsledkov ekonomických ukazovateľov počas celého roka 2020. Obec sa zameriavala hlavne na plnenie zákonom daných povinností obce s cieľom vychádzať v ústrety  občanom obce.</w:t>
      </w:r>
      <w:r>
        <w:rPr>
          <w:b/>
          <w:sz w:val="28"/>
          <w:szCs w:val="28"/>
        </w:rPr>
        <w:tab/>
        <w:tab/>
        <w:tab/>
        <w:tab/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color w:val="000000"/>
        </w:rPr>
      </w:pPr>
      <w:r>
        <w:rPr>
          <w:b/>
          <w:color w:val="000000"/>
          <w:sz w:val="28"/>
          <w:szCs w:val="28"/>
        </w:rPr>
        <w:t>Identifikačné údaje obce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Názov: OBEC KOŽANY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Sídlo: Kožany 21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IČO: 00322172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Štatutárny orgán obce: Peter Rajnič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Telefón: 0907 908 572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Mail:obeckozany@gmail.com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 xml:space="preserve">Webová stránka: </w:t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color w:val="000000"/>
        </w:rPr>
      </w:pPr>
      <w:r>
        <w:rPr>
          <w:b/>
          <w:color w:val="000000"/>
          <w:sz w:val="28"/>
          <w:szCs w:val="28"/>
        </w:rPr>
        <w:t>Organizačná štruktúra obce a identifikácia vedúcich predstaviteľov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Starosta obce: Peter Rajnič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Zástupca starostu obce: Eva Šangriková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Hlavný kontrolór obce: Terézia Miháliková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 xml:space="preserve">Obecné zastupiteľstvo: </w:t>
      </w:r>
      <w:r>
        <w:rPr>
          <w:color w:val="000000"/>
        </w:rPr>
        <w:t>Ján Gall, Tomáš Martin Horvát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b/>
          <w:color w:val="000000"/>
        </w:rPr>
        <w:t>Rozpočtové organizácie</w:t>
      </w:r>
      <w:r>
        <w:rPr>
          <w:color w:val="000000"/>
        </w:rPr>
        <w:t xml:space="preserve"> obce:  obec nemá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b/>
          <w:color w:val="000000"/>
        </w:rPr>
        <w:t>Príspevkové organizácie</w:t>
      </w:r>
      <w:r>
        <w:rPr>
          <w:color w:val="000000"/>
        </w:rPr>
        <w:t xml:space="preserve"> obce: obec nemá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b/>
          <w:color w:val="000000"/>
        </w:rPr>
        <w:t>Neziskové organizácie</w:t>
      </w:r>
      <w:r>
        <w:rPr>
          <w:color w:val="000000"/>
        </w:rPr>
        <w:t xml:space="preserve"> založené obcou: obec nemá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b/>
          <w:color w:val="000000"/>
        </w:rPr>
        <w:t>Obchodné spoločnosti</w:t>
      </w:r>
      <w:r>
        <w:rPr>
          <w:color w:val="000000"/>
        </w:rPr>
        <w:t xml:space="preserve"> založené obcou: obec nemá</w:t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color w:val="000000"/>
        </w:rPr>
      </w:pPr>
      <w:r>
        <w:rPr>
          <w:b/>
          <w:color w:val="000000"/>
          <w:sz w:val="28"/>
          <w:szCs w:val="28"/>
        </w:rPr>
        <w:t xml:space="preserve">Poslanie, vízie, ciele 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>Poslanie obce: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>Základnou úlohou obce pri výkone samosprávy je starostlivosť o všestranný rozvoj jej územia a o potreby jej obyvateľov. Obec financuje svoje potreby predovšetkým z vlastných príjmov, z dotácií so ŠR  Na plnenie svojich úloh môže použiť návratné zdroje financovania, mimorozpočtové zdroje.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>Majetkom obce sú vecí vo vlastníctve obce a majetkové práva obce.  Majetok obce slúži na plnenie úloh obce, má sa zveľaďovať a zhodnocovať. Neprípustné je darovanie obecného majetku. Majetok možno použiť na verejné účely, podnikateľskú činnosť a na výkon samosprávy obce. Zásady hospodárenia s majetkom obce určuje obecné zastupiteľstvo.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>Podiely na daniach v správe štátu upravuje zákon č. 564/2004 Z.z. o rozpočtovom určení výnosu dane z príjmov územnej samospráve a o zmene a doplnení niektorých zákonov.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>Dotácie na úhradu preneseného výkonu štátnej správy  sa zabezpečujú prostredníctvom Ministerstva financií SR, alebo správcu rozpočtovej kapitoly  ŠR, do ktorého vecnej pôsobností patrí činnosť, ktorá sa má financovať.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 xml:space="preserve">Obec ako subjekt verejnej správy zadefinovaný v § 3 zákona 523/2004 Z.z. o rozpočtových pravidlách verejnej správy v znení neskorších predpisov, je právnickou osobou zapísanou v registri organizácií vedenom Štatistickým úradom SR podľa zákona 540/2001 Z.z. o štátnej štatistike. Všeobecnou legislatívnou normou upravujúcou účtovníctvo vrátane účtovnej závierky rozpočtových organizácií a obcí je zákon o účtovníctve v znení neskorších predpisov. V zmysle tohto zákona účtujú obce  v sústave podvojného účtovníctva. 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 xml:space="preserve">Obec ako samostatný územný samosprávny celok sa riadi zákonom č. 369/1990 Zb. o obecnom zriadení v znení neskorších zmien a doplnkov a Ústavou Slovenskej republiky. Základným dokumentom strategického plánovania Obce Kožany je  Program hospodárskeho a sociálneho rozvoja obce ako strednodobé strategické dokumenty, ktoré určujú smerovanie samosprávy 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>Vízie a ciele obce:</w:t>
      </w:r>
    </w:p>
    <w:p>
      <w:pPr>
        <w:pStyle w:val="Normal"/>
        <w:numPr>
          <w:ilvl w:val="0"/>
          <w:numId w:val="5"/>
        </w:numPr>
        <w:spacing w:lineRule="auto" w:line="360"/>
        <w:rPr>
          <w:color w:val="000000"/>
        </w:rPr>
      </w:pPr>
      <w:r>
        <w:rPr>
          <w:color w:val="000000"/>
        </w:rPr>
        <w:t>rekonštrukcia Domu smútku</w:t>
      </w:r>
    </w:p>
    <w:p>
      <w:pPr>
        <w:pStyle w:val="Normal"/>
        <w:numPr>
          <w:ilvl w:val="0"/>
          <w:numId w:val="5"/>
        </w:numPr>
        <w:spacing w:lineRule="auto" w:line="360"/>
        <w:rPr>
          <w:color w:val="000000"/>
        </w:rPr>
      </w:pPr>
      <w:r>
        <w:rPr>
          <w:color w:val="000000"/>
        </w:rPr>
        <w:t>oprava KSB</w:t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jc w:val="both"/>
        <w:rPr>
          <w:color w:val="000000"/>
        </w:rPr>
      </w:pPr>
      <w:r>
        <w:rPr>
          <w:b/>
          <w:color w:val="000000"/>
          <w:sz w:val="28"/>
          <w:szCs w:val="28"/>
        </w:rPr>
        <w:t xml:space="preserve">Základná charakteristika obce 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 xml:space="preserve">     </w:t>
      </w:r>
      <w:r>
        <w:rPr>
          <w:color w:val="000000"/>
        </w:rP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color w:val="000000"/>
        </w:rPr>
      </w:pPr>
      <w:r>
        <w:rPr>
          <w:b/>
          <w:color w:val="000000"/>
        </w:rPr>
        <w:t>Geografické údaje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Geografická poloha obce : Kožany ležia v Nízkych Beskydách v doline ľavostranného prítoku Tople. Nadmorská výška v strede obce je 244 m n. m. a v chotári 220 - 400 m n. m. Povrch chotára je mierne zvlnená pahorkati</w:t>
        <w:softHyphen/>
        <w:t>na na treťohornom flyši. Súvislý les s porastom buka a borovice je len v južnej časti.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Susedné mestá a obce : Kučín, Šapinec, Kurima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Celková rozloha obce : 520 ha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Nadmorská výška : 244m n. m.</w:t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color w:val="000000"/>
        </w:rPr>
      </w:pPr>
      <w:r>
        <w:rPr>
          <w:b/>
          <w:color w:val="000000"/>
        </w:rPr>
        <w:t xml:space="preserve">Demografické údaje 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 xml:space="preserve">Hustota  a počet obyvateľov : </w:t>
      </w:r>
      <w:r>
        <w:rPr>
          <w:color w:val="000000"/>
        </w:rPr>
        <w:t>105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>Národnostná štruktúra : Slovenská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 xml:space="preserve">Štruktúra obyvateľstva podľa náboženského významu : greckokatolícka, rímskokatolická, evanielická </w:t>
      </w:r>
    </w:p>
    <w:p>
      <w:pPr>
        <w:pStyle w:val="Normal"/>
        <w:spacing w:lineRule="auto" w:line="360"/>
        <w:rPr>
          <w:color w:val="000000"/>
        </w:rPr>
      </w:pPr>
      <w:r>
        <w:rPr>
          <w:color w:val="000000"/>
        </w:rPr>
        <w:t>Vývoj počtu obyvateľov : stagnácia</w:t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color w:val="000000"/>
        </w:rPr>
      </w:pPr>
      <w:r>
        <w:rPr>
          <w:b/>
          <w:color w:val="000000"/>
        </w:rPr>
        <w:t xml:space="preserve">Ekonomické údaje 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 xml:space="preserve">Nezamestnanosť v obci : 2 občanov 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Nezamestnanosť v okrese :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Vývoj nezamestnanosti : stagnuje</w:t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Symboly obce</w:t>
      </w:r>
    </w:p>
    <w:p>
      <w:pPr>
        <w:pStyle w:val="Normal"/>
        <w:spacing w:lineRule="auto" w:line="360"/>
        <w:jc w:val="both"/>
        <w:rPr/>
      </w:pPr>
      <w:r>
        <w:drawing>
          <wp:anchor behindDoc="1" distT="0" distB="0" distL="0" distR="0" simplePos="0" locked="0" layoutInCell="0" allowOverlap="1" relativeHeight="3">
            <wp:simplePos x="0" y="0"/>
            <wp:positionH relativeFrom="column">
              <wp:posOffset>-26670</wp:posOffset>
            </wp:positionH>
            <wp:positionV relativeFrom="paragraph">
              <wp:posOffset>202565</wp:posOffset>
            </wp:positionV>
            <wp:extent cx="892810" cy="887730"/>
            <wp:effectExtent l="0" t="0" r="0" b="0"/>
            <wp:wrapNone/>
            <wp:docPr id="2" name="Obrázok 4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4" descr="Erb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2810" cy="88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1" distT="0" distB="0" distL="0" distR="0" simplePos="0" locked="0" layoutInCell="0" allowOverlap="1" relativeHeight="5">
            <wp:simplePos x="0" y="0"/>
            <wp:positionH relativeFrom="column">
              <wp:posOffset>-26670</wp:posOffset>
            </wp:positionH>
            <wp:positionV relativeFrom="paragraph">
              <wp:posOffset>202565</wp:posOffset>
            </wp:positionV>
            <wp:extent cx="892810" cy="887730"/>
            <wp:effectExtent l="0" t="0" r="0" b="0"/>
            <wp:wrapNone/>
            <wp:docPr id="3" name="Obrázok 8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8" descr="Erb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2810" cy="88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E</w:t>
      </w:r>
      <w:r>
        <w:rPr/>
        <w:t>rb obce :</w:t>
        <w:tab/>
        <w:tab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drawing>
          <wp:anchor behindDoc="1" distT="0" distB="0" distL="0" distR="0" simplePos="0" locked="0" layoutInCell="0" allowOverlap="1" relativeHeight="4">
            <wp:simplePos x="0" y="0"/>
            <wp:positionH relativeFrom="column">
              <wp:posOffset>-26670</wp:posOffset>
            </wp:positionH>
            <wp:positionV relativeFrom="paragraph">
              <wp:posOffset>224790</wp:posOffset>
            </wp:positionV>
            <wp:extent cx="1219200" cy="895350"/>
            <wp:effectExtent l="0" t="0" r="0" b="0"/>
            <wp:wrapNone/>
            <wp:docPr id="4" name="Obrázok 5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5" descr="vlajk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V</w:t>
      </w:r>
      <w:r>
        <w:rPr/>
        <w:t>lajka obce :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  <w:t xml:space="preserve"> 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drawing>
          <wp:anchor behindDoc="1" distT="0" distB="0" distL="0" distR="0" simplePos="0" locked="0" layoutInCell="0" allowOverlap="1" relativeHeight="6">
            <wp:simplePos x="0" y="0"/>
            <wp:positionH relativeFrom="column">
              <wp:posOffset>-26670</wp:posOffset>
            </wp:positionH>
            <wp:positionV relativeFrom="paragraph">
              <wp:posOffset>193040</wp:posOffset>
            </wp:positionV>
            <wp:extent cx="892810" cy="887730"/>
            <wp:effectExtent l="0" t="0" r="0" b="0"/>
            <wp:wrapNone/>
            <wp:docPr id="5" name="Obrázok 9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9" descr="Erb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2810" cy="88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L</w:t>
      </w:r>
      <w:r>
        <w:rPr>
          <w:b/>
        </w:rPr>
        <w:t>ogo obce</w:t>
      </w:r>
    </w:p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spacing w:lineRule="auto" w:line="360"/>
        <w:ind w:left="426" w:hanging="0"/>
        <w:jc w:val="both"/>
        <w:rPr>
          <w:b/>
          <w:b/>
        </w:rPr>
      </w:pPr>
      <w:r>
        <w:rPr>
          <w:b/>
        </w:rPr>
      </w:r>
    </w:p>
    <w:p>
      <w:pPr>
        <w:pStyle w:val="ListParagraph"/>
        <w:rPr>
          <w:b/>
          <w:b/>
        </w:rPr>
      </w:pPr>
      <w:r>
        <w:rPr>
          <w:b/>
        </w:rPr>
      </w:r>
    </w:p>
    <w:p>
      <w:pPr>
        <w:pStyle w:val="Normal"/>
        <w:spacing w:lineRule="auto" w:line="360"/>
        <w:ind w:left="360" w:hanging="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1"/>
          <w:numId w:val="4"/>
        </w:numPr>
        <w:ind w:left="426" w:hanging="426"/>
        <w:jc w:val="both"/>
        <w:rPr>
          <w:b/>
          <w:b/>
        </w:rPr>
      </w:pPr>
      <w:r>
        <w:rPr>
          <w:b/>
        </w:rPr>
        <w:t xml:space="preserve">História obce </w:t>
      </w:r>
    </w:p>
    <w:p>
      <w:pPr>
        <w:pStyle w:val="Normal"/>
        <w:ind w:left="426" w:hanging="0"/>
        <w:jc w:val="both"/>
        <w:rPr>
          <w:b/>
          <w:b/>
        </w:rPr>
      </w:pPr>
      <w:r>
        <w:rPr>
          <w:b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>Osídlenie nastalo koncom eneolitu a začiatkom doby bronzovej – našli sa tu mohyly kultúry východoslovenských mohýl na Blatnom vrchu. Kožany sa spomínajú z roku 1427, keď tu bolo 20 port. Obec je doložená z roku 1427 ako Kozan, neskôr ako Koszany (1786), Kozsán (1808); po maďarsky Kozsán. Patrila Perényiovcom (panstvu Kučín), v polovici 15. storočia panstvu Nový hrad. Obyvatelia chovali a predávali ošípané. V roku 1787 mala obec 27 domov a 202 obyvateľov, v roku 1828 mala 32 domov a 247 obyvateľov. Za I. ČSR pracovali v lesoch a v poľnohospodár</w:t>
        <w:softHyphen/>
        <w:t xml:space="preserve">stve. V chotári pôsobila v roku 1944 partizánska skupina Čapajev. Veľká časť obyvateľov pracovala v Bardejove a Košiciach, pôdu obrábali súkromne hospodáriaci roľníci. </w:t>
      </w:r>
    </w:p>
    <w:p>
      <w:pPr>
        <w:pStyle w:val="Normal"/>
        <w:rPr>
          <w:color w:val="000000"/>
        </w:rPr>
      </w:pPr>
      <w:r>
        <w:rPr>
          <w:color w:val="000000"/>
        </w:rPr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color w:val="000000"/>
        </w:rPr>
      </w:pPr>
      <w:r>
        <w:rPr>
          <w:b/>
          <w:color w:val="000000"/>
        </w:rPr>
        <w:t xml:space="preserve">Pamiatky </w:t>
      </w:r>
    </w:p>
    <w:p>
      <w:pPr>
        <w:pStyle w:val="Normal"/>
        <w:jc w:val="both"/>
        <w:rPr/>
      </w:pPr>
      <w:r>
        <w:rPr>
          <w:rStyle w:val="Strong"/>
          <w:b w:val="false"/>
          <w:color w:val="000000"/>
        </w:rPr>
        <w:t>Kostol gréckokatolícky</w:t>
      </w:r>
      <w:r>
        <w:rPr>
          <w:color w:val="000000"/>
        </w:rPr>
        <w:t xml:space="preserve"> drevený trojpriestorový, východného typu, z 2. polovice 18. storočia; nástenné maľby na kupole z 18. storočia - národná kultúrna pamiatka</w:t>
      </w:r>
    </w:p>
    <w:p>
      <w:pPr>
        <w:pStyle w:val="Normal"/>
        <w:rPr>
          <w:color w:val="000000"/>
        </w:rPr>
      </w:pPr>
      <w:r>
        <w:rPr>
          <w:color w:val="000000"/>
        </w:rPr>
        <w:t>- ikonostas s ikonami zo 17. a 18. storočia</w:t>
      </w:r>
    </w:p>
    <w:p>
      <w:pPr>
        <w:pStyle w:val="Normal"/>
        <w:rPr>
          <w:color w:val="000000"/>
        </w:rPr>
      </w:pPr>
      <w:r>
        <w:rPr>
          <w:color w:val="000000"/>
        </w:rPr>
        <w:t>- ikony Kristus Pantokrátor, Bohrodička Hodegétria a ikona Stretnutia Pána so Simeónom zo 17. a 18. Storočia, ikona sv. Mikuláša z 19. storočia</w:t>
      </w:r>
    </w:p>
    <w:p>
      <w:pPr>
        <w:pStyle w:val="Normal"/>
        <w:rPr>
          <w:color w:val="000000"/>
        </w:rPr>
      </w:pPr>
      <w:r>
        <w:rPr>
          <w:color w:val="000000"/>
        </w:rPr>
        <w:t>- jeden z najstarších zachovaných drevených chrámov na východnom Slovensku</w:t>
      </w:r>
    </w:p>
    <w:p>
      <w:pPr>
        <w:pStyle w:val="Normal"/>
        <w:spacing w:lineRule="auto" w:line="276" w:beforeAutospacing="1" w:afterAutospacing="1"/>
        <w:rPr>
          <w:color w:val="000000"/>
        </w:rPr>
      </w:pPr>
      <w:r>
        <w:rPr>
          <w:color w:val="000000"/>
        </w:rPr>
        <w:t>Kožansko-kurimský mohylník</w:t>
      </w:r>
    </w:p>
    <w:p>
      <w:pPr>
        <w:pStyle w:val="Normal"/>
        <w:numPr>
          <w:ilvl w:val="1"/>
          <w:numId w:val="4"/>
        </w:numPr>
        <w:spacing w:lineRule="auto" w:line="276"/>
        <w:ind w:left="426" w:hanging="426"/>
        <w:jc w:val="both"/>
        <w:rPr>
          <w:color w:val="000000"/>
        </w:rPr>
      </w:pPr>
      <w:r>
        <w:rPr>
          <w:b/>
          <w:color w:val="000000"/>
        </w:rPr>
        <w:t>Významné osobnosti obce</w:t>
      </w:r>
    </w:p>
    <w:p>
      <w:pPr>
        <w:pStyle w:val="Normal"/>
        <w:spacing w:lineRule="auto" w:line="276"/>
        <w:jc w:val="both"/>
        <w:rPr>
          <w:color w:val="000000"/>
        </w:rPr>
      </w:pPr>
      <w:r>
        <w:rPr>
          <w:color w:val="000000"/>
        </w:rPr>
        <w:t>Ing. Pavúk Andrej, pedagóg a vedecký pracovník</w:t>
      </w:r>
    </w:p>
    <w:p>
      <w:pPr>
        <w:pStyle w:val="Normal"/>
        <w:spacing w:lineRule="auto" w:line="276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numPr>
          <w:ilvl w:val="0"/>
          <w:numId w:val="4"/>
        </w:numPr>
        <w:spacing w:lineRule="auto" w:line="276"/>
        <w:ind w:left="284" w:hanging="284"/>
        <w:rPr>
          <w:color w:val="000000"/>
        </w:rPr>
      </w:pPr>
      <w:r>
        <w:rPr>
          <w:b/>
          <w:color w:val="000000"/>
          <w:sz w:val="28"/>
          <w:szCs w:val="28"/>
        </w:rPr>
        <w:t xml:space="preserve">Plnenie funkcií  obce (prenesené kompetencie, originálne kompetencie) </w:t>
      </w:r>
    </w:p>
    <w:p>
      <w:pPr>
        <w:pStyle w:val="Normal"/>
        <w:spacing w:lineRule="auto" w:line="276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numPr>
          <w:ilvl w:val="1"/>
          <w:numId w:val="4"/>
        </w:numPr>
        <w:spacing w:lineRule="auto" w:line="276"/>
        <w:ind w:left="426" w:hanging="426"/>
        <w:jc w:val="both"/>
        <w:rPr>
          <w:color w:val="000000"/>
        </w:rPr>
      </w:pPr>
      <w:r>
        <w:rPr>
          <w:b/>
          <w:color w:val="000000"/>
        </w:rPr>
        <w:t xml:space="preserve">Výchova a vzdelávanie </w:t>
      </w:r>
    </w:p>
    <w:p>
      <w:pPr>
        <w:pStyle w:val="Normal"/>
        <w:spacing w:lineRule="auto" w:line="276"/>
        <w:ind w:left="435" w:hanging="0"/>
        <w:jc w:val="both"/>
        <w:rPr>
          <w:color w:val="000000"/>
        </w:rPr>
      </w:pPr>
      <w:r>
        <w:rPr>
          <w:color w:val="000000"/>
        </w:rPr>
        <w:t>V súčasnosti výchovu a vzdelávanie detí v obci poskytuje: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>
          <w:color w:val="000000"/>
        </w:rPr>
      </w:pPr>
      <w:r>
        <w:rPr>
          <w:color w:val="000000"/>
        </w:rPr>
        <w:t>Základná škola v Kurime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>
          <w:color w:val="000000"/>
        </w:rPr>
      </w:pPr>
      <w:r>
        <w:rPr>
          <w:color w:val="000000"/>
        </w:rPr>
        <w:t>Materská škola v Kučine</w:t>
      </w:r>
    </w:p>
    <w:p>
      <w:pPr>
        <w:pStyle w:val="Normal"/>
        <w:spacing w:lineRule="auto" w:line="276"/>
        <w:ind w:left="435" w:hanging="0"/>
        <w:jc w:val="both"/>
        <w:rPr>
          <w:color w:val="000000"/>
        </w:rPr>
      </w:pPr>
      <w:r>
        <w:rPr>
          <w:color w:val="000000"/>
        </w:rPr>
        <w:t>Na mimoškolské aktivity je zriadená: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>
          <w:color w:val="000000"/>
        </w:rPr>
      </w:pPr>
      <w:r>
        <w:rPr>
          <w:color w:val="000000"/>
        </w:rPr>
        <w:t>Centrum voľného času v Kurime</w:t>
      </w:r>
    </w:p>
    <w:p>
      <w:pPr>
        <w:pStyle w:val="Normal"/>
        <w:numPr>
          <w:ilvl w:val="1"/>
          <w:numId w:val="4"/>
        </w:numPr>
        <w:spacing w:lineRule="auto" w:line="276"/>
        <w:ind w:left="426" w:hanging="426"/>
        <w:jc w:val="both"/>
        <w:rPr>
          <w:color w:val="000000"/>
        </w:rPr>
      </w:pPr>
      <w:r>
        <w:rPr>
          <w:b/>
          <w:color w:val="000000"/>
        </w:rPr>
        <w:t>Zdravotníctvo</w:t>
      </w:r>
    </w:p>
    <w:p>
      <w:pPr>
        <w:pStyle w:val="Normal"/>
        <w:spacing w:lineRule="auto" w:line="276"/>
        <w:ind w:left="435" w:hanging="0"/>
        <w:jc w:val="both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>Zdravotnú starostlivosť občanom  obce poskytuje: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>
          <w:color w:val="000000"/>
        </w:rPr>
      </w:pPr>
      <w:r>
        <w:rPr>
          <w:color w:val="000000"/>
        </w:rPr>
        <w:t>Nemocnica s poliklinikou  v Bardejove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>
          <w:color w:val="000000"/>
        </w:rPr>
      </w:pPr>
      <w:r>
        <w:rPr>
          <w:color w:val="000000"/>
        </w:rPr>
        <w:t>Lekár MUDr. Semrič, praktický lekár pre dospelých (súkromný ), Kurima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>
          <w:color w:val="000000"/>
        </w:rPr>
      </w:pPr>
      <w:r>
        <w:rPr>
          <w:color w:val="000000"/>
        </w:rPr>
        <w:t>Lekárka MUDr. Hovancová, detský a dorastový lekár , (súkromný ), Kurima</w:t>
      </w:r>
    </w:p>
    <w:p>
      <w:pPr>
        <w:pStyle w:val="Normal"/>
        <w:spacing w:lineRule="auto" w:line="276"/>
        <w:jc w:val="both"/>
        <w:rPr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>Na základe analýzy doterajšieho vývoja možno očakávať, že rozvoj zdravotnej starostlivosti sa bude orientovať na : Nemocnicu s poliklinikou v Bardejove a Zdravotné stredisko v Kurime.</w:t>
      </w:r>
    </w:p>
    <w:p>
      <w:pPr>
        <w:pStyle w:val="Normal"/>
        <w:numPr>
          <w:ilvl w:val="1"/>
          <w:numId w:val="4"/>
        </w:numPr>
        <w:spacing w:lineRule="auto" w:line="276"/>
        <w:ind w:left="426" w:hanging="426"/>
        <w:jc w:val="both"/>
        <w:rPr>
          <w:color w:val="000000"/>
        </w:rPr>
      </w:pPr>
      <w:r>
        <w:rPr>
          <w:b/>
          <w:color w:val="000000"/>
        </w:rPr>
        <w:t>Sociálne zabezpečenie</w:t>
      </w:r>
    </w:p>
    <w:p>
      <w:pPr>
        <w:pStyle w:val="Normal"/>
        <w:spacing w:lineRule="auto" w:line="276"/>
        <w:ind w:left="435" w:hanging="0"/>
        <w:jc w:val="both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>Sociálne služby v obci zabezpečuje :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>
          <w:color w:val="000000"/>
        </w:rPr>
      </w:pPr>
      <w:r>
        <w:rPr>
          <w:color w:val="000000"/>
        </w:rPr>
        <w:t>Zariadenia sociálnych služieb v Bardejove</w:t>
      </w:r>
    </w:p>
    <w:p>
      <w:pPr>
        <w:pStyle w:val="Normal"/>
        <w:spacing w:lineRule="auto" w:line="276"/>
        <w:jc w:val="both"/>
        <w:rPr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>Na základe analýzy doterajšieho vývoja možno očakávať, že rozvoj sociálnych služieb sa bude orientovať na : Zariadenia sociálnych služieb v Bardejove</w:t>
      </w:r>
    </w:p>
    <w:p>
      <w:pPr>
        <w:pStyle w:val="Normal"/>
        <w:numPr>
          <w:ilvl w:val="1"/>
          <w:numId w:val="4"/>
        </w:numPr>
        <w:spacing w:lineRule="auto" w:line="276"/>
        <w:ind w:left="426" w:hanging="426"/>
        <w:jc w:val="both"/>
        <w:rPr>
          <w:color w:val="000000"/>
        </w:rPr>
      </w:pPr>
      <w:r>
        <w:rPr>
          <w:b/>
          <w:color w:val="000000"/>
        </w:rPr>
        <w:t>Kultúra</w:t>
      </w:r>
    </w:p>
    <w:p>
      <w:pPr>
        <w:pStyle w:val="Normal"/>
        <w:spacing w:lineRule="auto" w:line="276"/>
        <w:ind w:left="435" w:hanging="0"/>
        <w:jc w:val="both"/>
        <w:rPr>
          <w:color w:val="000000"/>
        </w:rPr>
      </w:pPr>
      <w:r>
        <w:rPr>
          <w:color w:val="000000"/>
        </w:rPr>
        <w:t>Spoločenský a kultúrny život v obci zabezpečuje : obecný úrad Kožany</w:t>
      </w:r>
    </w:p>
    <w:p>
      <w:pPr>
        <w:pStyle w:val="Normal"/>
        <w:numPr>
          <w:ilvl w:val="0"/>
          <w:numId w:val="1"/>
        </w:numPr>
        <w:spacing w:lineRule="auto" w:line="276"/>
        <w:ind w:left="435" w:hanging="360"/>
        <w:jc w:val="both"/>
        <w:rPr>
          <w:color w:val="000000"/>
        </w:rPr>
      </w:pPr>
      <w:r>
        <w:rPr>
          <w:color w:val="000000"/>
        </w:rPr>
        <w:t xml:space="preserve">Múzeum  - Drevený kostolík kultúrna národná pamiatka </w:t>
      </w:r>
    </w:p>
    <w:p>
      <w:pPr>
        <w:pStyle w:val="Normal"/>
        <w:numPr>
          <w:ilvl w:val="1"/>
          <w:numId w:val="4"/>
        </w:numPr>
        <w:spacing w:lineRule="auto" w:line="276"/>
        <w:ind w:left="426" w:hanging="426"/>
        <w:jc w:val="both"/>
        <w:rPr>
          <w:color w:val="000000"/>
        </w:rPr>
      </w:pPr>
      <w:r>
        <w:rPr>
          <w:b/>
          <w:color w:val="000000"/>
        </w:rPr>
        <w:t xml:space="preserve">Hospodárstvo </w:t>
      </w:r>
    </w:p>
    <w:p>
      <w:pPr>
        <w:pStyle w:val="Normal"/>
        <w:spacing w:lineRule="auto" w:line="276"/>
        <w:ind w:left="435" w:hanging="0"/>
        <w:jc w:val="both"/>
        <w:rPr>
          <w:color w:val="000000"/>
        </w:rPr>
      </w:pPr>
      <w:r>
        <w:rPr>
          <w:color w:val="000000"/>
        </w:rPr>
        <w:t>Najvýznamnejší poskytovatelia služieb v obci :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>
          <w:color w:val="000000"/>
        </w:rPr>
      </w:pPr>
      <w:r>
        <w:rPr>
          <w:color w:val="000000"/>
        </w:rPr>
        <w:t>Šangriková obchod</w:t>
      </w:r>
    </w:p>
    <w:p>
      <w:pPr>
        <w:pStyle w:val="Normal"/>
        <w:spacing w:lineRule="auto" w:line="276"/>
        <w:ind w:left="435" w:hanging="0"/>
        <w:jc w:val="both"/>
        <w:rPr>
          <w:color w:val="000000"/>
        </w:rPr>
      </w:pPr>
      <w:r>
        <w:rPr>
          <w:color w:val="000000"/>
        </w:rPr>
        <w:t>Najvýznamnejší priemysel v obci :</w:t>
      </w:r>
    </w:p>
    <w:p>
      <w:pPr>
        <w:pStyle w:val="Normal"/>
        <w:spacing w:lineRule="auto" w:line="276"/>
        <w:ind w:left="435" w:hanging="0"/>
        <w:jc w:val="both"/>
        <w:rPr>
          <w:color w:val="000000"/>
        </w:rPr>
      </w:pPr>
      <w:r>
        <w:rPr>
          <w:color w:val="000000"/>
        </w:rPr>
        <w:t>žiaden</w:t>
      </w:r>
    </w:p>
    <w:p>
      <w:pPr>
        <w:pStyle w:val="Normal"/>
        <w:spacing w:lineRule="auto" w:line="276"/>
        <w:ind w:left="435" w:hanging="0"/>
        <w:jc w:val="both"/>
        <w:rPr>
          <w:color w:val="000000"/>
        </w:rPr>
      </w:pPr>
      <w:r>
        <w:rPr>
          <w:color w:val="000000"/>
        </w:rPr>
        <w:t>Najvýznamnejšia poľnohospodárska výroba v obci :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>
          <w:color w:val="000000"/>
        </w:rPr>
      </w:pPr>
      <w:r>
        <w:rPr>
          <w:color w:val="000000"/>
        </w:rPr>
        <w:t>Agroslužby s.r.o.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>
          <w:color w:val="000000"/>
        </w:rPr>
      </w:pPr>
      <w:r>
        <w:rPr>
          <w:color w:val="000000"/>
        </w:rPr>
        <w:t>Oragro s.r.o.</w:t>
      </w:r>
    </w:p>
    <w:p>
      <w:pPr>
        <w:pStyle w:val="Normal"/>
        <w:spacing w:lineRule="auto" w:line="276"/>
        <w:jc w:val="both"/>
        <w:rPr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>Na základe analýzy doterajšieho vývoja možno očakávať, že hospodársky život v obci sa bude orientovať na : poľnohospodárku výrobu a lesné hosp</w:t>
      </w:r>
      <w:r>
        <w:rPr>
          <w:color w:val="000000"/>
        </w:rPr>
        <w:t>odárstvo.</w:t>
      </w:r>
    </w:p>
    <w:p>
      <w:pPr>
        <w:pStyle w:val="Normal"/>
        <w:spacing w:lineRule="auto" w:line="276"/>
        <w:jc w:val="both"/>
        <w:rPr/>
      </w:pPr>
      <w:r>
        <w:rPr/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jc w:val="both"/>
        <w:rPr/>
      </w:pPr>
      <w:r>
        <w:rPr>
          <w:b/>
          <w:sz w:val="28"/>
          <w:szCs w:val="28"/>
        </w:rPr>
        <w:t>Informácia o vývoji obce z pohľadu rozpočtovníctva</w:t>
      </w:r>
    </w:p>
    <w:p>
      <w:pPr>
        <w:pStyle w:val="Normal"/>
        <w:rPr/>
      </w:pPr>
      <w:r>
        <w:rPr/>
        <w:t xml:space="preserve">     </w:t>
      </w:r>
      <w:r>
        <w:rPr/>
        <w:t>Základným   nástrojom  finančného  hospodárenia  obce  bol   rozpočet   obce   na  rok   2019.</w:t>
      </w:r>
    </w:p>
    <w:p>
      <w:pPr>
        <w:pStyle w:val="Normal"/>
        <w:rPr/>
      </w:pPr>
      <w:r>
        <w:rPr/>
        <w:t xml:space="preserve">Obec zostavila rozpočet podľa ustanovenia § 10 odsek 7) zákona č.583/2004 Z.z. o rozpočtových pravidlách územnej samosprávy a o zmene a doplnení niektorých zákonov v znení neskorších predpisov. </w:t>
      </w:r>
    </w:p>
    <w:p>
      <w:pPr>
        <w:pStyle w:val="Normal"/>
        <w:rPr/>
      </w:pPr>
      <w:r>
        <w:rPr/>
        <w:t>Rozpočet obce bol schválený obecným zastupiteľstvom dňa 16.12.2018 uznesením č. 2018/12/16/1.</w:t>
      </w:r>
    </w:p>
    <w:p>
      <w:pPr>
        <w:pStyle w:val="Normal"/>
        <w:rPr/>
      </w:pPr>
      <w:r>
        <w:rPr/>
        <w:t>Zmeny rozpočtu:</w:t>
      </w:r>
    </w:p>
    <w:p>
      <w:pPr>
        <w:pStyle w:val="Normal"/>
        <w:rPr/>
      </w:pPr>
      <w:r>
        <w:rPr/>
        <w:t>- prvá zmena schválená dňa 15.12.2019 uznesením č. 2019/12/15/1.</w:t>
      </w:r>
    </w:p>
    <w:p>
      <w:pPr>
        <w:pStyle w:val="Normal"/>
        <w:rPr/>
      </w:pPr>
      <w:r>
        <w:rPr/>
      </w:r>
    </w:p>
    <w:p>
      <w:pPr>
        <w:pStyle w:val="ListParagraph"/>
        <w:ind w:left="786" w:hanging="0"/>
        <w:jc w:val="both"/>
        <w:rPr/>
      </w:pPr>
      <w:r>
        <w:rPr/>
      </w:r>
    </w:p>
    <w:p>
      <w:pPr>
        <w:pStyle w:val="ListParagraph"/>
        <w:ind w:left="786" w:hanging="0"/>
        <w:rPr>
          <w:b/>
          <w:b/>
        </w:rPr>
      </w:pPr>
      <w:r>
        <w:rPr>
          <w:b/>
        </w:rPr>
      </w:r>
    </w:p>
    <w:p>
      <w:pPr>
        <w:pStyle w:val="ListParagraph"/>
        <w:ind w:left="786" w:hanging="0"/>
        <w:rPr>
          <w:b/>
          <w:b/>
        </w:rPr>
      </w:pPr>
      <w:r>
        <w:rPr>
          <w:b/>
        </w:rPr>
      </w:r>
    </w:p>
    <w:p>
      <w:pPr>
        <w:pStyle w:val="ListParagraph"/>
        <w:ind w:left="786" w:hanging="0"/>
        <w:rPr>
          <w:b/>
          <w:b/>
        </w:rPr>
      </w:pPr>
      <w:r>
        <w:rPr>
          <w:b/>
        </w:rPr>
      </w:r>
    </w:p>
    <w:p>
      <w:pPr>
        <w:pStyle w:val="ListParagraph"/>
        <w:ind w:left="786" w:hanging="0"/>
        <w:rPr>
          <w:b/>
          <w:b/>
        </w:rPr>
      </w:pPr>
      <w:r>
        <w:rPr>
          <w:b/>
        </w:rPr>
      </w:r>
    </w:p>
    <w:p>
      <w:pPr>
        <w:pStyle w:val="ListParagraph"/>
        <w:ind w:left="786" w:hanging="0"/>
        <w:rPr>
          <w:b/>
          <w:b/>
        </w:rPr>
      </w:pPr>
      <w:r>
        <w:rPr>
          <w:b/>
        </w:rPr>
      </w:r>
    </w:p>
    <w:p>
      <w:pPr>
        <w:pStyle w:val="ListParagraph"/>
        <w:ind w:left="786" w:hanging="0"/>
        <w:rPr>
          <w:b/>
          <w:b/>
        </w:rPr>
      </w:pPr>
      <w:r>
        <w:rPr>
          <w:b/>
        </w:rPr>
      </w:r>
    </w:p>
    <w:p>
      <w:pPr>
        <w:pStyle w:val="ListParagraph"/>
        <w:ind w:left="786" w:hanging="0"/>
        <w:rPr>
          <w:b/>
          <w:b/>
        </w:rPr>
      </w:pPr>
      <w:r>
        <w:rPr>
          <w:b/>
        </w:rPr>
      </w:r>
    </w:p>
    <w:p>
      <w:pPr>
        <w:pStyle w:val="ListParagraph"/>
        <w:ind w:left="786" w:hanging="0"/>
        <w:rPr>
          <w:b/>
          <w:b/>
        </w:rPr>
      </w:pPr>
      <w:r>
        <w:rPr>
          <w:b/>
        </w:rPr>
        <w:t xml:space="preserve">                                                  </w:t>
      </w:r>
      <w:r>
        <w:rPr>
          <w:b/>
        </w:rPr>
        <w:t>Rozpočet obce k 31.12.2020</w:t>
      </w:r>
    </w:p>
    <w:p>
      <w:pPr>
        <w:pStyle w:val="ListParagraph"/>
        <w:ind w:left="786" w:hanging="0"/>
        <w:rPr>
          <w:b/>
          <w:b/>
        </w:rPr>
      </w:pPr>
      <w:r>
        <w:rPr>
          <w:b/>
        </w:rPr>
      </w:r>
    </w:p>
    <w:tbl>
      <w:tblPr>
        <w:tblW w:w="950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500"/>
        <w:gridCol w:w="1960"/>
        <w:gridCol w:w="1960"/>
        <w:gridCol w:w="1959"/>
        <w:gridCol w:w="1121"/>
      </w:tblGrid>
      <w:tr>
        <w:trPr>
          <w:trHeight w:val="315" w:hRule="atLeast"/>
        </w:trPr>
        <w:tc>
          <w:tcPr>
            <w:tcW w:w="25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879" w:type="dxa"/>
            <w:gridSpan w:val="3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k 31.12.2020</w:t>
            </w:r>
          </w:p>
        </w:tc>
        <w:tc>
          <w:tcPr>
            <w:tcW w:w="11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% plnenia </w:t>
            </w:r>
          </w:p>
        </w:tc>
      </w:tr>
      <w:tr>
        <w:trPr>
          <w:trHeight w:val="330" w:hRule="atLeast"/>
        </w:trPr>
        <w:tc>
          <w:tcPr>
            <w:tcW w:w="250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schválený</w:t>
            </w:r>
          </w:p>
        </w:tc>
        <w:tc>
          <w:tcPr>
            <w:tcW w:w="196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 zmenách </w:t>
            </w:r>
          </w:p>
        </w:tc>
        <w:tc>
          <w:tcPr>
            <w:tcW w:w="195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skutčnosť</w:t>
            </w:r>
          </w:p>
        </w:tc>
        <w:tc>
          <w:tcPr>
            <w:tcW w:w="11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38 084,00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37 973,00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35 596,18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93,74 </w:t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30 184,00 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32 184,00 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29 806,92 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92,61 </w:t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7 900,00 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5 789,00 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5 789,26 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100,00 </w:t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38 084,00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32 899,00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35 586,36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108,17 </w:t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29 176,00 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30 359,00 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33 046,36 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108,85 </w:t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7 900,00 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1 532,00 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1 532,00 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100,00 </w:t>
            </w:r>
          </w:p>
        </w:tc>
      </w:tr>
      <w:tr>
        <w:trPr>
          <w:trHeight w:val="315" w:hRule="atLeast"/>
        </w:trPr>
        <w:tc>
          <w:tcPr>
            <w:tcW w:w="25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1 008,00 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1 008,00 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1 008,00 </w:t>
            </w:r>
          </w:p>
        </w:tc>
        <w:tc>
          <w:tcPr>
            <w:tcW w:w="11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100,00 </w:t>
            </w:r>
          </w:p>
        </w:tc>
      </w:tr>
      <w:tr>
        <w:trPr>
          <w:trHeight w:val="330" w:hRule="atLeast"/>
        </w:trPr>
        <w:tc>
          <w:tcPr>
            <w:tcW w:w="250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HV</w:t>
            </w:r>
          </w:p>
        </w:tc>
        <w:tc>
          <w:tcPr>
            <w:tcW w:w="196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0,00</w:t>
            </w:r>
          </w:p>
        </w:tc>
        <w:tc>
          <w:tcPr>
            <w:tcW w:w="196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5 074,00</w:t>
            </w:r>
          </w:p>
        </w:tc>
        <w:tc>
          <w:tcPr>
            <w:tcW w:w="195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9,82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</w:tr>
    </w:tbl>
    <w:p>
      <w:pPr>
        <w:pStyle w:val="Normal"/>
        <w:jc w:val="both"/>
        <w:rPr>
          <w:color w:val="FF0000"/>
        </w:rPr>
      </w:pPr>
      <w:r>
        <w:rPr>
          <w:color w:val="FF0000"/>
        </w:rPr>
      </w:r>
    </w:p>
    <w:p>
      <w:pPr>
        <w:pStyle w:val="Normal"/>
        <w:jc w:val="both"/>
        <w:rPr>
          <w:color w:val="FF0000"/>
        </w:rPr>
      </w:pPr>
      <w:r>
        <w:rPr>
          <w:color w:val="FF0000"/>
        </w:rPr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Prebytok/schodok rozpočtového hospodárenia za rok 2020</w:t>
      </w:r>
    </w:p>
    <w:tbl>
      <w:tblPr>
        <w:tblW w:w="8720" w:type="dxa"/>
        <w:jc w:val="left"/>
        <w:tblInd w:w="8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280"/>
        <w:gridCol w:w="2439"/>
      </w:tblGrid>
      <w:tr>
        <w:trPr>
          <w:trHeight w:val="630" w:hRule="atLeast"/>
        </w:trPr>
        <w:tc>
          <w:tcPr>
            <w:tcW w:w="62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4"/>
              </w:numPr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Hospodárenie obce</w:t>
            </w:r>
          </w:p>
        </w:tc>
        <w:tc>
          <w:tcPr>
            <w:tcW w:w="2439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31.12.2020 v EUR</w:t>
            </w:r>
          </w:p>
        </w:tc>
      </w:tr>
      <w:tr>
        <w:trPr>
          <w:trHeight w:val="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 príjmy spolu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29 806,92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výdavky spolu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33 046,36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Bežný rozpočet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-3 239,44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Kapitálové  príjmy spolu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Kapitálové  výdavky spolu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1 532,00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Kapitálový rozpočet 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-1 532,00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Prebytok/schodok bežného a kapitálového rozpočtu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-4 771,44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Vylúčenie z prebytku 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864,00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Upravený prebytok/schodok bežného a kapitálového rozpočtu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-5 635,44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Príjmy z finančných operácií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5 789,26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Výdavky z finančných operácií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1 008,00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Rozdiel finančných operácií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4 781,26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 xml:space="preserve">Príjmy spolu  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35 596,18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Výdavky spolu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35 586,36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Hospodárenie obce </w:t>
            </w:r>
          </w:p>
        </w:tc>
        <w:tc>
          <w:tcPr>
            <w:tcW w:w="243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9,82    </w:t>
            </w:r>
          </w:p>
        </w:tc>
      </w:tr>
      <w:tr>
        <w:trPr>
          <w:trHeight w:val="315" w:hRule="atLeast"/>
        </w:trPr>
        <w:tc>
          <w:tcPr>
            <w:tcW w:w="6280" w:type="dxa"/>
            <w:tcBorders>
              <w:lef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Vylúčenie z prebytku/ Úprava schodku min. roky, SF </w:t>
            </w:r>
          </w:p>
        </w:tc>
        <w:tc>
          <w:tcPr>
            <w:tcW w:w="2439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-864,00    </w:t>
            </w:r>
          </w:p>
        </w:tc>
      </w:tr>
      <w:tr>
        <w:trPr>
          <w:trHeight w:val="330" w:hRule="atLeast"/>
        </w:trPr>
        <w:tc>
          <w:tcPr>
            <w:tcW w:w="62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Upravené hospodárenie obce</w:t>
            </w:r>
          </w:p>
        </w:tc>
        <w:tc>
          <w:tcPr>
            <w:tcW w:w="2439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-854,18    </w:t>
            </w:r>
          </w:p>
        </w:tc>
      </w:tr>
    </w:tbl>
    <w:p>
      <w:pPr>
        <w:pStyle w:val="Normal"/>
        <w:ind w:left="54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tabs>
          <w:tab w:val="clear" w:pos="708"/>
          <w:tab w:val="right" w:pos="7740" w:leader="none"/>
        </w:tabs>
        <w:jc w:val="both"/>
        <w:rPr/>
      </w:pPr>
      <w:r>
        <w:rPr>
          <w:b/>
        </w:rPr>
        <w:t>Schodok rozpočtu v sume 4 771,44 EUR</w:t>
      </w:r>
      <w:r>
        <w:rPr/>
        <w:t xml:space="preserve"> zistený podľa ustanovenia § 10 ods. 3 písm. a) a b) zákona č. 583/2004 Z.z. o rozpočtových pravidlách územnej samosprávy a o zmene a doplnení niektorých zákonov v z.n.p. bol v rozpočtovom roku 2020 vysporiadaný z finančných operácií </w:t>
      </w:r>
    </w:p>
    <w:p>
      <w:pPr>
        <w:pStyle w:val="Normal"/>
        <w:tabs>
          <w:tab w:val="clear" w:pos="708"/>
          <w:tab w:val="right" w:pos="5580" w:leader="none"/>
        </w:tabs>
        <w:jc w:val="both"/>
        <w:rPr/>
      </w:pPr>
      <w:r>
        <w:rPr/>
        <w:t>Na základe uvedených skutočností obec netvorí rezervný fond.</w:t>
      </w:r>
    </w:p>
    <w:p>
      <w:pPr>
        <w:pStyle w:val="Normal"/>
        <w:spacing w:lineRule="auto" w:line="360"/>
        <w:ind w:left="426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spacing w:lineRule="auto" w:line="360"/>
        <w:ind w:left="426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  <w:sz w:val="28"/>
          <w:szCs w:val="28"/>
        </w:rPr>
      </w:pPr>
      <w:r>
        <w:rPr>
          <w:b/>
        </w:rPr>
        <w:t xml:space="preserve"> </w:t>
      </w:r>
      <w:r>
        <w:rPr>
          <w:b/>
        </w:rPr>
        <w:t>Rozpočet na roky 2020 – 2023</w:t>
      </w:r>
    </w:p>
    <w:tbl>
      <w:tblPr>
        <w:tblW w:w="986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0"/>
        <w:gridCol w:w="1960"/>
        <w:gridCol w:w="1959"/>
        <w:gridCol w:w="1960"/>
        <w:gridCol w:w="1961"/>
      </w:tblGrid>
      <w:tr>
        <w:trPr>
          <w:trHeight w:val="315" w:hRule="atLeast"/>
        </w:trPr>
        <w:tc>
          <w:tcPr>
            <w:tcW w:w="20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96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31.12.2020</w:t>
            </w:r>
          </w:p>
        </w:tc>
        <w:tc>
          <w:tcPr>
            <w:tcW w:w="1959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 na rok 2021</w:t>
            </w:r>
          </w:p>
        </w:tc>
        <w:tc>
          <w:tcPr>
            <w:tcW w:w="196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2022</w:t>
            </w:r>
          </w:p>
        </w:tc>
        <w:tc>
          <w:tcPr>
            <w:tcW w:w="196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2023</w:t>
            </w:r>
          </w:p>
        </w:tc>
      </w:tr>
      <w:tr>
        <w:trPr>
          <w:trHeight w:val="315" w:hRule="atLeast"/>
        </w:trPr>
        <w:tc>
          <w:tcPr>
            <w:tcW w:w="202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96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959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96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96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</w:tr>
      <w:tr>
        <w:trPr>
          <w:trHeight w:val="315" w:hRule="atLeast"/>
        </w:trPr>
        <w:tc>
          <w:tcPr>
            <w:tcW w:w="20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35 596,18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30 267,00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29 406,00</w:t>
            </w:r>
          </w:p>
        </w:tc>
        <w:tc>
          <w:tcPr>
            <w:tcW w:w="196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29 406,00</w:t>
            </w:r>
          </w:p>
        </w:tc>
      </w:tr>
      <w:tr>
        <w:trPr>
          <w:trHeight w:val="315" w:hRule="atLeast"/>
        </w:trPr>
        <w:tc>
          <w:tcPr>
            <w:tcW w:w="20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96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20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29 806,92 </w:t>
            </w:r>
          </w:p>
        </w:tc>
        <w:tc>
          <w:tcPr>
            <w:tcW w:w="195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30 267,00</w:t>
            </w:r>
          </w:p>
        </w:tc>
        <w:tc>
          <w:tcPr>
            <w:tcW w:w="1960" w:type="dxa"/>
            <w:tcBorders>
              <w:lef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29 406,00</w:t>
            </w:r>
          </w:p>
        </w:tc>
        <w:tc>
          <w:tcPr>
            <w:tcW w:w="1961" w:type="dxa"/>
            <w:tcBorders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29 406,00</w:t>
            </w:r>
          </w:p>
        </w:tc>
      </w:tr>
      <w:tr>
        <w:trPr>
          <w:trHeight w:val="315" w:hRule="atLeast"/>
        </w:trPr>
        <w:tc>
          <w:tcPr>
            <w:tcW w:w="20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959" w:type="dxa"/>
            <w:tcBorders>
              <w:top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>
        <w:trPr>
          <w:trHeight w:val="330" w:hRule="atLeast"/>
        </w:trPr>
        <w:tc>
          <w:tcPr>
            <w:tcW w:w="202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196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5 789,26 </w:t>
            </w:r>
          </w:p>
        </w:tc>
        <w:tc>
          <w:tcPr>
            <w:tcW w:w="1959" w:type="dxa"/>
            <w:tcBorders>
              <w:top w:val="single" w:sz="4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>
        <w:trPr>
          <w:trHeight w:val="330" w:hRule="exact"/>
        </w:trPr>
        <w:tc>
          <w:tcPr>
            <w:tcW w:w="202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5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15" w:hRule="atLeast"/>
        </w:trPr>
        <w:tc>
          <w:tcPr>
            <w:tcW w:w="20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96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31.12.2020</w:t>
            </w:r>
          </w:p>
        </w:tc>
        <w:tc>
          <w:tcPr>
            <w:tcW w:w="1959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 na rok 2021</w:t>
            </w:r>
          </w:p>
        </w:tc>
        <w:tc>
          <w:tcPr>
            <w:tcW w:w="196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2022</w:t>
            </w:r>
          </w:p>
        </w:tc>
        <w:tc>
          <w:tcPr>
            <w:tcW w:w="196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2023</w:t>
            </w:r>
          </w:p>
        </w:tc>
      </w:tr>
      <w:tr>
        <w:trPr>
          <w:trHeight w:val="315" w:hRule="atLeast"/>
        </w:trPr>
        <w:tc>
          <w:tcPr>
            <w:tcW w:w="202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96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959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96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96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</w:tr>
      <w:tr>
        <w:trPr>
          <w:trHeight w:val="315" w:hRule="atLeast"/>
        </w:trPr>
        <w:tc>
          <w:tcPr>
            <w:tcW w:w="20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35 586,36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37 499,00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29 406,00</w:t>
            </w:r>
          </w:p>
        </w:tc>
        <w:tc>
          <w:tcPr>
            <w:tcW w:w="196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29 406,00</w:t>
            </w:r>
          </w:p>
        </w:tc>
      </w:tr>
      <w:tr>
        <w:trPr>
          <w:trHeight w:val="315" w:hRule="atLeast"/>
        </w:trPr>
        <w:tc>
          <w:tcPr>
            <w:tcW w:w="20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96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20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33 046,36 </w:t>
            </w:r>
          </w:p>
        </w:tc>
        <w:tc>
          <w:tcPr>
            <w:tcW w:w="195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30 123,00</w:t>
            </w:r>
          </w:p>
        </w:tc>
        <w:tc>
          <w:tcPr>
            <w:tcW w:w="1960" w:type="dxa"/>
            <w:tcBorders>
              <w:lef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28 398,00</w:t>
            </w:r>
          </w:p>
        </w:tc>
        <w:tc>
          <w:tcPr>
            <w:tcW w:w="1961" w:type="dxa"/>
            <w:tcBorders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28 398,00</w:t>
            </w:r>
          </w:p>
        </w:tc>
      </w:tr>
      <w:tr>
        <w:trPr>
          <w:trHeight w:val="315" w:hRule="atLeast"/>
        </w:trPr>
        <w:tc>
          <w:tcPr>
            <w:tcW w:w="20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1 532,00 </w:t>
            </w:r>
          </w:p>
        </w:tc>
        <w:tc>
          <w:tcPr>
            <w:tcW w:w="1959" w:type="dxa"/>
            <w:tcBorders>
              <w:top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6 368,00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>
        <w:trPr>
          <w:trHeight w:val="330" w:hRule="atLeast"/>
        </w:trPr>
        <w:tc>
          <w:tcPr>
            <w:tcW w:w="202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196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1 008,00 </w:t>
            </w:r>
          </w:p>
        </w:tc>
        <w:tc>
          <w:tcPr>
            <w:tcW w:w="1959" w:type="dxa"/>
            <w:tcBorders>
              <w:top w:val="single" w:sz="4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1 008,00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1 008,00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1 008,00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  <w:sz w:val="22"/>
          <w:szCs w:val="22"/>
        </w:rPr>
      </w:pPr>
      <w:r>
        <w:rPr>
          <w:b/>
        </w:rPr>
        <w:t xml:space="preserve">Majetok </w:t>
      </w:r>
    </w:p>
    <w:tbl>
      <w:tblPr>
        <w:tblW w:w="7940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20"/>
        <w:gridCol w:w="1659"/>
        <w:gridCol w:w="1661"/>
      </w:tblGrid>
      <w:tr>
        <w:trPr>
          <w:trHeight w:val="315" w:hRule="atLeast"/>
        </w:trPr>
        <w:tc>
          <w:tcPr>
            <w:tcW w:w="4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6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</w:t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</w:t>
            </w:r>
          </w:p>
        </w:tc>
      </w:tr>
      <w:tr>
        <w:trPr>
          <w:trHeight w:val="315" w:hRule="atLeast"/>
        </w:trPr>
        <w:tc>
          <w:tcPr>
            <w:tcW w:w="46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 31.12.2020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 31.12.2019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Majetok spolu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49 893,03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56 652,00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Neobežný majetok spolu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47 195,17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48 315,17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22 800,52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23 920,52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Dlhodobý finančný majetok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24 394,65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24 394,65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Obežný majetok spolu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2 697,86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8 336,83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Zúčtovanie medzi subjektami VS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Dlhodobé pohľadávky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Krátkodobé pohľadávky 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1,86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Finančné účty 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2 696,00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8 336,83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Poskytnuté návratné fin. výpomoci dlh.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Poskytnuté návratné fin. výpomoci krát.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Časové rozlíšenie 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0,00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0,00 </w:t>
            </w:r>
          </w:p>
        </w:tc>
      </w:tr>
    </w:tbl>
    <w:p>
      <w:pPr>
        <w:pStyle w:val="Normal"/>
        <w:spacing w:lineRule="auto" w:line="360"/>
        <w:ind w:left="426" w:hanging="0"/>
        <w:jc w:val="both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/>
      </w:pPr>
      <w:r>
        <w:rPr>
          <w:b/>
        </w:rPr>
        <w:t xml:space="preserve">Zdroje krytia </w:t>
      </w:r>
    </w:p>
    <w:tbl>
      <w:tblPr>
        <w:tblW w:w="7940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20"/>
        <w:gridCol w:w="1659"/>
        <w:gridCol w:w="1661"/>
      </w:tblGrid>
      <w:tr>
        <w:trPr>
          <w:trHeight w:val="315" w:hRule="atLeast"/>
        </w:trPr>
        <w:tc>
          <w:tcPr>
            <w:tcW w:w="4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6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</w:t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</w:t>
            </w:r>
          </w:p>
        </w:tc>
      </w:tr>
      <w:tr>
        <w:trPr>
          <w:trHeight w:val="315" w:hRule="atLeast"/>
        </w:trPr>
        <w:tc>
          <w:tcPr>
            <w:tcW w:w="46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 31.12.2020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 31.12.2019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Vlastné imanie a záväzky spolu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49 893,03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i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56 652,00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Vlastné imanie 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29 521,57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35 485,92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Oceňovacie rozdiely 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Fondy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29 521,57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35 485,92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16 589,61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17 422,23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7 899,99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Rezervy 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500,00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500,00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Zúčtovanie medzi subjektami VS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7 981,99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774,97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608,89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2 372,65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2 445,35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Bankové úvery a výpomoci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4 960,00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5 968,00 </w:t>
            </w:r>
          </w:p>
        </w:tc>
      </w:tr>
      <w:tr>
        <w:trPr>
          <w:trHeight w:val="315" w:hRule="atLeast"/>
        </w:trPr>
        <w:tc>
          <w:tcPr>
            <w:tcW w:w="4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16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3 781,85 </w:t>
            </w:r>
          </w:p>
        </w:tc>
        <w:tc>
          <w:tcPr>
            <w:tcW w:w="166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3 743,85 </w:t>
            </w:r>
          </w:p>
        </w:tc>
      </w:tr>
    </w:tbl>
    <w:p>
      <w:pPr>
        <w:pStyle w:val="Normal"/>
        <w:spacing w:lineRule="auto" w:line="360"/>
        <w:ind w:left="360" w:hanging="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/>
      </w:pPr>
      <w:r>
        <w:rPr>
          <w:b/>
        </w:rPr>
        <w:t xml:space="preserve">Pohľadávky </w:t>
      </w:r>
    </w:p>
    <w:tbl>
      <w:tblPr>
        <w:tblW w:w="8680" w:type="dxa"/>
        <w:jc w:val="left"/>
        <w:tblInd w:w="-11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80"/>
        <w:gridCol w:w="2699"/>
        <w:gridCol w:w="2701"/>
      </w:tblGrid>
      <w:tr>
        <w:trPr>
          <w:trHeight w:val="330" w:hRule="atLeast"/>
        </w:trPr>
        <w:tc>
          <w:tcPr>
            <w:tcW w:w="3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</w:t>
            </w:r>
          </w:p>
        </w:tc>
        <w:tc>
          <w:tcPr>
            <w:tcW w:w="2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2020</w:t>
            </w:r>
          </w:p>
        </w:tc>
        <w:tc>
          <w:tcPr>
            <w:tcW w:w="27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2019</w:t>
            </w:r>
          </w:p>
        </w:tc>
      </w:tr>
      <w:tr>
        <w:trPr>
          <w:trHeight w:val="330" w:hRule="atLeast"/>
        </w:trPr>
        <w:tc>
          <w:tcPr>
            <w:tcW w:w="32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 xml:space="preserve">Pohľadávky do lehoty splatnosti </w:t>
            </w:r>
          </w:p>
        </w:tc>
        <w:tc>
          <w:tcPr>
            <w:tcW w:w="2699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1,86 </w:t>
            </w:r>
          </w:p>
        </w:tc>
        <w:tc>
          <w:tcPr>
            <w:tcW w:w="270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>
        <w:trPr>
          <w:trHeight w:val="330" w:hRule="atLeast"/>
        </w:trPr>
        <w:tc>
          <w:tcPr>
            <w:tcW w:w="32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 xml:space="preserve">Pohľadávky po lehote splatnosti </w:t>
            </w:r>
          </w:p>
        </w:tc>
        <w:tc>
          <w:tcPr>
            <w:tcW w:w="2699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70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</w:tbl>
    <w:p>
      <w:pPr>
        <w:pStyle w:val="Normal"/>
        <w:spacing w:lineRule="auto" w:line="360"/>
        <w:ind w:left="426" w:hanging="0"/>
        <w:jc w:val="both"/>
        <w:rPr>
          <w:b/>
          <w:b/>
          <w:color w:val="0000FF"/>
        </w:rPr>
      </w:pPr>
      <w:r>
        <w:rPr>
          <w:b/>
          <w:color w:val="0000FF"/>
        </w:rPr>
      </w:r>
    </w:p>
    <w:p>
      <w:pPr>
        <w:pStyle w:val="Normal"/>
        <w:numPr>
          <w:ilvl w:val="1"/>
          <w:numId w:val="4"/>
        </w:numPr>
        <w:spacing w:lineRule="auto" w:line="360"/>
        <w:ind w:left="426" w:hanging="426"/>
        <w:jc w:val="both"/>
        <w:rPr>
          <w:b/>
          <w:b/>
          <w:color w:val="0000FF"/>
        </w:rPr>
      </w:pPr>
      <w:r>
        <w:rPr>
          <w:b/>
        </w:rPr>
        <w:t>Záväzky</w:t>
      </w:r>
    </w:p>
    <w:tbl>
      <w:tblPr>
        <w:tblW w:w="8680" w:type="dxa"/>
        <w:jc w:val="left"/>
        <w:tblInd w:w="-11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80"/>
        <w:gridCol w:w="2699"/>
        <w:gridCol w:w="2701"/>
      </w:tblGrid>
      <w:tr>
        <w:trPr>
          <w:trHeight w:val="330" w:hRule="atLeast"/>
        </w:trPr>
        <w:tc>
          <w:tcPr>
            <w:tcW w:w="3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2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2020</w:t>
            </w:r>
          </w:p>
        </w:tc>
        <w:tc>
          <w:tcPr>
            <w:tcW w:w="27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Zostatok k 31.12 2019</w:t>
            </w:r>
          </w:p>
        </w:tc>
      </w:tr>
      <w:tr>
        <w:trPr>
          <w:trHeight w:val="330" w:hRule="atLeast"/>
        </w:trPr>
        <w:tc>
          <w:tcPr>
            <w:tcW w:w="32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 xml:space="preserve">Záväzky do lehoty splatnosti </w:t>
            </w:r>
          </w:p>
        </w:tc>
        <w:tc>
          <w:tcPr>
            <w:tcW w:w="2699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3 147,62 </w:t>
            </w:r>
          </w:p>
        </w:tc>
        <w:tc>
          <w:tcPr>
            <w:tcW w:w="270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3 054,24 </w:t>
            </w:r>
          </w:p>
        </w:tc>
      </w:tr>
      <w:tr>
        <w:trPr>
          <w:trHeight w:val="330" w:hRule="atLeast"/>
        </w:trPr>
        <w:tc>
          <w:tcPr>
            <w:tcW w:w="32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 xml:space="preserve">Záväzky po lehote splatnosti </w:t>
            </w:r>
          </w:p>
        </w:tc>
        <w:tc>
          <w:tcPr>
            <w:tcW w:w="2699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270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</w:tbl>
    <w:p>
      <w:pPr>
        <w:pStyle w:val="Normal"/>
        <w:spacing w:lineRule="auto" w:line="360"/>
        <w:jc w:val="both"/>
        <w:rPr>
          <w:b/>
          <w:b/>
          <w:color w:val="0000FF"/>
        </w:rPr>
      </w:pPr>
      <w:r>
        <w:rPr>
          <w:b/>
          <w:color w:val="0000FF"/>
        </w:rPr>
      </w:r>
    </w:p>
    <w:p>
      <w:pPr>
        <w:pStyle w:val="Normal"/>
        <w:numPr>
          <w:ilvl w:val="0"/>
          <w:numId w:val="4"/>
        </w:numPr>
        <w:spacing w:lineRule="auto" w:line="360"/>
        <w:ind w:left="284" w:hanging="284"/>
        <w:rPr/>
      </w:pPr>
      <w:r>
        <w:rPr>
          <w:b/>
          <w:sz w:val="28"/>
          <w:szCs w:val="28"/>
        </w:rPr>
        <w:t>Hospodársky výsledok  za 2020 - vývoj nákladov a výnosov</w:t>
      </w:r>
    </w:p>
    <w:tbl>
      <w:tblPr>
        <w:tblW w:w="9140" w:type="dxa"/>
        <w:jc w:val="left"/>
        <w:tblInd w:w="-11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5820"/>
        <w:gridCol w:w="1660"/>
        <w:gridCol w:w="1660"/>
      </w:tblGrid>
      <w:tr>
        <w:trPr>
          <w:trHeight w:val="300" w:hRule="atLeast"/>
        </w:trPr>
        <w:tc>
          <w:tcPr>
            <w:tcW w:w="58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66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Skutočnosť</w:t>
            </w:r>
          </w:p>
        </w:tc>
        <w:tc>
          <w:tcPr>
            <w:tcW w:w="166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Skutočnosť</w:t>
            </w:r>
          </w:p>
        </w:tc>
      </w:tr>
      <w:tr>
        <w:trPr>
          <w:trHeight w:val="315" w:hRule="atLeast"/>
        </w:trPr>
        <w:tc>
          <w:tcPr>
            <w:tcW w:w="582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66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 31.12.2020</w:t>
            </w:r>
          </w:p>
        </w:tc>
        <w:tc>
          <w:tcPr>
            <w:tcW w:w="16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 31.12.2019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Náklady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35 653,13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36 163,69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50 – Spotrebované nákupy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2 200,24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2 040,59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51 – Služby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6 089,43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5 807,93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52 – Osobné náklady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23 877,81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24 213,37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>53 – Dane a  poplatky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54 – Ostatné náklady na prevádzkovú činnosť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361,44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298,80 </w:t>
            </w:r>
          </w:p>
        </w:tc>
      </w:tr>
      <w:tr>
        <w:trPr>
          <w:trHeight w:val="630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55 – Odpisy, rezervy a OP z prevádzkovej a finančnej činnosti a zúčtovanie časového rozlíšenia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2 652,00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3 272,54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56 – Finančné náklady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472,21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530,46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57 – Mimoriadne náklady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58 – Náklady na transfery a náklady z odvodov príjmov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59 – Dane z príjmov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Výnosy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29 688,78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32 014,91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60 – Tržby za vlastné výkony a tovar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6,82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61 – Zmena stavu vnútroorganizačných služieb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62 – Aktivácia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63 – Daňové a colné výnosy a výnosy z poplatkov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27 619,89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28 578,89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64 – Ostatné výnosy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120,96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323,03 </w:t>
            </w:r>
          </w:p>
        </w:tc>
      </w:tr>
      <w:tr>
        <w:trPr>
          <w:trHeight w:val="630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65 – Zúčtovanie rezerv a OP z prevádzkovej a finančnej činnosti a zúčtovanie časového rozlíšenia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500,00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66 – Finančné výnosy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67 – Mimoriadne výnosy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0,00 </w:t>
            </w:r>
          </w:p>
        </w:tc>
      </w:tr>
      <w:tr>
        <w:trPr>
          <w:trHeight w:val="630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1 947,93 </w:t>
            </w:r>
          </w:p>
        </w:tc>
        <w:tc>
          <w:tcPr>
            <w:tcW w:w="16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2 606,17 </w:t>
            </w:r>
          </w:p>
        </w:tc>
      </w:tr>
      <w:tr>
        <w:trPr>
          <w:trHeight w:val="315" w:hRule="atLeast"/>
        </w:trPr>
        <w:tc>
          <w:tcPr>
            <w:tcW w:w="582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Hospodársky výsledok</w:t>
            </w:r>
          </w:p>
        </w:tc>
        <w:tc>
          <w:tcPr>
            <w:tcW w:w="166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-5 964,35 </w:t>
            </w:r>
          </w:p>
        </w:tc>
        <w:tc>
          <w:tcPr>
            <w:tcW w:w="166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-4 148,78 </w:t>
            </w:r>
          </w:p>
        </w:tc>
      </w:tr>
      <w:tr>
        <w:trPr>
          <w:trHeight w:val="330" w:hRule="atLeast"/>
        </w:trPr>
        <w:tc>
          <w:tcPr>
            <w:tcW w:w="582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/+ kladný HV, - záporný HV/</w:t>
            </w:r>
          </w:p>
        </w:tc>
        <w:tc>
          <w:tcPr>
            <w:tcW w:w="166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  <w:tc>
          <w:tcPr>
            <w:tcW w:w="166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</w:r>
          </w:p>
        </w:tc>
      </w:tr>
    </w:tbl>
    <w:p>
      <w:pPr>
        <w:pStyle w:val="Normal"/>
        <w:spacing w:lineRule="auto" w:line="360"/>
        <w:ind w:left="284" w:hanging="0"/>
        <w:rPr/>
      </w:pPr>
      <w:r>
        <w:rPr/>
      </w:r>
    </w:p>
    <w:p>
      <w:pPr>
        <w:pStyle w:val="Normal"/>
        <w:spacing w:lineRule="auto" w:line="360"/>
        <w:ind w:left="284" w:hanging="0"/>
        <w:rPr/>
      </w:pPr>
      <w:r>
        <w:rPr/>
        <w:t>Hospodársky výsledok v sume – 5 964,35 EUR bol zúčtovaný na účet 428 – Nevysporiadaný výsledok hospodárenia minulých rokov.</w:t>
      </w:r>
    </w:p>
    <w:p>
      <w:pPr>
        <w:pStyle w:val="Normal"/>
        <w:numPr>
          <w:ilvl w:val="0"/>
          <w:numId w:val="4"/>
        </w:numPr>
        <w:spacing w:lineRule="auto" w:line="360"/>
        <w:ind w:left="426" w:hanging="426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>
      <w:pPr>
        <w:pStyle w:val="Normal"/>
        <w:numPr>
          <w:ilvl w:val="1"/>
          <w:numId w:val="4"/>
        </w:numPr>
        <w:spacing w:lineRule="auto" w:line="360"/>
        <w:ind w:left="567" w:hanging="567"/>
        <w:jc w:val="both"/>
        <w:rPr>
          <w:b/>
          <w:b/>
        </w:rPr>
      </w:pPr>
      <w:r>
        <w:rPr>
          <w:b/>
        </w:rPr>
        <w:t xml:space="preserve">Prijaté granty a transfery </w:t>
      </w:r>
    </w:p>
    <w:p>
      <w:pPr>
        <w:pStyle w:val="Normal"/>
        <w:spacing w:lineRule="auto" w:line="360"/>
        <w:jc w:val="both"/>
        <w:rPr/>
      </w:pPr>
      <w:r>
        <w:rPr/>
        <w:t>V roku 2020 obec prijala nasledovné granty a transfery:</w:t>
      </w:r>
    </w:p>
    <w:tbl>
      <w:tblPr>
        <w:tblW w:w="8140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519"/>
        <w:gridCol w:w="1680"/>
        <w:gridCol w:w="2941"/>
      </w:tblGrid>
      <w:tr>
        <w:trPr>
          <w:trHeight w:val="315" w:hRule="atLeast"/>
        </w:trPr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Poskytovateľ dotácie</w:t>
            </w:r>
          </w:p>
        </w:tc>
        <w:tc>
          <w:tcPr>
            <w:tcW w:w="1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Suma v EUR</w:t>
            </w:r>
          </w:p>
        </w:tc>
        <w:tc>
          <w:tcPr>
            <w:tcW w:w="29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Účel</w:t>
            </w:r>
          </w:p>
        </w:tc>
      </w:tr>
      <w:tr>
        <w:trPr>
          <w:trHeight w:val="315" w:hRule="atLeast"/>
        </w:trPr>
        <w:tc>
          <w:tcPr>
            <w:tcW w:w="3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 xml:space="preserve">Zo ŠR MV </w:t>
            </w:r>
          </w:p>
        </w:tc>
        <w:tc>
          <w:tcPr>
            <w:tcW w:w="16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52,32 </w:t>
            </w:r>
          </w:p>
        </w:tc>
        <w:tc>
          <w:tcPr>
            <w:tcW w:w="294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decentralizácia</w:t>
            </w:r>
          </w:p>
        </w:tc>
      </w:tr>
      <w:tr>
        <w:trPr>
          <w:trHeight w:val="315" w:hRule="atLeast"/>
        </w:trPr>
        <w:tc>
          <w:tcPr>
            <w:tcW w:w="3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Zo ŠR MV štatistika</w:t>
            </w:r>
          </w:p>
        </w:tc>
        <w:tc>
          <w:tcPr>
            <w:tcW w:w="16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864,00 </w:t>
            </w:r>
          </w:p>
        </w:tc>
        <w:tc>
          <w:tcPr>
            <w:tcW w:w="294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SODB</w:t>
            </w:r>
          </w:p>
        </w:tc>
      </w:tr>
      <w:tr>
        <w:trPr>
          <w:trHeight w:val="315" w:hRule="atLeast"/>
        </w:trPr>
        <w:tc>
          <w:tcPr>
            <w:tcW w:w="3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 xml:space="preserve">Zo ŠR MV </w:t>
            </w:r>
          </w:p>
        </w:tc>
        <w:tc>
          <w:tcPr>
            <w:tcW w:w="16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55,00 </w:t>
            </w:r>
          </w:p>
        </w:tc>
        <w:tc>
          <w:tcPr>
            <w:tcW w:w="294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náklady covid</w:t>
            </w:r>
          </w:p>
        </w:tc>
      </w:tr>
      <w:tr>
        <w:trPr>
          <w:trHeight w:val="315" w:hRule="atLeast"/>
        </w:trPr>
        <w:tc>
          <w:tcPr>
            <w:tcW w:w="3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Zo ŠR ministerstvo vnútra</w:t>
            </w:r>
          </w:p>
        </w:tc>
        <w:tc>
          <w:tcPr>
            <w:tcW w:w="16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1 096,61 </w:t>
            </w:r>
          </w:p>
        </w:tc>
        <w:tc>
          <w:tcPr>
            <w:tcW w:w="294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voľby</w:t>
            </w:r>
          </w:p>
        </w:tc>
      </w:tr>
      <w:tr>
        <w:trPr>
          <w:trHeight w:val="315" w:hRule="atLeast"/>
        </w:trPr>
        <w:tc>
          <w:tcPr>
            <w:tcW w:w="3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4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3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6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2 067,93 </w:t>
            </w:r>
          </w:p>
        </w:tc>
        <w:tc>
          <w:tcPr>
            <w:tcW w:w="294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</w:tr>
    </w:tbl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1"/>
          <w:numId w:val="4"/>
        </w:numPr>
        <w:spacing w:lineRule="auto" w:line="360"/>
        <w:ind w:left="567" w:hanging="567"/>
        <w:jc w:val="both"/>
        <w:rPr>
          <w:color w:val="000000"/>
        </w:rPr>
      </w:pPr>
      <w:r>
        <w:rPr>
          <w:b/>
          <w:color w:val="000000"/>
        </w:rPr>
        <w:t>Významné investičné akcie v roku 2020</w:t>
      </w:r>
    </w:p>
    <w:p>
      <w:pPr>
        <w:pStyle w:val="Normal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obec začala s rekonštrukciou budovy na Dom smútku rekonštrukciou fasády KSB</w:t>
      </w:r>
    </w:p>
    <w:p>
      <w:pPr>
        <w:pStyle w:val="Normal"/>
        <w:ind w:left="720" w:hanging="0"/>
        <w:rPr>
          <w:color w:val="000000"/>
        </w:rPr>
      </w:pPr>
      <w:r>
        <w:rPr>
          <w:color w:val="000000"/>
        </w:rPr>
      </w:r>
    </w:p>
    <w:p>
      <w:pPr>
        <w:pStyle w:val="Normal"/>
        <w:numPr>
          <w:ilvl w:val="1"/>
          <w:numId w:val="4"/>
        </w:numPr>
        <w:spacing w:lineRule="auto" w:line="360"/>
        <w:ind w:left="567" w:hanging="567"/>
        <w:jc w:val="both"/>
        <w:rPr>
          <w:color w:val="000000"/>
        </w:rPr>
      </w:pPr>
      <w:r>
        <w:rPr>
          <w:b/>
          <w:color w:val="000000"/>
        </w:rPr>
        <w:t xml:space="preserve">Predpokladaný budúci vývoj činnosti </w:t>
      </w:r>
    </w:p>
    <w:p>
      <w:pPr>
        <w:pStyle w:val="Normal"/>
        <w:spacing w:lineRule="auto" w:line="360"/>
        <w:jc w:val="both"/>
        <w:rPr>
          <w:color w:val="000000"/>
        </w:rPr>
      </w:pPr>
      <w:r>
        <w:rPr>
          <w:color w:val="000000"/>
        </w:rPr>
        <w:t>Predpokladané investičné akcie realizované v budúcich rokoch:</w:t>
      </w:r>
    </w:p>
    <w:p>
      <w:pPr>
        <w:pStyle w:val="Normal"/>
        <w:numPr>
          <w:ilvl w:val="0"/>
          <w:numId w:val="1"/>
        </w:numPr>
        <w:spacing w:lineRule="auto" w:line="360"/>
        <w:jc w:val="both"/>
        <w:rPr>
          <w:color w:val="000000"/>
        </w:rPr>
      </w:pPr>
      <w:r>
        <w:rPr>
          <w:color w:val="000000"/>
        </w:rPr>
        <w:t>rekonštrukcia fasády KSB</w:t>
      </w:r>
    </w:p>
    <w:p>
      <w:pPr>
        <w:pStyle w:val="Normal"/>
        <w:numPr>
          <w:ilvl w:val="0"/>
          <w:numId w:val="1"/>
        </w:numPr>
        <w:spacing w:lineRule="auto" w:line="360"/>
        <w:jc w:val="both"/>
        <w:rPr>
          <w:color w:val="000000"/>
        </w:rPr>
      </w:pPr>
      <w:r>
        <w:rPr>
          <w:color w:val="000000"/>
        </w:rPr>
        <w:t>oprava domu smútku</w:t>
      </w:r>
    </w:p>
    <w:p>
      <w:pPr>
        <w:pStyle w:val="Normal"/>
        <w:numPr>
          <w:ilvl w:val="1"/>
          <w:numId w:val="4"/>
        </w:numPr>
        <w:spacing w:lineRule="auto" w:line="360"/>
        <w:ind w:left="567" w:hanging="567"/>
        <w:jc w:val="both"/>
        <w:rPr>
          <w:b/>
          <w:b/>
        </w:rPr>
      </w:pPr>
      <w:r>
        <w:rPr>
          <w:b/>
          <w:color w:val="000000"/>
        </w:rPr>
        <w:t>Udalosti osobitného význa</w:t>
      </w:r>
      <w:r>
        <w:rPr>
          <w:b/>
        </w:rPr>
        <w:t xml:space="preserve">mu po skončení účtovného obdobia </w:t>
      </w:r>
    </w:p>
    <w:p>
      <w:pPr>
        <w:pStyle w:val="Normal"/>
        <w:spacing w:lineRule="auto" w:line="360"/>
        <w:jc w:val="both"/>
        <w:rPr/>
      </w:pPr>
      <w:r>
        <w:rPr/>
        <w:t xml:space="preserve">Obec nezaznamenala žiadnu udalosť osobitného významu po skončení účtovného obdobia. </w:t>
      </w:r>
    </w:p>
    <w:p>
      <w:pPr>
        <w:pStyle w:val="Normal"/>
        <w:numPr>
          <w:ilvl w:val="1"/>
          <w:numId w:val="4"/>
        </w:numPr>
        <w:spacing w:lineRule="auto" w:line="360"/>
        <w:ind w:left="567" w:hanging="567"/>
        <w:jc w:val="both"/>
        <w:rPr>
          <w:b/>
          <w:b/>
        </w:rPr>
      </w:pPr>
      <w:r>
        <w:rPr>
          <w:b/>
        </w:rPr>
        <w:t xml:space="preserve">Významné riziká a neistoty, ktorým je účtovná jednotka vystavená  </w:t>
      </w:r>
    </w:p>
    <w:p>
      <w:pPr>
        <w:pStyle w:val="Normal"/>
        <w:spacing w:lineRule="auto" w:line="360"/>
        <w:jc w:val="both"/>
        <w:rPr/>
      </w:pPr>
      <w:r>
        <w:rPr/>
        <w:t>žiadne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>Vypracoval: Peter Rajnič                                                                  Schválil: Peter Rajnič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>
          <w:color w:val="FF0000"/>
        </w:rPr>
      </w:pPr>
      <w:r>
        <w:rPr/>
        <w:t>V Kožanoch  dňa 2</w:t>
      </w:r>
      <w:r>
        <w:rPr>
          <w:color w:val="000000"/>
        </w:rPr>
        <w:t>.06.2021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sectPr>
      <w:footerReference w:type="default" r:id="rId7"/>
      <w:type w:val="nextPage"/>
      <w:pgSz w:w="11906" w:h="16838"/>
      <w:pgMar w:left="720" w:right="720" w:header="0" w:top="720" w:footer="708" w:bottom="765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roman"/>
    <w:pitch w:val="variable"/>
  </w:font>
  <w:font w:name="Baskerville Old Face">
    <w:charset w:val="ee"/>
    <w:family w:val="roman"/>
    <w:pitch w:val="variable"/>
  </w:font>
  <w:font w:name="Bodoni MT Black">
    <w:charset w:val="ee"/>
    <w:family w:val="roman"/>
    <w:pitch w:val="variable"/>
  </w:font>
  <w:font w:name="Arial Rounded MT Bold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  <w:t xml:space="preserve">                                                                    </w:t>
    </w:r>
    <w:r>
      <mc:AlternateContent>
        <mc:Choice Requires="wps">
          <w:drawing>
            <wp:anchor behindDoc="0" distT="0" distB="0" distL="0" distR="0" simplePos="0" locked="0" layoutInCell="0" allowOverlap="1" relativeHeight="15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53035" cy="175260"/>
              <wp:effectExtent l="0" t="0" r="0" b="0"/>
              <wp:wrapSquare wrapText="bothSides"/>
              <wp:docPr id="6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3035" cy="17526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10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12.05pt;height:13.8pt;mso-wrap-distance-left:0pt;mso-wrap-distance-right:0pt;mso-wrap-distance-top:0pt;mso-wrap-distance-bottom:0pt;margin-top:0.05pt;mso-position-vertical-relative:text;margin-left:511.25pt;mso-position-horizontal:right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pBdr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10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5">
    <w:lvl w:ilvl="0">
      <w:start w:val="10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3045ee"/>
    <w:rPr/>
  </w:style>
  <w:style w:type="character" w:styleId="Strong">
    <w:name w:val="Strong"/>
    <w:basedOn w:val="DefaultParagraphFont"/>
    <w:uiPriority w:val="22"/>
    <w:qFormat/>
    <w:rsid w:val="005347cf"/>
    <w:rPr>
      <w:b/>
      <w:bCs/>
    </w:rPr>
  </w:style>
  <w:style w:type="character" w:styleId="Zdraznenie">
    <w:name w:val="Zdôraznenie"/>
    <w:basedOn w:val="DefaultParagraphFont"/>
    <w:uiPriority w:val="20"/>
    <w:qFormat/>
    <w:rsid w:val="005347cf"/>
    <w:rPr>
      <w:i/>
      <w:iCs/>
    </w:rPr>
  </w:style>
  <w:style w:type="character" w:styleId="TextbublinyChar" w:customStyle="1">
    <w:name w:val="Text bubliny Char"/>
    <w:basedOn w:val="DefaultParagraphFont"/>
    <w:link w:val="Textbubliny"/>
    <w:qFormat/>
    <w:rsid w:val="00cd41ff"/>
    <w:rPr>
      <w:rFonts w:ascii="Segoe UI" w:hAnsi="Segoe UI" w:cs="Segoe UI"/>
      <w:sz w:val="18"/>
      <w:szCs w:val="18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rsid w:val="003045ee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Zhlavie">
    <w:name w:val="Header"/>
    <w:basedOn w:val="Normal"/>
    <w:rsid w:val="008e0541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NoSpacing">
    <w:name w:val="No Spacing"/>
    <w:qFormat/>
    <w:rsid w:val="000f6da0"/>
    <w:pPr>
      <w:widowControl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cs-CZ" w:eastAsia="en-US" w:bidi="ar-SA"/>
    </w:rPr>
  </w:style>
  <w:style w:type="paragraph" w:styleId="ListParagraph">
    <w:name w:val="List Paragraph"/>
    <w:basedOn w:val="Normal"/>
    <w:uiPriority w:val="34"/>
    <w:qFormat/>
    <w:rsid w:val="00c81834"/>
    <w:pPr>
      <w:ind w:left="708" w:hanging="0"/>
    </w:pPr>
    <w:rPr/>
  </w:style>
  <w:style w:type="paragraph" w:styleId="NormalWeb">
    <w:name w:val="Normal (Web)"/>
    <w:basedOn w:val="Normal"/>
    <w:uiPriority w:val="99"/>
    <w:unhideWhenUsed/>
    <w:qFormat/>
    <w:rsid w:val="00c81834"/>
    <w:pPr>
      <w:spacing w:beforeAutospacing="1" w:afterAutospacing="1"/>
    </w:pPr>
    <w:rPr/>
  </w:style>
  <w:style w:type="paragraph" w:styleId="BalloonText">
    <w:name w:val="Balloon Text"/>
    <w:basedOn w:val="Normal"/>
    <w:link w:val="TextbublinyChar"/>
    <w:qFormat/>
    <w:rsid w:val="00cd41ff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e07d6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image" Target="media/image3.jpeg"/><Relationship Id="rId5" Type="http://schemas.openxmlformats.org/officeDocument/2006/relationships/image" Target="media/image4.jpeg"/><Relationship Id="rId6" Type="http://schemas.openxmlformats.org/officeDocument/2006/relationships/image" Target="media/image5.jpeg"/><Relationship Id="rId7" Type="http://schemas.openxmlformats.org/officeDocument/2006/relationships/footer" Target="footer1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LibreOffice/7.0.3.1$Windows_X86_64 LibreOffice_project/d7547858d014d4cf69878db179d326fc3483e082</Application>
  <Pages>10</Pages>
  <Words>2216</Words>
  <Characters>12345</Characters>
  <CharactersWithSpaces>15129</CharactersWithSpaces>
  <Paragraphs>545</Paragraphs>
  <Company>xy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2021-12-29T11:13:00Z</dcterms:created>
  <dc:creator>Terka</dc:creator>
  <dc:description/>
  <dc:language>sk-SK</dc:language>
  <cp:lastModifiedBy/>
  <cp:lastPrinted>2017-12-29T07:19:00Z</cp:lastPrinted>
  <dcterms:modified xsi:type="dcterms:W3CDTF">2021-12-29T12:37:13Z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xy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