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52"/>
          <w:szCs w:val="52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  <w:t>Individuálna výročná správa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52"/>
          <w:szCs w:val="52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  <w:t>Obce Rešov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52"/>
          <w:szCs w:val="52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52"/>
          <w:sz w:val="52"/>
          <w:szCs w:val="52"/>
          <w:u w:val="none"/>
          <w:shd w:fill="auto" w:val="clear"/>
          <w:vertAlign w:val="baseline"/>
        </w:rPr>
        <w:t>za rok 2020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  <w:tab/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44"/>
          <w:szCs w:val="4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  <w:t xml:space="preserve">                                                       </w:t>
      </w: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  <w:t>............................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40"/>
          <w:szCs w:val="40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44"/>
          <w:sz w:val="44"/>
          <w:szCs w:val="44"/>
          <w:u w:val="none"/>
          <w:shd w:fill="auto" w:val="clear"/>
          <w:vertAlign w:val="baseline"/>
        </w:rPr>
        <w:t xml:space="preserve">                                                          </w:t>
      </w: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40"/>
          <w:sz w:val="40"/>
          <w:szCs w:val="40"/>
          <w:u w:val="none"/>
          <w:shd w:fill="auto" w:val="clear"/>
          <w:vertAlign w:val="baseline"/>
        </w:rPr>
        <w:t>starosta obce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OBSAH</w:t>
        <w:tab/>
        <w:t>str.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Úvodné slovo starostu obce </w:t>
        <w:tab/>
        <w:t xml:space="preserve"> </w:t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Organizačná štruktúra obce a identifikácia vedúcich predstaviteľov</w:t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Poslanie, vízie, ciele </w:t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Základná charakteristika obce</w:t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5.1.  Geografické údaje</w:t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5.2.  Demografické údaje</w:t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5.3.  Ekonomické údaje</w:t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5.4.  Symboly obce</w:t>
        <w:tab/>
        <w:tab/>
        <w:tab/>
        <w:tab/>
        <w:tab/>
        <w:tab/>
        <w:tab/>
        <w:tab/>
        <w:tab/>
        <w:tab/>
        <w:t>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5.5.  Logo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5.6.  História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5.7.  Pamiatky</w:t>
        <w:tab/>
        <w:tab/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5.8.  Významné osobnosti obce</w:t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Plnenie funkcií obce (prenesené kompetencie, originálne kompetencie)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284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6.1. Výchova a vzdelávanie</w:t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284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6.2. Zdravotníctvo</w:t>
        <w:tab/>
        <w:tab/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6.3. Sociálne zabezpečenie</w:t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6.4. Kultúra</w:t>
        <w:tab/>
        <w:tab/>
        <w:tab/>
        <w:tab/>
        <w:tab/>
        <w:tab/>
        <w:tab/>
        <w:tab/>
        <w:tab/>
        <w:tab/>
        <w:t>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6.5. Hospodárstvo</w:t>
        <w:tab/>
        <w:tab/>
        <w:tab/>
        <w:tab/>
        <w:tab/>
        <w:tab/>
        <w:tab/>
        <w:tab/>
        <w:tab/>
        <w:tab/>
        <w:t>5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Informácia o vývoji obce z pohľadu rozpočtovníctva</w:t>
        <w:tab/>
        <w:tab/>
        <w:tab/>
        <w:tab/>
        <w:tab/>
        <w:t>5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7.1.  Plnenie príjmov a čerpanie výdavkov za rok 2019</w:t>
        <w:tab/>
        <w:tab/>
        <w:tab/>
        <w:tab/>
        <w:tab/>
        <w:t>6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7.2.  Prebytok/schodok rozpočtového hospodárenia za rok 2019</w:t>
        <w:tab/>
        <w:tab/>
        <w:tab/>
        <w:tab/>
        <w:t>10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7.3.  Rozpočet na roky 2019 - 2021</w:t>
        <w:tab/>
        <w:tab/>
        <w:tab/>
        <w:tab/>
        <w:tab/>
        <w:tab/>
        <w:tab/>
        <w:t>10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Informácia o vývoji obce z pohľadu účtovníctva </w:t>
        <w:tab/>
        <w:tab/>
        <w:tab/>
        <w:tab/>
        <w:tab/>
        <w:t>12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8.1.  Majetok</w:t>
        <w:tab/>
        <w:tab/>
        <w:tab/>
        <w:tab/>
        <w:tab/>
        <w:tab/>
        <w:tab/>
        <w:tab/>
        <w:tab/>
        <w:tab/>
        <w:t>12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8.2.  Zdroje krytia</w:t>
        <w:tab/>
        <w:tab/>
        <w:tab/>
        <w:tab/>
        <w:tab/>
        <w:tab/>
        <w:tab/>
        <w:tab/>
        <w:tab/>
        <w:tab/>
        <w:t>12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8.3.  Pohľadávky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8.4.  Záväzky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Hospodársky výsledok za rok 2019 - vývoj nákladov a výnosov</w:t>
        <w:tab/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3"/>
        </w:numPr>
        <w:pBdr/>
        <w:shd w:val="clear" w:fill="auto"/>
        <w:spacing w:lineRule="auto" w:line="360" w:before="0" w:after="0"/>
        <w:ind w:left="426" w:right="0" w:hanging="426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Ostatné dôležité informácie</w:t>
        <w:tab/>
        <w:tab/>
        <w:tab/>
        <w:tab/>
        <w:tab/>
        <w:tab/>
        <w:tab/>
        <w:tab/>
        <w:t>13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10.1.  Prijaté granty a transfery</w:t>
        <w:tab/>
        <w:tab/>
        <w:tab/>
        <w:tab/>
        <w:tab/>
        <w:tab/>
        <w:tab/>
        <w:tab/>
        <w:t>13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10.2.  Poskytnuté dotácie</w:t>
        <w:tab/>
        <w:tab/>
        <w:tab/>
        <w:tab/>
        <w:tab/>
        <w:tab/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10.3.  Významné investičné akcie v roku 2019</w:t>
        <w:tab/>
        <w:tab/>
        <w:tab/>
        <w:tab/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67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10.4.  Predpokladaný budúci vývoj činnosti</w:t>
        <w:tab/>
        <w:tab/>
        <w:tab/>
        <w:tab/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10.5   Udalosti osobitného významu po skončení účtovného obdobia</w:t>
        <w:tab/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-5529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10.6. Významné riziká a neistoty, ktorým je účtovná jednotka vystavená </w:t>
        <w:tab/>
        <w:tab/>
        <w:t>14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Úvodné slovo starostu obce </w:t>
        <w:tab/>
        <w:tab/>
        <w:tab/>
        <w:tab/>
        <w:tab/>
        <w:tab/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Identifikačné údaje obce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Názov: Obec Rešov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Sídlo: Rešov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IČO: 00322547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Štatutárny orgán obce: Ing. Helena Jamroškovičová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Telefón: 0905766330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Mail: ouresov@gmail.com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Webová stránka: www.reso</w:t>
      </w:r>
      <w:r>
        <w:rPr>
          <w:sz w:val="24"/>
          <w:szCs w:val="24"/>
        </w:rPr>
        <w:t>v.ocu.sk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Organizačná štruktúra obce a identifikácia vedúcich predstaviteľov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Starosta obce:  Ing. Helena Jamroškovičová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Zástupca starostu obce: Stanislav Vašičkanin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Hlavný kontrolór obce: Milada Guľová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Obecné zastupiteľstvo: Branislav Adamišin, Radoslav Jurčišin, Eduard Matta, Juraj Jurčišin, Stanislav Va</w:t>
      </w:r>
      <w:r>
        <w:rPr>
          <w:sz w:val="24"/>
          <w:szCs w:val="24"/>
        </w:rPr>
        <w:t>šičkanin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Komisie: </w:t>
      </w:r>
      <w:r>
        <w:rPr>
          <w:sz w:val="24"/>
          <w:szCs w:val="24"/>
        </w:rPr>
        <w:t>Kultúrno – športová komisia – Eduard Matta</w:t>
      </w:r>
    </w:p>
    <w:p>
      <w:pPr>
        <w:pStyle w:val="Normal1"/>
        <w:spacing w:lineRule="auto" w:line="36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 xml:space="preserve">   Komisia verejného poriadku – Juraj Jurčišin</w:t>
      </w:r>
    </w:p>
    <w:p>
      <w:pPr>
        <w:pStyle w:val="Normal1"/>
        <w:spacing w:lineRule="auto" w:line="36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tab/>
        <w:t>Finančná komisia – Radoslav Jurčišin</w:t>
      </w:r>
    </w:p>
    <w:p>
      <w:pPr>
        <w:pStyle w:val="Normal1"/>
        <w:spacing w:lineRule="auto" w:line="36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sz w:val="24"/>
          <w:szCs w:val="24"/>
        </w:rPr>
        <w:tab/>
        <w:t>Komisia výstavby – Branislav Adamišin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Obecný úrad: Rešov 36, 086 21  Lukavica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Poslanie, vízie, ciele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Poslanie obce:   Starostlivosť o rozvoj obce a obyvateľov. Zabezpečovanie kvalitných služieb</w:t>
      </w:r>
    </w:p>
    <w:p>
      <w:pPr>
        <w:pStyle w:val="Normal1"/>
        <w:spacing w:lineRule="auto" w:line="240" w:before="240" w:after="240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obyvateľom obce, podnikateľom a návštevníkom obce.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sz w:val="24"/>
          <w:szCs w:val="24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Vízie obce:</w:t>
      </w:r>
      <w:r>
        <w:rPr>
          <w:sz w:val="24"/>
          <w:szCs w:val="24"/>
        </w:rPr>
        <w:t xml:space="preserve">     Zvýšená kvalita života občanov a podnikateľského prostredia.</w:t>
      </w:r>
    </w:p>
    <w:p>
      <w:pPr>
        <w:pStyle w:val="Normal1"/>
        <w:spacing w:lineRule="auto" w:line="240" w:before="240" w:after="240"/>
        <w:rPr>
          <w:sz w:val="24"/>
          <w:szCs w:val="24"/>
        </w:rPr>
      </w:pPr>
      <w:r>
        <w:rPr>
          <w:sz w:val="24"/>
          <w:szCs w:val="24"/>
        </w:rPr>
        <w:t>Dobudovanie infraštruktúry.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sz w:val="24"/>
          <w:szCs w:val="24"/>
        </w:rPr>
      </w:pPr>
      <w:r>
        <w:rPr>
          <w:sz w:val="24"/>
          <w:szCs w:val="24"/>
        </w:rPr>
        <w:t>Vybudovanie priestorov na voľno časové aktivity.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Ciele obce:   Zabezpečiť trvalo udržateľný rozvoj obce Rešov po ekonomickej, sociálnej,</w:t>
      </w:r>
    </w:p>
    <w:p>
      <w:pPr>
        <w:pStyle w:val="Normal1"/>
        <w:spacing w:lineRule="auto" w:line="240" w:before="240" w:after="240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kultúrnej a environmentálnej stránke. Vytvoriť priaznivé životné podmienky pre</w:t>
      </w:r>
    </w:p>
    <w:p>
      <w:pPr>
        <w:pStyle w:val="Normal1"/>
        <w:spacing w:lineRule="auto" w:line="240" w:before="240" w:after="240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obyvateľov. Zachovávať kultúrne dedičstvo.</w:t>
      </w:r>
    </w:p>
    <w:p>
      <w:pPr>
        <w:pStyle w:val="Normal1"/>
        <w:spacing w:lineRule="auto" w:line="360" w:before="240" w:after="240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Základná charakteristika obce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Geografické údaje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Geografická poloha obce : </w:t>
      </w:r>
      <w:r>
        <w:rPr>
          <w:sz w:val="24"/>
          <w:szCs w:val="24"/>
        </w:rPr>
        <w:t>Obec Rešov sa nachádza na východnom Slovensku v Prešovskom kraji v okrese Bardejov. Vzdialenosť obce od okresného mesta je cca 10 km.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Susedné mestá a obce :Bardejov, Lukavica Vyšná Voľa, Nižná Voľa, Olšavce, Tročany, Kobyly, Raslavice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Celková rozloha obce :9162786 m²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Nadmorská výška :</w:t>
      </w:r>
      <w:r>
        <w:rPr>
          <w:sz w:val="24"/>
          <w:szCs w:val="24"/>
        </w:rPr>
        <w:t>485 m.n.m.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Demografické údaje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Hustota  a počet obyvateľov : </w:t>
      </w:r>
      <w:r>
        <w:rPr>
          <w:sz w:val="24"/>
          <w:szCs w:val="24"/>
        </w:rPr>
        <w:t>29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9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Národnostná štruktúra :</w:t>
      </w:r>
      <w:r>
        <w:rPr>
          <w:sz w:val="24"/>
          <w:szCs w:val="24"/>
        </w:rPr>
        <w:t>slovenská, rusínska, ukrajinská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Štruktúra obyvateľstva podľa náboženského významu :gréckokatolícke, rímskokatolícke a evanjelické náboženstvo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Symboly obce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Erb obce : Symbol obce  erb (znak) obce Rešov – strieborný letohrádok na vrchole vysokého zeleného kopca dolu prekrytého tromi čiernokmennými stromami so striebornými vajcovitými korunami . Erb obce Rešov sa môže používať v rokovacích miestnostiach</w:t>
      </w:r>
    </w:p>
    <w:p>
      <w:pPr>
        <w:pStyle w:val="Normal1"/>
        <w:spacing w:lineRule="auto" w:line="360" w:before="240" w:after="24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orgánov obce, na budove OCÚ a na úradných pečiatkach obce Rešov.</w:t>
      </w:r>
    </w:p>
    <w:p>
      <w:pPr>
        <w:pStyle w:val="Normal1"/>
        <w:spacing w:lineRule="auto" w:line="360" w:before="240" w:after="240"/>
        <w:jc w:val="both"/>
        <w:rPr>
          <w:sz w:val="24"/>
          <w:szCs w:val="24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Používanie erbu inými subjektmi môže povoliť len starosta obce na základe písomnej žiadosti.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Vlajka obce :            </w:t>
      </w:r>
      <w:r>
        <w:rPr/>
        <w:drawing>
          <wp:inline distT="0" distB="0" distL="0" distR="0">
            <wp:extent cx="1571625" cy="1809750"/>
            <wp:effectExtent l="0" t="0" r="0" b="0"/>
            <wp:docPr id="1" name="image3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.p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1"/>
        <w:spacing w:lineRule="auto" w:line="360" w:before="240" w:after="24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  <w:r>
        <w:rPr/>
        <w:drawing>
          <wp:inline distT="0" distB="0" distL="0" distR="0">
            <wp:extent cx="2390775" cy="2105025"/>
            <wp:effectExtent l="0" t="0" r="0" b="0"/>
            <wp:docPr id="2" name="image2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Pečať obce :</w:t>
      </w: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/>
        <w:drawing>
          <wp:inline distT="0" distB="0" distL="0" distR="0">
            <wp:extent cx="1438275" cy="1400175"/>
            <wp:effectExtent l="0" t="0" r="0" b="0"/>
            <wp:docPr id="3" name="image1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.png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Logo obce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História obce 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Najstaršia zmienka o rešovskom chotári pochádza z roku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1321. Historik Ferdinand Uličný sa domnieva, že Rešov ako usadlosť existovala už v druhej polovici 14. alebo začiatkom 15. storočia.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Prvé písomné svedectvo o existencie dediny Rešov (Rassow)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pochádza z roku 1438.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Rešovský chotár hraničí z chotármi obce Lukavica, Vyšná Voľa, Nižná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Voľa, Tročany, Kobyly a Kľušov. Svojou polohou v nadmorskej výške (cca.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430m. v strede obce) podstatne prevyšuje okolité dediny. Z rešovských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kopcov Šípotská hora (557,5m), Červená vŕba (550,7 m), Mihaľová hora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(529,1 m) vidieť veľmi peknú panorámu na celý prsteň okolitých hôr.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Usadlíci Rešova s najväčšou pravdepodobnosťou boli Lemkovia - Rusiny. Najrozšírenejším zamestnaním prvých usadlíkov bol najpravdepodobnejšie chov oviec a ďalším zdrojom obživy obyvateľov Rešova bolo drevo, ktoré furmani dodávali Bardejovčanom ako stavebný materiál i ako palivo.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Márie Marečková v svojom odbornom článku z roku 1975 píše, že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poddaní z Rešova a iných okolitých obci venovali sa furmanke, vozili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tovar až do Krakowa.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Ľudovo sa traduje, že pôvodne obyvateľstvo sa sem prisťahovalo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niekde z okolia poľského mesta Rzeszów.  O určitých súvislostiach z oblasti jazykovedy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medzi rusínmi z okolia poľského Rzeszówa a rusínmi v Rešove mohol by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naznačovať rešovský dialekt.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Začiatkom 16. storočia obec Rešov patrila rodu bohatých uhorských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magnátov Zapoľských, pochádzajúcim z chorvatskej osady Zapolja a po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r.1527 bardejovskému šľachticovi Bernardovi Baranovi, nádvorníkovi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kráľa Ľudovíta II. Po smrti Martina Barana, kráľ Ferdinand I. venoval Rešov  veliteľovi jágerského zámku Jurajovi Bornemissovi.V medzivojnovom období sa v obci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nachádzal kaštieľ, posledným vlastníkom ktorého bol gróf Erdödy.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Pravdepodobne ešte v 16. alebo začiatkom 17. storočia Rešov sa stal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strediskom veriacich východného obradu z Bardejova a jeho okolia.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Historici dejín cirkevnej architektúry sa zhodujú v tom, že v Rešove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sa nachádzal najstarší drevený chrám východného obradu  Pravdepodobne v roku 1739 tento drevený chrám aj s ikonostasom bol prevezený do susednej obci Tročany. O tom, že tročanský chrám sa pôvodne nachádzal v Rešove, svedči nápis v cirkevnoslovanskom jazyku na hlavnom obraze ikonostasu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Ukrižovanie. V preklade do slovenčiny nápis znie: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Tento obraz kúpil som ja, mnohohriešny rab Boží Fedor Temeš,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rešovský farár, starého popa Ivana Temeša vnuk. Za svoje zdravie a za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odpustenie hriechov svojich rodičov do cerkvi rešovskej ku chrámu Pokrovy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Presvätej Bohorodičky 23. januára roku Božieho 1634.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Rešov bol od dávnych čias spádovou obcou Rusínov zo širokého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okolia o čom svedčí dvojzväzková rešovská matrika o narodení, sobáši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a úmrtiach od r. 1854 do r. 1904, ktorá sa nachádza v Štátnom oblastnom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archíve v Prešove.  V rešovskom gréckokatolíckom chráme bol m. i. pokrstený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aj dedo rehoľnej sestry Miriam Terézie Demjanovičovej (1901 – 1928),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ktorá ma byť onedlho kanonizovaná ako prvá svätica z USA. V Rešove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boli pokrstení a uzavreli svätosť manželstva aj jej budúci rodičia, ktorí sa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potom z Bardejovskej Zábavy vysťahovali do USA.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roku 1600 bolo v Rešove 20 obývaných poddanských domov, čo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znamená, že na vtedajšie pomery Rešov bol stredne veľkou dedinou.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Do dejín Rešova sa smutne zapísala prvá svetová vojna, z ktorej sa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domov nevrátilo 6 rešovčanov.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Počas druhej svetovej vojny v okolí Rešova pôsobilo niekoľko partizánskych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skupin.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lete roku 1960 bol do dediny zavedený elektrický prúd a v roku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1962 po dokončení výstavby novej štátnej cesty z Lukavici do Rešova,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začal do obce pravidelne premávať autobus z Bardejova.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roku 1977 bol vystavený Kultúrny dom a v 2009 bola vykonaná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kompletná rekonštrukcia. Plynofikácia obce bola prevedená v roku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2001. Novú školu  rešovčania postavili v roku 1963. V súčasnosti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Rešove žije 309 obyvateľov. Obec má materskú školu. V obci sa nachádza chrám Ochrany presvätej Bohorodičky z roku 1826, dve kaplnky a 12 krížov. Rešov je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zime obľúbeným miestom pre milovníkov zimných športov – bežkárov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a v lete peších turistov. Obec je známa svojim ľudovým folklórom. V roku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2008 bol založený spevácky folklórny súbor, ktorý je známy nielen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v našom regióne, ale aj v zahraničí a tiež veľmi úspešné funguje amatérske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divadlo. Starostkou obce v súčasnosti je Ing. Helena Jamroškovičová.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Spracovali Ivan Hvať a Helena Jamroškovičová na základe kníh: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M. Mušinka, A. Mušinka: Rešov. Dejiny obce a farnosti, Prešov 1999.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M. Mušinka, A. Mušinka: Národnostná menšina pred zánikom?,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Prešov 2011.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Doplneno z publikácii: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H. I. Bidermann: Die ungarichen Ruthenen. Ihr Wohngediet, ihr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Erwerb und ihre Geschichte I, Insbruck 1862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Eugen Janota: Bardyjów. Historyczno-topograficzny opis miasta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i okolicy, Kraków 1862,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Marie Marečková: Bardějovské poddanské vesnice v prvé polovině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17. století, in: Sborník praci filozofické fakulty Brněnske univerzity, řáda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historická, c 21-22, 1975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Jana Koprivňáková: Z dejín školstva v stredovekom a novovekom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Uhorsku, in: Dejiny cirkevného gréckokatolíckeho školstva na Slovensku,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  <w:t>Prešov 2009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righ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Pamiatky - Chrám presv</w:t>
      </w:r>
      <w:r>
        <w:rPr>
          <w:b/>
          <w:sz w:val="24"/>
          <w:szCs w:val="24"/>
        </w:rPr>
        <w:t>ätej bohorodičky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 xml:space="preserve">Plnenie funkcií  obce (prenesené kompetencie, originálne kompetencie)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Výchova a vzdelávanie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435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V súčasnosti výchovu a vzdelávanie detí v obci poskytuje: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5"/>
        </w:numPr>
        <w:pBdr/>
        <w:shd w:val="clear" w:fill="auto"/>
        <w:spacing w:lineRule="auto" w:line="360" w:before="0" w:after="0"/>
        <w:ind w:left="795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Materská škola ...........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795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435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Na základe analýzy doterajšieho vývoja možno očakávať, že rozvoj vzdelávania sa bude orientovať na : </w:t>
      </w:r>
      <w:r>
        <w:rPr>
          <w:sz w:val="24"/>
          <w:szCs w:val="24"/>
        </w:rPr>
        <w:t>obnovenie základnej školy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Kultúra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>Spoločenský a kultúrny život v obci zabezpečuje :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  </w:t>
        <w:tab/>
        <w:t>Knižnica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  </w:t>
        <w:tab/>
        <w:t>Dedinská folklórna skupina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 </w:t>
        <w:tab/>
        <w:t>MO JDS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 </w:t>
        <w:tab/>
        <w:t>MO MS</w:t>
      </w:r>
    </w:p>
    <w:p>
      <w:pPr>
        <w:pStyle w:val="Normal1"/>
        <w:spacing w:lineRule="auto" w:line="240" w:before="240" w:after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 </w:t>
        <w:tab/>
        <w:t>MO UŽS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Hospodárstvo </w:t>
      </w:r>
    </w:p>
    <w:p>
      <w:pPr>
        <w:pStyle w:val="Normal1"/>
        <w:spacing w:lineRule="auto" w:line="360" w:before="240" w:after="240"/>
        <w:ind w:left="440" w:hanging="0"/>
        <w:jc w:val="both"/>
        <w:rPr>
          <w:sz w:val="24"/>
          <w:szCs w:val="24"/>
        </w:rPr>
      </w:pPr>
      <w:r>
        <w:rPr>
          <w:sz w:val="24"/>
          <w:szCs w:val="24"/>
        </w:rPr>
        <w:t>Najvýznamnejší poskytovatelia služieb v obci :</w:t>
      </w:r>
    </w:p>
    <w:p>
      <w:pPr>
        <w:pStyle w:val="Normal1"/>
        <w:spacing w:lineRule="auto" w:line="360" w:before="240" w:after="240"/>
        <w:ind w:left="800" w:hanging="0"/>
        <w:jc w:val="both"/>
        <w:rPr>
          <w:sz w:val="24"/>
          <w:szCs w:val="24"/>
        </w:rPr>
      </w:pPr>
      <w:r>
        <w:rPr>
          <w:sz w:val="24"/>
          <w:szCs w:val="24"/>
        </w:rPr>
        <w:t>RV Porúbka – agropodnikateľ hospodáriaci v katastri  Rešov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Informácia o vývoji obce z pohľadu rozpočtovníctva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Základným   nástrojom  finančného  hospodárenia  obce  bol   rozpočet   obce   na  rok   2019. Obec v roku 2018 zostavila rozpočet podľa ustanovenia § 10 odsek 7) zákona č.583/2004 Z.z. o rozpočtových pravidlách územnej samosprávy a o zmene a doplnení niektorých zákonov v znení neskorších predpisov.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Základným   nástrojom  finančného  hospodárenia  obce  bol   rozpočet   obce   na  rok   2020.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Rozpočet obce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na rok 2020 bol zostavený ako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prebytkový.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Bežný rozpočet bol zostavený ako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prebytkový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a  kapitálový   rozpočet bol nulový  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Hospodárenie obce sa riadilo podľa schváleného rozpočtu na rok 2020.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Rozpočet obce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bol schválený obecným zastupiteľstvom dňa 15.12.2019 uz.č.39/2019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Rozpočet bol upravovaný: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prvá úprava dňa 30.9.2020 podľa §14 právomoci SO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druhá úprava 15.12.2020, uznesenie č.40/2020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tretia úprava podľa §14 právomoci SO k 31.12.2020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Plnenie príjmov a čerpanie výdavkov za rok 2020</w:t>
        <w:tab/>
        <w:tab/>
      </w:r>
    </w:p>
    <w:tbl>
      <w:tblPr>
        <w:tblStyle w:val="Table1"/>
        <w:tblW w:w="931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409"/>
        <w:gridCol w:w="1416"/>
        <w:gridCol w:w="1703"/>
        <w:gridCol w:w="2053"/>
        <w:gridCol w:w="1730"/>
      </w:tblGrid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Rozpočet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Skutočné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plnenie príjmov/ čerpanie výdavkov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k 31.12.2020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% plnenia príjmov/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% čerpania výdavkov 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177 570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224 896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224 891,52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139 570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144 371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144 366,31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38 000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80 525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80 525,21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Príjmy RO s právnou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172 563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219 664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219 607,01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133 363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131 628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131 570,30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38 000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86 836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86 836,71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1 200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1 200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1 200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Výdavky RO s právnou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5 007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5 232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5 284,51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Prebytok/schodok rozpočtového hospodárenia za rok 2020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  <w:bookmarkStart w:id="0" w:name="_heading=h.gjdgxs"/>
      <w:bookmarkStart w:id="1" w:name="_heading=h.gjdgxs"/>
      <w:bookmarkEnd w:id="1"/>
    </w:p>
    <w:tbl>
      <w:tblPr>
        <w:tblStyle w:val="Table2"/>
        <w:tblW w:w="9498" w:type="dxa"/>
        <w:jc w:val="left"/>
        <w:tblInd w:w="-11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811"/>
        <w:gridCol w:w="3686"/>
      </w:tblGrid>
      <w:tr>
        <w:trPr>
          <w:trHeight w:val="300" w:hRule="atLeast"/>
        </w:trPr>
        <w:tc>
          <w:tcPr>
            <w:tcW w:w="5811" w:type="dxa"/>
            <w:tcBorders>
              <w:top w:val="single" w:sz="6" w:space="0" w:color="000000"/>
              <w:left w:val="single" w:sz="6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/>
                <w:b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82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 EUR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z toho : bežné príjmy obce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144 366,31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         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bežné príjmy RO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144 366,31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Bežné výdavky spolu       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FFFFFF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131 570,30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z toho : bežné výdavky  obce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</w:t>
            </w: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31 570,30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         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bežné výdavky  RO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Bežný rozpočet                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12 796,01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Kapitálové  príjmy spolu           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FFFFFF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z toho : kapitálové  príjmy obce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         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kapitálové  príjmy RO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Kapitálové  výdavky spolu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FFFFFF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86 836,71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z toho : kapitálové  výdavky  obce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</w:t>
            </w: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6 836,71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         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kapitálové  výdavky  RO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Kapitálový rozpočet                                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-86 836,71</w:t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Prebytok/schodok bežného a kapitálového rozpočtu  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numPr>
                <w:ilvl w:val="0"/>
                <w:numId w:val="1"/>
              </w:numPr>
              <w:pBdr/>
              <w:shd w:val="clear" w:fill="auto"/>
              <w:spacing w:lineRule="auto" w:line="240" w:before="0" w:after="0"/>
              <w:ind w:left="720" w:right="0" w:hanging="36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74 040 ,07</w:t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FFFFFF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Vylúčenie z prebytku 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FFFFFF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6" w:space="0" w:color="000000"/>
            </w:tcBorders>
            <w:shd w:fill="DDD9C3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72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Príjmy z finančných operácií                        </w:t>
            </w:r>
          </w:p>
        </w:tc>
        <w:tc>
          <w:tcPr>
            <w:tcW w:w="3686" w:type="dxa"/>
            <w:tcBorders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80 525,21</w:t>
            </w:r>
          </w:p>
        </w:tc>
      </w:tr>
      <w:tr>
        <w:trPr>
          <w:trHeight w:val="300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Výdavky z finančných operácií                            </w:t>
            </w:r>
          </w:p>
        </w:tc>
        <w:tc>
          <w:tcPr>
            <w:tcW w:w="3686" w:type="dxa"/>
            <w:tcBorders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1 200,00</w:t>
            </w:r>
          </w:p>
        </w:tc>
      </w:tr>
      <w:tr>
        <w:trPr>
          <w:trHeight w:val="285" w:hRule="atLeast"/>
        </w:trPr>
        <w:tc>
          <w:tcPr>
            <w:tcW w:w="581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Rozdiel finančných operácií                        </w:t>
            </w:r>
          </w:p>
        </w:tc>
        <w:tc>
          <w:tcPr>
            <w:tcW w:w="3686" w:type="dxa"/>
            <w:tcBorders>
              <w:top w:val="single" w:sz="4" w:space="0" w:color="000000"/>
              <w:bottom w:val="single" w:sz="8" w:space="0" w:color="000000"/>
              <w:right w:val="single" w:sz="6" w:space="0" w:color="000000"/>
            </w:tcBorders>
            <w:shd w:fill="D9D9D9" w:val="clear"/>
            <w:vAlign w:val="cente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79 325,21</w:t>
            </w:r>
          </w:p>
        </w:tc>
      </w:tr>
      <w:tr>
        <w:trPr>
          <w:trHeight w:val="300" w:hRule="atLeast"/>
        </w:trPr>
        <w:tc>
          <w:tcPr>
            <w:tcW w:w="5811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85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smallCaps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PRÍJMY SPOLU                                        </w:t>
            </w:r>
          </w:p>
        </w:tc>
        <w:tc>
          <w:tcPr>
            <w:tcW w:w="3686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-108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smallCaps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224 891,52</w:t>
            </w:r>
          </w:p>
        </w:tc>
      </w:tr>
      <w:tr>
        <w:trPr>
          <w:trHeight w:val="300" w:hRule="atLeast"/>
        </w:trPr>
        <w:tc>
          <w:tcPr>
            <w:tcW w:w="5811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85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smallCaps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VÝDAVKY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SPOLU                                   </w:t>
            </w:r>
          </w:p>
        </w:tc>
        <w:tc>
          <w:tcPr>
            <w:tcW w:w="3686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-108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219 607,01</w:t>
            </w:r>
          </w:p>
        </w:tc>
      </w:tr>
      <w:tr>
        <w:trPr>
          <w:trHeight w:val="285" w:hRule="atLeast"/>
        </w:trPr>
        <w:tc>
          <w:tcPr>
            <w:tcW w:w="5811" w:type="dxa"/>
            <w:tcBorders/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85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Hospodárenie obce                                        </w:t>
            </w:r>
          </w:p>
        </w:tc>
        <w:tc>
          <w:tcPr>
            <w:tcW w:w="3686" w:type="dxa"/>
            <w:tcBorders/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-108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5 284,51</w:t>
            </w:r>
          </w:p>
        </w:tc>
      </w:tr>
      <w:tr>
        <w:trPr>
          <w:trHeight w:val="300" w:hRule="atLeast"/>
        </w:trPr>
        <w:tc>
          <w:tcPr>
            <w:tcW w:w="5811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85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Vylúčenie z prebytku</w:t>
            </w:r>
          </w:p>
        </w:tc>
        <w:tc>
          <w:tcPr>
            <w:tcW w:w="3686" w:type="dxa"/>
            <w:tcBorders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-108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-968,61</w:t>
            </w:r>
          </w:p>
        </w:tc>
      </w:tr>
      <w:tr>
        <w:trPr>
          <w:trHeight w:val="285" w:hRule="atLeast"/>
        </w:trPr>
        <w:tc>
          <w:tcPr>
            <w:tcW w:w="5811" w:type="dxa"/>
            <w:tcBorders/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85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Upravené hospodárenie obce                       </w:t>
            </w:r>
          </w:p>
        </w:tc>
        <w:tc>
          <w:tcPr>
            <w:tcW w:w="3686" w:type="dxa"/>
            <w:tcBorders/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-108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4 315,90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54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540" w:right="0" w:hanging="0"/>
        <w:jc w:val="lef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highlight w:val="lightGray"/>
          <w:u w:val="none"/>
          <w:vertAlign w:val="baseline"/>
        </w:rPr>
        <w:t>Riešenie hospodárenia obcí napr.:</w:t>
      </w: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5850" w:leader="none"/>
        </w:tabs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1.varianta :</w:t>
        <w:tab/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774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Prebytok rozpočtu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v sume  4 315,90  EUR  zistený podľa ustanovenia § 10 ods. 3 písm. a) a b) zákona č. 583/2004 Z.z. o rozpočtových pravidlách územnej samosprávy a o zmene a doplnení niektorých zákonov v znení neskorších predpisov, navrhujeme použiť na vyplatenie záväzkov a ostatné použiť na</w:t>
        <w:tab/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tabs>
          <w:tab w:val="clear" w:pos="720"/>
          <w:tab w:val="right" w:pos="5580" w:leader="none"/>
        </w:tabs>
        <w:spacing w:lineRule="auto" w:line="24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tvorbu rezervného fondu   4 315,90   EUR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558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Rozpočet na roky 2020 - 2022</w:t>
        <w:tab/>
        <w:tab/>
        <w:tab/>
        <w:tab/>
        <w:tab/>
      </w:r>
    </w:p>
    <w:tbl>
      <w:tblPr>
        <w:tblStyle w:val="Table3"/>
        <w:tblW w:w="751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138"/>
        <w:gridCol w:w="1641"/>
        <w:gridCol w:w="1891"/>
        <w:gridCol w:w="1842"/>
      </w:tblGrid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Skutočnosť k 31.12.2020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Rozpočet  na rok 2021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Rozpočet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na rok 2022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Príjmy celkom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224 891,52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129 986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139 221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Bežné príjmy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144 366,31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129 986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139 221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Kapitálové príjmy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Finančné príjmy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80 525,21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Príjmy RO s právnou subjektivitou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tbl>
      <w:tblPr>
        <w:tblStyle w:val="Table4"/>
        <w:tblW w:w="7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138"/>
        <w:gridCol w:w="1642"/>
        <w:gridCol w:w="1717"/>
        <w:gridCol w:w="1868"/>
      </w:tblGrid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Skutočnosť k 31.12.2020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Rozpočet  na rok 2021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Rozpočet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na rok 2022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219 607,01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129 829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132 531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131 570,30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128 629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132 531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86 836,71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1 200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1 200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FF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tabs>
                <w:tab w:val="clear" w:pos="720"/>
                <w:tab w:val="right" w:pos="8460" w:leader="none"/>
              </w:tabs>
              <w:spacing w:lineRule="auto" w:line="24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340" w:leader="none"/>
          <w:tab w:val="right" w:pos="6840" w:leader="none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Informácia o vývoji obce z pohľadu účtovníctva</w:t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Majetok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A K T Í V A </w:t>
      </w:r>
    </w:p>
    <w:tbl>
      <w:tblPr>
        <w:tblStyle w:val="Table5"/>
        <w:tblW w:w="942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756"/>
        <w:gridCol w:w="2869"/>
        <w:gridCol w:w="2801"/>
      </w:tblGrid>
      <w:tr>
        <w:trPr>
          <w:trHeight w:val="708" w:hRule="atLeast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Názov 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ZS  k  31.12.2020  v EUR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KZ  k 31.12.2019 v EUR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Majetok spolu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456 703,38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418184,39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Neobežný majetok spolu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436 525,43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364841,72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Dlhodobý nehmotný majetok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Dlhodobý hmotný majetok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436 525,43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364841,71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Dlhodobý finančný majetok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Obežný majetok spolu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19 860,53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53019,63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Zásoby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Zúčtovanie medzi subjektami VS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Dlhodobé pohľadávky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Krátkodobé pohľadávky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2 398,37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2464,29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Finančné účty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17 462,19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50326,82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Poskytnuté návratné fin. výpomoci dlh.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Poskytnuté návratné fin. výpomoci krát.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Časové rozlíšenie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317,39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323,04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</w:t>
      </w: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 A S I V A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tbl>
      <w:tblPr>
        <w:tblStyle w:val="Table6"/>
        <w:tblW w:w="942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756"/>
        <w:gridCol w:w="2869"/>
        <w:gridCol w:w="2801"/>
      </w:tblGrid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Názov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ZS  k  31.12.2020 v EUR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KZ  k  31.12.2019 v EUR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Vlastné imanie a záväzky spolu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456 703,38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418184,39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Vlastné imanie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183 197,57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174131,30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Oceňovacie rozdiely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Fondy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Výsledok hospodárenia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183 197,54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174131,30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Záväzky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58 644,02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55074,27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Rezervy 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2 450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1950</w:t>
            </w:r>
          </w:p>
        </w:tc>
      </w:tr>
      <w:tr>
        <w:trPr>
          <w:trHeight w:val="452" w:hRule="atLeast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Zúčtovanie medzi subjektami VS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968,61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38136,80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Dlhodobé záväzky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100,40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Krátkodobé záväzky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9 616,93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10804,60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Bankové úvery a výpomoci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45 508,08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4182,87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Časové rozlíšenie</w:t>
            </w:r>
          </w:p>
        </w:tc>
        <w:tc>
          <w:tcPr>
            <w:tcW w:w="2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214 861,82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188978,82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Zdroje krytia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Analýza významných položiek z účtovnej závierky: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prírastkov/úbytkov majetku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predaja  dlhodobého majetku 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prijatých dlhodobých a krátkodobých bankových úverov 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...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Pohľadávky </w:t>
      </w:r>
    </w:p>
    <w:tbl>
      <w:tblPr>
        <w:tblStyle w:val="Table7"/>
        <w:tblW w:w="821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102"/>
        <w:gridCol w:w="1557"/>
        <w:gridCol w:w="1558"/>
      </w:tblGrid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Zostatok k 31.12 2020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Zostatok k 31.12 2019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2 398,37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2 464,29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1"/>
          <w:numId w:val="4"/>
        </w:numPr>
        <w:pBdr/>
        <w:shd w:val="clear" w:fill="auto"/>
        <w:spacing w:lineRule="auto" w:line="360" w:before="0" w:after="0"/>
        <w:ind w:left="426" w:right="0" w:hanging="426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Záväzky</w:t>
      </w:r>
    </w:p>
    <w:tbl>
      <w:tblPr>
        <w:tblStyle w:val="Table8"/>
        <w:tblW w:w="821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102"/>
        <w:gridCol w:w="1557"/>
        <w:gridCol w:w="1558"/>
      </w:tblGrid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Zostatok k 31.12 2020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Zostatok k 31.12 2019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9 717,33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10 804,60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righ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24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Analýza významných položiek z účtovnej závierky: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nárast/pokles pohľadávok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nárast/pokles záväzkov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1"/>
        </w:numPr>
        <w:pBdr/>
        <w:shd w:val="clear" w:fill="auto"/>
        <w:spacing w:lineRule="auto" w:line="360" w:before="0" w:after="0"/>
        <w:ind w:left="720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...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FF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4"/>
        </w:numPr>
        <w:pBdr/>
        <w:shd w:val="clear" w:fill="auto"/>
        <w:spacing w:lineRule="auto" w:line="360" w:before="0" w:after="0"/>
        <w:ind w:left="284" w:right="0" w:hanging="284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8"/>
          <w:szCs w:val="28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auto" w:val="clear"/>
          <w:vertAlign w:val="baseline"/>
        </w:rPr>
        <w:t>Hospodársky výsledok  za 2020 - vývoj nákladov a výnosov</w:t>
      </w:r>
    </w:p>
    <w:tbl>
      <w:tblPr>
        <w:tblStyle w:val="Table9"/>
        <w:tblW w:w="628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240"/>
        <w:gridCol w:w="1548"/>
        <w:gridCol w:w="1495"/>
      </w:tblGrid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Názov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188" w:right="0" w:firstLine="188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Skutočnosť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-188" w:right="0" w:firstLine="188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k 31.12. 2020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DD9C3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Skutočnosť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k 31.12.2019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Náklady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145 912,00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173 398,41</w:t>
            </w:r>
          </w:p>
        </w:tc>
      </w:tr>
      <w:tr>
        <w:trPr>
          <w:trHeight w:val="70" w:hRule="atLeast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50 – Spotrebované nákupy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18 994,95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19 447,06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51 – Služby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17 813,52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15 822,75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52 – Osobné náklady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86 726,34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119 461,35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53 – Dane a  poplatky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761,78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27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54 – Ostatné náklady na prevádzkovú činnosť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2 262,44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2 191,66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55 – Odpisy, rezervy a OP z prevádzkovej a finančnej činnosti a zúčtovanie časového rozlíšenia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15 053,00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14 839,96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56 – Finančné náklady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1 996,97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1 607,73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57 – Mimoriadne náklady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58 – Náklady na transfery a náklady z odvodov príjmov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2 303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59 – Dane z príjmov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tbl>
      <w:tblPr>
        <w:tblStyle w:val="Table10"/>
        <w:tblW w:w="628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363"/>
        <w:gridCol w:w="1783"/>
        <w:gridCol w:w="2137"/>
      </w:tblGrid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Výnosy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154 978,24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181 736,39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60 – Tržby za vlastné výkony a tovar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1 660,56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3 790,71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61 – Zmena stavu vnútroorganizačných služieb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62 – Aktivácia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63 – Daňové a colné výnosy a výnosy z poplatkov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132 576,20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135 996,66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64 – Ostatné výnosy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119,49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547,87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65 – Zúčtovanie rezerv a OP z prevádzkovej a finančnej činnosti a zúčtovanie časového rozlíšenia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66 – Finančné výnosy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67 – Mimoriadne výnosy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20 621,99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41 401,15</w:t>
            </w:r>
          </w:p>
        </w:tc>
      </w:tr>
      <w:tr>
        <w:trPr/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Hospodársky výsledok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/+ kladný HV, - záporný HV/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72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9 066,24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numPr>
                <w:ilvl w:val="0"/>
                <w:numId w:val="1"/>
              </w:numPr>
              <w:pBdr/>
              <w:shd w:val="clear" w:fill="auto"/>
              <w:spacing w:lineRule="auto" w:line="360" w:before="0" w:after="0"/>
              <w:ind w:left="720" w:right="0" w:hanging="36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8 337,98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Hospodársky výsledok /kladný, záporný/ v sume  9 066,24  EUR bol zúčtovaný na účet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 Ostatné dôležité informácie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10.1 Prijaté granty a transfery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V roku 2020 obec prijala nasledovné granty a transfery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tbl>
      <w:tblPr>
        <w:tblStyle w:val="Table11"/>
        <w:tblW w:w="992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43"/>
        <w:gridCol w:w="3514"/>
        <w:gridCol w:w="1530"/>
        <w:gridCol w:w="1520"/>
        <w:gridCol w:w="1716"/>
      </w:tblGrid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Poskytovateľ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        </w:t>
            </w: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- 1 -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Účelové určenie grantu, transferu uviesť : školstvo, matrika, ....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bežné výdavky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kapitálové výdavky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- 2 -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Suma  poskytnutých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finančných prostriedkov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- 3 -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 xml:space="preserve">Suma skutočne použitých finančných prostriedkov  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- 4 -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Rozdiel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(stĺ.3 - stĺ.4 )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- 5 -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DPO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1 400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1 400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Decentralizačná dotácia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123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122,18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0,82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Testovanie covid 19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1 854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1 853,82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0,18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Voľby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1 110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1 109,63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0,37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Dotácia MŠ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581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581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ŠR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Strava predškoláci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234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234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ÚPSVR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Dotácia sčítanie ODB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1 112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1 112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ÚPSVR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Dotácia  §54e podp. v nez. MŠ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2 602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2 601,82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0,18</w:t>
            </w:r>
          </w:p>
        </w:tc>
      </w:tr>
      <w:tr>
        <w:trPr/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ÚPSVR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Dotácia § 50e podp. v nez. MŠ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459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459,15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-0,15</w:t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Granty a transfery boli účelne využité.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36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10.2  Poskytnuté dotácie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V roku 2020 obec poskytla zo svojho rozpočtu dotácie v zmysle VZN č   o poskytovaní dotácií z rozpočtu obce: </w:t>
      </w:r>
    </w:p>
    <w:tbl>
      <w:tblPr>
        <w:tblStyle w:val="Table12"/>
        <w:tblW w:w="882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620"/>
        <w:gridCol w:w="4860"/>
        <w:gridCol w:w="2340"/>
      </w:tblGrid>
      <w:tr>
        <w:trPr/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Suma poskytnutých</w:t>
            </w:r>
          </w:p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 xml:space="preserve"> </w:t>
            </w:r>
            <w:r>
              <w:rPr>
                <w:rFonts w:eastAsia="Times New Roman" w:cs="Times New Roman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shd w:fill="auto" w:val="clear"/>
                <w:vertAlign w:val="baseline"/>
              </w:rPr>
              <w:t>prostriedkov v EUR</w:t>
            </w:r>
          </w:p>
        </w:tc>
      </w:tr>
      <w:tr>
        <w:trPr/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ZO JDS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Chod organizácie- šport a  kultúru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                  </w:t>
            </w:r>
          </w:p>
        </w:tc>
      </w:tr>
      <w:tr>
        <w:trPr/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Únia žien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 xml:space="preserve">Chod organizácie- kultúru                                                                                                                                                    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  <w:tr>
        <w:trPr/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Matica slov.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both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  <w:t>Kultúrne podujatia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pBdr/>
              <w:shd w:val="clear" w:fill="auto"/>
              <w:spacing w:lineRule="auto" w:line="360" w:before="0" w:after="0"/>
              <w:ind w:left="0" w:right="0" w:hanging="0"/>
              <w:jc w:val="center"/>
              <w:rPr>
                <w:rFonts w:ascii="Times New Roman" w:hAnsi="Times New Roman" w:eastAsia="Times New Roman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pP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4"/>
                <w:szCs w:val="24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36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10.3 Významné investičné akcie v roku 2020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tabs>
          <w:tab w:val="clear" w:pos="720"/>
          <w:tab w:val="left" w:pos="2880" w:leader="none"/>
          <w:tab w:val="right" w:pos="8820" w:leader="none"/>
        </w:tabs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Najvýznamnejšie investičné akcie realizované v roku 2020: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5"/>
        </w:numPr>
        <w:pBdr/>
        <w:shd w:val="clear" w:fill="auto"/>
        <w:spacing w:lineRule="auto" w:line="360" w:before="0" w:after="0"/>
        <w:ind w:left="795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Rekonštrukcia požiarnej zbrojnice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5"/>
        </w:numPr>
        <w:pBdr/>
        <w:shd w:val="clear" w:fill="auto"/>
        <w:spacing w:lineRule="auto" w:line="360" w:before="0" w:after="0"/>
        <w:ind w:left="795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Rekonštrukcia chodníkov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36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10.4 Predpokladaný budúci vývoj činnosti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Predpokladané investičné akcie realizované v budúcich rokoch: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5"/>
        </w:numPr>
        <w:pBdr/>
        <w:shd w:val="clear" w:fill="auto"/>
        <w:spacing w:lineRule="auto" w:line="360" w:before="0" w:after="0"/>
        <w:ind w:left="795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........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5"/>
        </w:numPr>
        <w:pBdr/>
        <w:shd w:val="clear" w:fill="auto"/>
        <w:spacing w:lineRule="auto" w:line="360" w:before="0" w:after="0"/>
        <w:ind w:left="795" w:right="0" w:hanging="36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........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36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10.5 Udalosti osobitného významu po skončení účtovného obdobia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Obec nezaznamenala žiadnu udalosť osobitného významu po skončení účtovného obdobia.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36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10.6 Významné riziká a neistoty, ktorým je účtovná jednotka vystavená 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Obec nevedie žiadny súdny spor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V Rešove dňa  2.6.2021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Vypracoval: Ing. Helena Jamroškovičová                            Schválil: Helena Jamroškovičová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                    </w:t>
      </w: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starostka obce                                                       starostka obce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          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360" w:before="0" w:after="0"/>
        <w:ind w:left="0" w:right="0" w:hanging="0"/>
        <w:jc w:val="both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Prílohy:</w:t>
      </w:r>
    </w:p>
    <w:p>
      <w:pPr>
        <w:pStyle w:val="Normal1"/>
        <w:keepNext w:val="false"/>
        <w:keepLines w:val="false"/>
        <w:pageBreakBefore w:val="false"/>
        <w:widowControl/>
        <w:pBdr/>
        <w:shd w:val="clear" w:fill="auto"/>
        <w:spacing w:lineRule="auto" w:line="240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2"/>
        </w:numPr>
        <w:pBdr/>
        <w:shd w:val="clear" w:fill="auto"/>
        <w:spacing w:lineRule="auto" w:line="240" w:before="0" w:after="0"/>
        <w:ind w:left="720" w:right="0" w:hanging="36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>Individuálna účtovná závierka: Súvaha, Výkaz ziskov a strát, Poznámky</w:t>
      </w:r>
    </w:p>
    <w:p>
      <w:pPr>
        <w:pStyle w:val="Normal1"/>
        <w:keepNext w:val="false"/>
        <w:keepLines w:val="false"/>
        <w:pageBreakBefore w:val="false"/>
        <w:widowControl/>
        <w:numPr>
          <w:ilvl w:val="0"/>
          <w:numId w:val="2"/>
        </w:numPr>
        <w:pBdr/>
        <w:shd w:val="clear" w:fill="auto"/>
        <w:spacing w:lineRule="auto" w:line="240" w:before="0" w:after="0"/>
        <w:ind w:left="720" w:right="0" w:hanging="36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4"/>
          <w:szCs w:val="24"/>
          <w:u w:val="none"/>
          <w:shd w:fill="auto" w:val="clear"/>
          <w:vertAlign w:val="baseline"/>
        </w:rPr>
      </w:pPr>
      <w:r>
        <w:rPr>
          <w:rFonts w:eastAsia="Times New Roman" w:cs="Times New Roman"/>
          <w:b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4"/>
          <w:szCs w:val="24"/>
          <w:u w:val="none"/>
          <w:shd w:fill="auto" w:val="clear"/>
          <w:vertAlign w:val="baseline"/>
        </w:rPr>
        <w:t xml:space="preserve">Výrok audítora k individuálnej účtovnej závierke </w:t>
      </w:r>
    </w:p>
    <w:sectPr>
      <w:headerReference w:type="default" r:id="rId5"/>
      <w:footerReference w:type="default" r:id="rId6"/>
      <w:type w:val="nextPage"/>
      <w:pgSz w:w="11906" w:h="16838"/>
      <w:pgMar w:left="1417" w:right="1286" w:header="708" w:top="1417" w:footer="708" w:bottom="1417" w:gutter="0"/>
      <w:pgNumType w:start="1"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  <w:font w:name="Georgia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Noto Sans Symbols">
    <w:charset w:val="01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keepNext w:val="false"/>
      <w:keepLines w:val="false"/>
      <w:pageBreakBefore w:val="false"/>
      <w:widowControl/>
      <w:pBdr/>
      <w:shd w:val="clear" w:fill="auto"/>
      <w:tabs>
        <w:tab w:val="clear" w:pos="720"/>
        <w:tab w:val="center" w:pos="4536" w:leader="none"/>
        <w:tab w:val="right" w:pos="9072" w:leader="none"/>
      </w:tabs>
      <w:spacing w:lineRule="auto" w:line="240" w:before="0" w:after="0"/>
      <w:ind w:left="0" w:right="0" w:hanging="0"/>
      <w:jc w:val="right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4"/>
        <w:szCs w:val="24"/>
        <w:u w:val="none"/>
        <w:shd w:fill="auto" w:val="clear"/>
        <w:vertAlign w:val="baseline"/>
      </w:rPr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10</w:t>
    </w:r>
    <w:r>
      <w:rPr/>
      <w:fldChar w:fldCharType="end"/>
    </w:r>
  </w:p>
  <w:p>
    <w:pPr>
      <w:pStyle w:val="Normal1"/>
      <w:keepNext w:val="false"/>
      <w:keepLines w:val="false"/>
      <w:pageBreakBefore w:val="false"/>
      <w:widowControl/>
      <w:pBdr/>
      <w:shd w:val="clear" w:fill="auto"/>
      <w:tabs>
        <w:tab w:val="clear" w:pos="720"/>
        <w:tab w:val="center" w:pos="4536" w:leader="none"/>
        <w:tab w:val="right" w:pos="9072" w:leader="none"/>
      </w:tabs>
      <w:spacing w:lineRule="auto" w:line="240" w:before="0" w:after="0"/>
      <w:ind w:left="0" w:right="360" w:hanging="0"/>
      <w:jc w:val="left"/>
      <w:rPr>
        <w:rFonts w:ascii="Times New Roman" w:hAnsi="Times New Roman" w:eastAsia="Times New Roman" w:cs="Times New Roman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0"/>
        <w:sz w:val="24"/>
        <w:szCs w:val="24"/>
        <w:u w:val="none"/>
        <w:shd w:fill="auto" w:val="clear"/>
        <w:vertAlign w:val="baseline"/>
      </w:rPr>
    </w:pPr>
    <w:r>
      <w:rPr>
        <w:rFonts w:eastAsia="Times New Roman" w:cs="Times New Roman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4"/>
        <w:sz w:val="24"/>
        <w:szCs w:val="24"/>
        <w:u w:val="none"/>
        <w:shd w:fill="auto" w:val="clear"/>
        <w:vertAlign w:val="baseline"/>
      </w:rPr>
      <w:t xml:space="preserve">                                                                  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1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88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504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Noto Sans Symbols" w:hAnsi="Noto Sans Symbols" w:cs="Noto Sans Symbols" w:hint="default"/>
      </w:rPr>
    </w:lvl>
  </w:abstractNum>
  <w:abstractNum w:abstractNumId="2">
    <w:lvl w:ilvl="0">
      <w:start w:val="1"/>
      <w:numFmt w:val="bullet"/>
      <w:lvlText w:val="●"/>
      <w:lvlJc w:val="left"/>
      <w:pPr>
        <w:tabs>
          <w:tab w:val="num" w:pos="0"/>
        </w:tabs>
        <w:ind w:left="720" w:hanging="360"/>
      </w:pPr>
      <w:rPr>
        <w:rFonts w:ascii="Noto Sans Symbols" w:hAnsi="Noto Sans Symbols" w:cs="Noto Sans Symbol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16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88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32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504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480" w:hanging="360"/>
      </w:pPr>
      <w:rPr>
        <w:rFonts w:ascii="Noto Sans Symbols" w:hAnsi="Noto Sans Symbols" w:cs="Noto Sans Symbol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vertAlign w:val="baseline"/>
        <w:position w:val="0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vertAlign w:val="baseline"/>
        <w:position w:val="0"/>
        <w:sz w:val="2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vertAlign w:val="baseline"/>
        <w:position w:val="0"/>
        <w:sz w:val="2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vertAlign w:val="baseline"/>
        <w:position w:val="0"/>
        <w:sz w:val="20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vertAlign w:val="baseline"/>
        <w:position w:val="0"/>
        <w:sz w:val="20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644" w:hanging="359"/>
      </w:pPr>
      <w:rPr>
        <w:vertAlign w:val="baseline"/>
        <w:position w:val="0"/>
        <w:sz w:val="20"/>
        <w:b/>
        <w:color w:val="00000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vertAlign w:val="baseline"/>
        <w:position w:val="0"/>
        <w:sz w:val="20"/>
        <w:b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vertAlign w:val="baseline"/>
        <w:position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vertAlign w:val="baseline"/>
        <w:position w:val="0"/>
        <w:sz w:val="2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vertAlign w:val="baseline"/>
        <w:position w:val="0"/>
        <w:sz w:val="2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vertAlign w:val="baseline"/>
        <w:position w:val="0"/>
        <w:sz w:val="2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vertAlign w:val="baseline"/>
        <w:position w:val="0"/>
        <w:sz w:val="2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vertAlign w:val="baseline"/>
        <w:position w:val="0"/>
        <w:sz w:val="2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vertAlign w:val="baseline"/>
        <w:position w:val="0"/>
        <w:sz w:val="20"/>
      </w:rPr>
    </w:lvl>
  </w:abstractNum>
  <w:abstractNum w:abstractNumId="5">
    <w:lvl w:ilvl="0">
      <w:start w:val="1"/>
      <w:numFmt w:val="bullet"/>
      <w:lvlText w:val="-"/>
      <w:lvlJc w:val="left"/>
      <w:pPr>
        <w:tabs>
          <w:tab w:val="num" w:pos="0"/>
        </w:tabs>
        <w:ind w:left="7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235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955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395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5115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555" w:hanging="360"/>
      </w:pPr>
      <w:rPr>
        <w:rFonts w:ascii="Noto Sans Symbols" w:hAnsi="Noto Sans Symbols" w:cs="Noto Sans Symbols" w:hint="default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45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Lucida Sans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NSimSun" w:cs="Lucida Sans"/>
      <w:color w:val="auto"/>
      <w:kern w:val="0"/>
      <w:sz w:val="20"/>
      <w:szCs w:val="20"/>
      <w:lang w:val="sk-SK" w:eastAsia="zh-CN" w:bidi="hi-IN"/>
    </w:rPr>
  </w:style>
  <w:style w:type="paragraph" w:styleId="Nadpis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Nadpis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Nadpis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Nadpis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Nadpis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Nadpis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Predvolenpsmoodseku">
    <w:name w:val="Predvolené písmo odseku"/>
    <w:qFormat/>
    <w:rPr>
      <w:w w:val="100"/>
      <w:position w:val="0"/>
      <w:sz w:val="20"/>
      <w:effect w:val="none"/>
      <w:vertAlign w:val="baseline"/>
      <w:em w:val="none"/>
    </w:rPr>
  </w:style>
  <w:style w:type="character" w:styleId="Slostrany">
    <w:name w:val="Číslo strany"/>
    <w:basedOn w:val="Predvolenpsmoodseku"/>
    <w:qFormat/>
    <w:rPr>
      <w:w w:val="100"/>
      <w:position w:val="0"/>
      <w:sz w:val="20"/>
      <w:effect w:val="none"/>
      <w:vertAlign w:val="baseline"/>
      <w:em w:val="none"/>
    </w:rPr>
  </w:style>
  <w:style w:type="character" w:styleId="Siln">
    <w:name w:val="Silný"/>
    <w:qFormat/>
    <w:rPr>
      <w:b/>
      <w:bCs/>
      <w:w w:val="100"/>
      <w:position w:val="0"/>
      <w:sz w:val="20"/>
      <w:effect w:val="none"/>
      <w:vertAlign w:val="baseline"/>
      <w:em w:val="none"/>
    </w:rPr>
  </w:style>
  <w:style w:type="character" w:styleId="Zvraznenie">
    <w:name w:val="Zvýraznenie"/>
    <w:qFormat/>
    <w:rPr>
      <w:i/>
      <w:iCs/>
      <w:w w:val="100"/>
      <w:position w:val="0"/>
      <w:sz w:val="20"/>
      <w:effect w:val="none"/>
      <w:vertAlign w:val="baseline"/>
      <w:em w:val="no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1" w:default="1">
    <w:name w:val="LO-normal"/>
    <w:qFormat/>
    <w:pPr>
      <w:widowControl/>
      <w:bidi w:val="0"/>
      <w:spacing w:before="0" w:after="0"/>
      <w:jc w:val="left"/>
    </w:pPr>
    <w:rPr>
      <w:rFonts w:ascii="Times New Roman" w:hAnsi="Times New Roman" w:eastAsia="NSimSun" w:cs="Lucida Sans"/>
      <w:color w:val="auto"/>
      <w:kern w:val="0"/>
      <w:sz w:val="20"/>
      <w:szCs w:val="20"/>
      <w:lang w:val="sk-SK" w:eastAsia="zh-CN" w:bidi="hi-IN"/>
    </w:rPr>
  </w:style>
  <w:style w:type="paragraph" w:styleId="Nzov">
    <w:name w:val="Title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Normlny">
    <w:name w:val="Normálny"/>
    <w:qFormat/>
    <w:pPr>
      <w:widowControl/>
      <w:suppressAutoHyphens w:val="true"/>
      <w:bidi w:val="0"/>
      <w:spacing w:lineRule="atLeast" w:line="1" w:before="0" w:after="0"/>
      <w:jc w:val="left"/>
      <w:textAlignment w:val="top"/>
      <w:outlineLvl w:val="0"/>
    </w:pPr>
    <w:rPr>
      <w:rFonts w:ascii="Times New Roman" w:hAnsi="Times New Roman" w:eastAsia="NSimSun" w:cs="Lucida Sans"/>
      <w:color w:val="auto"/>
      <w:w w:val="100"/>
      <w:kern w:val="0"/>
      <w:position w:val="0"/>
      <w:sz w:val="24"/>
      <w:sz w:val="24"/>
      <w:szCs w:val="24"/>
      <w:effect w:val="none"/>
      <w:vertAlign w:val="baseline"/>
      <w:em w:val="none"/>
      <w:lang w:val="sk-SK" w:eastAsia="sk-SK" w:bidi="ar-SA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lny"/>
    <w:qFormat/>
    <w:pPr>
      <w:tabs>
        <w:tab w:val="clear" w:pos="720"/>
        <w:tab w:val="center" w:pos="4536" w:leader="none"/>
        <w:tab w:val="right" w:pos="9072" w:leader="none"/>
      </w:tabs>
      <w:suppressAutoHyphens w:val="true"/>
      <w:spacing w:lineRule="atLeast" w:line="1"/>
      <w:textAlignment w:val="top"/>
      <w:outlineLvl w:val="0"/>
    </w:pPr>
    <w:rPr>
      <w:w w:val="100"/>
      <w:position w:val="0"/>
      <w:sz w:val="24"/>
      <w:sz w:val="24"/>
      <w:szCs w:val="24"/>
      <w:effect w:val="none"/>
      <w:vertAlign w:val="baseline"/>
      <w:em w:val="none"/>
      <w:lang w:val="sk-SK" w:eastAsia="sk-SK" w:bidi="ar-SA"/>
    </w:rPr>
  </w:style>
  <w:style w:type="paragraph" w:styleId="Hlavika">
    <w:name w:val="Hlavička"/>
    <w:basedOn w:val="Normlny"/>
    <w:qFormat/>
    <w:pPr>
      <w:tabs>
        <w:tab w:val="clear" w:pos="720"/>
        <w:tab w:val="center" w:pos="4536" w:leader="none"/>
        <w:tab w:val="right" w:pos="9072" w:leader="none"/>
      </w:tabs>
      <w:suppressAutoHyphens w:val="true"/>
      <w:spacing w:lineRule="atLeast" w:line="1"/>
      <w:textAlignment w:val="top"/>
      <w:outlineLvl w:val="0"/>
    </w:pPr>
    <w:rPr>
      <w:w w:val="100"/>
      <w:position w:val="0"/>
      <w:sz w:val="24"/>
      <w:sz w:val="24"/>
      <w:szCs w:val="24"/>
      <w:effect w:val="none"/>
      <w:vertAlign w:val="baseline"/>
      <w:em w:val="none"/>
      <w:lang w:val="sk-SK" w:eastAsia="sk-SK" w:bidi="ar-SA"/>
    </w:rPr>
  </w:style>
  <w:style w:type="paragraph" w:styleId="Bezriadkovania">
    <w:name w:val="Bez riadkovania"/>
    <w:qFormat/>
    <w:pPr>
      <w:widowControl/>
      <w:suppressAutoHyphens w:val="true"/>
      <w:bidi w:val="0"/>
      <w:spacing w:lineRule="atLeast" w:line="1" w:before="0" w:after="0"/>
      <w:jc w:val="left"/>
      <w:textAlignment w:val="top"/>
      <w:outlineLvl w:val="0"/>
    </w:pPr>
    <w:rPr>
      <w:rFonts w:ascii="Calibri" w:hAnsi="Calibri" w:eastAsia="Calibri" w:cs="Lucida Sans"/>
      <w:color w:val="auto"/>
      <w:w w:val="100"/>
      <w:kern w:val="0"/>
      <w:position w:val="0"/>
      <w:sz w:val="22"/>
      <w:sz w:val="22"/>
      <w:szCs w:val="22"/>
      <w:effect w:val="none"/>
      <w:vertAlign w:val="baseline"/>
      <w:em w:val="none"/>
      <w:lang w:val="cs-CZ" w:eastAsia="en-US" w:bidi="ar-SA"/>
    </w:rPr>
  </w:style>
  <w:style w:type="paragraph" w:styleId="Podnadpis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Zhlavie">
    <w:name w:val="Header"/>
    <w:basedOn w:val="Hlavikaapta"/>
    <w:pPr/>
    <w:rPr/>
  </w:style>
  <w:style w:type="numbering" w:styleId="Bezzoznamu">
    <w:name w:val="Bez zoznamu"/>
    <w:qFormat/>
  </w:style>
  <w:style w:type="table" w:default="1" w:styleId="TableNormal">
    <w:name w:val="Table Normal"/>
  </w:style>
  <w:style w:type="table" w:styleId="Normálnatabuľka">
    <w:name w:val="Normálna tabuľka"/>
    <w:qFormat/>
    <w:pPr>
      <w:ind w:rightChars="0"/>
      <w:spacing w:line="1" w:lineRule="atLeast"/>
    </w:pPr>
    <w:rPr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žkatabuľky">
    <w:name w:val="Mriežka tabuľky"/>
    <w:basedOn w:val="Normálnatabuľka"/>
    <w:qFormat/>
    <w:pPr>
      <w:ind w:rightChars="0"/>
      <w:spacing w:line="1" w:lineRule="atLeast"/>
    </w:pPr>
    <w:rPr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iMnhbtsrdryoyTPluFCxwHJciBVQ==">AMUW2mVOpCgDr7yfgOxq9m3ao5VbBd5WiSqI0TPeKRfTYKaEJ5CBUK3RCO4U1BF4EoYAwTi5RVgdCe/IjKHNHesTFdbN+5rkYueQd3dv3jFVVSJhr3+Bjy0fLf18UEMBbwSCqjEKeA3z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LibreOffice/7.0.3.1$Windows_X86_64 LibreOffice_project/d7547858d014d4cf69878db179d326fc3483e082</Application>
  <Pages>20</Pages>
  <Words>813</Words>
  <Characters>4124</Characters>
  <CharactersWithSpaces>5000</CharactersWithSpaces>
  <Paragraphs>299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2021-06-13T16:35:00Z</dcterms:created>
  <dc:creator>Terka</dc:creator>
  <dc:description/>
  <dc:language>sk-SK</dc:language>
  <cp:lastModifiedBy/>
  <cp:revision>0</cp:revision>
  <dc:subject/>
  <dc:title/>
</cp:coreProperties>
</file>