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9072"/>
      </w:tblGrid>
      <w:tr>
        <w:trPr>
          <w:trHeight w:val="2880" w:hRule="atLeast"/>
        </w:trPr>
        <w:tc>
          <w:tcPr>
            <w:tcW w:w="9072" w:type="dxa"/>
            <w:tcBorders/>
          </w:tcPr>
          <w:p>
            <w:pPr>
              <w:pStyle w:val="NoSpacing"/>
              <w:widowControl w:val="false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Podtatranská hydina, a.s. Slavkovská cesta 54, 06001 Kežmarok</w:t>
            </w:r>
          </w:p>
        </w:tc>
      </w:tr>
      <w:tr>
        <w:trPr>
          <w:trHeight w:val="1440" w:hRule="atLeast"/>
        </w:trPr>
        <w:tc>
          <w:tcPr>
            <w:tcW w:w="9072" w:type="dxa"/>
            <w:tcBorders>
              <w:bottom w:val="single" w:sz="4" w:space="0" w:color="4F81BD"/>
            </w:tcBorders>
            <w:vAlign w:val="center"/>
          </w:tcPr>
          <w:p>
            <w:pPr>
              <w:pStyle w:val="NoSpacing"/>
              <w:widowControl w:val="false"/>
              <w:jc w:val="center"/>
              <w:rPr>
                <w:rFonts w:ascii="Cambria" w:hAnsi="Cambria"/>
                <w:sz w:val="80"/>
                <w:szCs w:val="80"/>
              </w:rPr>
            </w:pPr>
            <w:r>
              <w:rPr>
                <w:rFonts w:ascii="Cambria" w:hAnsi="Cambria"/>
                <w:sz w:val="80"/>
                <w:szCs w:val="80"/>
              </w:rPr>
              <w:t>Výročná správa 20</w:t>
            </w:r>
            <w:r>
              <w:rPr>
                <w:rFonts w:eastAsia="Times New Roman" w:cs="Times New Roman" w:ascii="Cambria" w:hAnsi="Cambria"/>
                <w:color w:val="auto"/>
                <w:kern w:val="0"/>
                <w:sz w:val="80"/>
                <w:szCs w:val="80"/>
                <w:lang w:val="sk-SK" w:eastAsia="en-US" w:bidi="ar-SA"/>
              </w:rPr>
              <w:t>20</w:t>
            </w:r>
          </w:p>
        </w:tc>
      </w:tr>
      <w:tr>
        <w:trPr>
          <w:trHeight w:val="720" w:hRule="atLeast"/>
        </w:trPr>
        <w:tc>
          <w:tcPr>
            <w:tcW w:w="9072" w:type="dxa"/>
            <w:tcBorders>
              <w:top w:val="single" w:sz="4" w:space="0" w:color="4F81BD"/>
            </w:tcBorders>
            <w:vAlign w:val="center"/>
          </w:tcPr>
          <w:p>
            <w:pPr>
              <w:pStyle w:val="NoSpacing"/>
              <w:widowControl w:val="false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Podtatranská hydina a.s.</w:t>
            </w:r>
          </w:p>
        </w:tc>
      </w:tr>
      <w:tr>
        <w:trPr>
          <w:trHeight w:val="360" w:hRule="atLeast"/>
        </w:trPr>
        <w:tc>
          <w:tcPr>
            <w:tcW w:w="9072" w:type="dxa"/>
            <w:tcBorders/>
            <w:vAlign w:val="center"/>
          </w:tcPr>
          <w:p>
            <w:pPr>
              <w:pStyle w:val="NoSpacing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0" w:hRule="atLeast"/>
        </w:trPr>
        <w:tc>
          <w:tcPr>
            <w:tcW w:w="9072" w:type="dxa"/>
            <w:tcBorders/>
            <w:vAlign w:val="center"/>
          </w:tcPr>
          <w:p>
            <w:pPr>
              <w:pStyle w:val="NoSpacing"/>
              <w:widowControl w:val="false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  <w:tr>
        <w:trPr>
          <w:trHeight w:val="360" w:hRule="atLeast"/>
        </w:trPr>
        <w:tc>
          <w:tcPr>
            <w:tcW w:w="9072" w:type="dxa"/>
            <w:tcBorders/>
            <w:vAlign w:val="center"/>
          </w:tcPr>
          <w:p>
            <w:pPr>
              <w:pStyle w:val="NoSpacing"/>
              <w:widowControl w:val="false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tbl>
      <w:tblPr>
        <w:tblpPr w:bottomFromText="0" w:horzAnchor="margin" w:leftFromText="187" w:rightFromText="187" w:tblpX="0" w:tblpXSpec="center" w:tblpY="0" w:tblpYSpec="bottom" w:topFromText="0" w:vertAnchor="margin"/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9072"/>
      </w:tblGrid>
      <w:tr>
        <w:trPr/>
        <w:tc>
          <w:tcPr>
            <w:tcW w:w="9072" w:type="dxa"/>
            <w:tcBorders/>
          </w:tcPr>
          <w:p>
            <w:pPr>
              <w:pStyle w:val="NoSpacing"/>
              <w:widowControl w:val="false"/>
              <w:jc w:val="center"/>
              <w:rPr/>
            </w:pPr>
            <w:r>
              <w:rPr/>
              <w:t>Výročná správa vyhotovená podľa § 20 zákona č.431/2002 Z.z. o účtovníctve</w:t>
            </w:r>
          </w:p>
          <w:p>
            <w:pPr>
              <w:pStyle w:val="NoSpacing"/>
              <w:widowControl w:val="false"/>
              <w:jc w:val="center"/>
              <w:rPr/>
            </w:pPr>
            <w:r>
              <w:rPr/>
              <w:t>v znení neskorších predpisov</w:t>
            </w:r>
          </w:p>
        </w:tc>
      </w:tr>
    </w:tbl>
    <w:p>
      <w:pPr>
        <w:pStyle w:val="Normal"/>
        <w:rPr/>
      </w:pPr>
      <w:r>
        <w:rPr/>
      </w:r>
      <w:r>
        <w:br w:type="page"/>
      </w:r>
    </w:p>
    <w:p>
      <w:pPr>
        <w:pStyle w:val="Normal"/>
        <w:jc w:val="both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má povinnosť auditu podľa § 19 zákona č.431/2002 Z.z. o účtovníctve v znení neskorších predpisov, a preto má aj povinnosť vyhotoviť výročnú správu podľa § 20 zákona o účtovníctve. 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Táto výročná správa podlieha tiež overeniu audítorom do jedného roka od skončenia účtovného obdobia. Táto výročná správa bude elektronicky uložená do registra účtovných závierok a jeho cestou aj do zbierky listín obchodného registra tak, ako to ustanovuje § 23 ods. 2 a § 23b ods. 4 zákona o účtovníctve.</w:t>
      </w:r>
    </w:p>
    <w:p>
      <w:pPr>
        <w:pStyle w:val="Normal"/>
        <w:ind w:left="0" w:hanging="0"/>
        <w:jc w:val="both"/>
        <w:rPr/>
      </w:pPr>
      <w:r>
        <w:rPr/>
      </w:r>
    </w:p>
    <w:p>
      <w:pPr>
        <w:pStyle w:val="Normal"/>
        <w:ind w:left="0" w:hanging="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1) Identifikačné údaje – základné informácie</w:t>
      </w:r>
    </w:p>
    <w:p>
      <w:pPr>
        <w:pStyle w:val="Normal"/>
        <w:ind w:left="0" w:hanging="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tbl>
      <w:tblPr>
        <w:tblW w:w="9212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3794"/>
        <w:gridCol w:w="5417"/>
      </w:tblGrid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meno:</w:t>
            </w:r>
          </w:p>
        </w:tc>
        <w:tc>
          <w:tcPr>
            <w:tcW w:w="5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Podtatranská hydina, a.s.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IČO:</w:t>
            </w:r>
          </w:p>
        </w:tc>
        <w:tc>
          <w:tcPr>
            <w:tcW w:w="5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31 651 682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DIČ:</w:t>
            </w:r>
          </w:p>
        </w:tc>
        <w:tc>
          <w:tcPr>
            <w:tcW w:w="5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2020515563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 DPH:</w:t>
            </w:r>
          </w:p>
        </w:tc>
        <w:tc>
          <w:tcPr>
            <w:tcW w:w="5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SK2020515563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Adresa sídla:</w:t>
            </w:r>
          </w:p>
        </w:tc>
        <w:tc>
          <w:tcPr>
            <w:tcW w:w="5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Slavkovská cesta 54, 060 01 Kežmarok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Obchodný register:</w:t>
            </w:r>
          </w:p>
        </w:tc>
        <w:tc>
          <w:tcPr>
            <w:tcW w:w="5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Obchodný register 0kresného súdu Prešov, Oddiel: Sa, Vložka číslo: 99/P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Predseda predstavenstva:</w:t>
            </w:r>
          </w:p>
        </w:tc>
        <w:tc>
          <w:tcPr>
            <w:tcW w:w="5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Simona Konkoľová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Člen predstavenstva:</w:t>
            </w:r>
          </w:p>
        </w:tc>
        <w:tc>
          <w:tcPr>
            <w:tcW w:w="5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Daniel Leščinský</w:t>
            </w:r>
          </w:p>
        </w:tc>
      </w:tr>
      <w:tr>
        <w:trPr/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Člen predstavenstva:</w:t>
            </w:r>
          </w:p>
        </w:tc>
        <w:tc>
          <w:tcPr>
            <w:tcW w:w="5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Vladislav Boďo</w:t>
            </w:r>
          </w:p>
        </w:tc>
      </w:tr>
    </w:tbl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Predseda predstavenstva:                       Ing. Štefan Šulek -        vznik funkcie   08.08.2019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</w:t>
      </w:r>
      <w:r>
        <w:rPr>
          <w:sz w:val="24"/>
          <w:szCs w:val="24"/>
        </w:rPr>
        <w:t>ukonč.funkcie 20.02.2020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Člen predstavenstva:                                Mgr. Alojz Tereba -      vznik funkcie    08.08.2019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</w:t>
      </w:r>
      <w:r>
        <w:rPr>
          <w:sz w:val="24"/>
          <w:szCs w:val="24"/>
        </w:rPr>
        <w:t>ukonč.funkcie  20.02.2020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má zvolenú dozornú radu v zložení:   </w:t>
      </w:r>
      <w:r>
        <w:rPr>
          <w:b/>
          <w:sz w:val="24"/>
          <w:szCs w:val="24"/>
        </w:rPr>
        <w:t xml:space="preserve">Ivona Hanková               </w:t>
      </w:r>
    </w:p>
    <w:p>
      <w:pPr>
        <w:pStyle w:val="Normal"/>
        <w:ind w:left="0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</w:t>
      </w:r>
      <w:r>
        <w:rPr>
          <w:b/>
          <w:sz w:val="24"/>
          <w:szCs w:val="24"/>
        </w:rPr>
        <w:t xml:space="preserve">Jana Bočkay                    </w:t>
      </w:r>
    </w:p>
    <w:p>
      <w:pPr>
        <w:pStyle w:val="Normal"/>
        <w:ind w:left="0" w:hanging="0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</w:t>
      </w:r>
      <w:r>
        <w:rPr>
          <w:b/>
          <w:sz w:val="24"/>
          <w:szCs w:val="24"/>
        </w:rPr>
        <w:t xml:space="preserve">Eva Bafiová     </w:t>
      </w:r>
    </w:p>
    <w:p>
      <w:pPr>
        <w:pStyle w:val="Normal"/>
        <w:ind w:left="0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0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Činnosť spoločnosti upravujú Stanovy spoločnosti. 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Identifikačné údaje – doplňujúce informácie</w:t>
      </w:r>
    </w:p>
    <w:p>
      <w:pPr>
        <w:pStyle w:val="Normal"/>
        <w:ind w:left="0" w:hanging="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tbl>
      <w:tblPr>
        <w:tblW w:w="9212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4077"/>
        <w:gridCol w:w="5134"/>
      </w:tblGrid>
      <w:tr>
        <w:trPr/>
        <w:tc>
          <w:tcPr>
            <w:tcW w:w="4077" w:type="dxa"/>
            <w:tcBorders/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20</w:t>
            </w: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20</w:t>
            </w:r>
          </w:p>
        </w:tc>
        <w:tc>
          <w:tcPr>
            <w:tcW w:w="5134" w:type="dxa"/>
            <w:tcBorders/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Strata </w:t>
            </w: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624 311</w:t>
            </w:r>
            <w:r>
              <w:rPr>
                <w:sz w:val="24"/>
                <w:szCs w:val="24"/>
              </w:rPr>
              <w:t xml:space="preserve"> eur</w:t>
            </w:r>
          </w:p>
        </w:tc>
      </w:tr>
      <w:tr>
        <w:trPr/>
        <w:tc>
          <w:tcPr>
            <w:tcW w:w="4077" w:type="dxa"/>
            <w:tcBorders/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5134" w:type="dxa"/>
            <w:tcBorders/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2 330 160 eur</w:t>
            </w:r>
          </w:p>
        </w:tc>
      </w:tr>
      <w:tr>
        <w:trPr/>
        <w:tc>
          <w:tcPr>
            <w:tcW w:w="4077" w:type="dxa"/>
            <w:tcBorders/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5134" w:type="dxa"/>
            <w:tcBorders/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333 233 eur</w:t>
            </w:r>
          </w:p>
        </w:tc>
      </w:tr>
      <w:tr>
        <w:trPr/>
        <w:tc>
          <w:tcPr>
            <w:tcW w:w="4077" w:type="dxa"/>
            <w:tcBorders/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prepoč</w:t>
            </w:r>
          </w:p>
        </w:tc>
        <w:tc>
          <w:tcPr>
            <w:tcW w:w="5134" w:type="dxa"/>
            <w:tcBorders/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</w:t>
            </w:r>
          </w:p>
        </w:tc>
      </w:tr>
      <w:tr>
        <w:trPr/>
        <w:tc>
          <w:tcPr>
            <w:tcW w:w="4077" w:type="dxa"/>
            <w:tcBorders/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</w:t>
            </w:r>
          </w:p>
        </w:tc>
        <w:tc>
          <w:tcPr>
            <w:tcW w:w="5134" w:type="dxa"/>
            <w:tcBorders/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Spracovanie, výroba hydiny, vajec, zveriny a rýb</w:t>
            </w:r>
          </w:p>
        </w:tc>
      </w:tr>
    </w:tbl>
    <w:p>
      <w:pPr>
        <w:pStyle w:val="Normal"/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>
        <w:rPr>
          <w:sz w:val="24"/>
          <w:szCs w:val="24"/>
        </w:rPr>
        <w:t>Nákup, výroba a sprac. mäsa a mäsových výrobkov</w:t>
      </w:r>
    </w:p>
    <w:p>
      <w:pPr>
        <w:pStyle w:val="Normal"/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>
        <w:rPr>
          <w:sz w:val="24"/>
          <w:szCs w:val="24"/>
        </w:rPr>
        <w:t>Nakladanie s biologickým odpadom</w:t>
      </w:r>
    </w:p>
    <w:p>
      <w:pPr>
        <w:pStyle w:val="Normal"/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>
        <w:rPr>
          <w:sz w:val="24"/>
          <w:szCs w:val="24"/>
        </w:rPr>
        <w:t>Príprava a predaj na priamu konzumáciu tepelne</w:t>
      </w:r>
    </w:p>
    <w:p>
      <w:pPr>
        <w:pStyle w:val="Normal"/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>
        <w:rPr>
          <w:sz w:val="24"/>
          <w:szCs w:val="24"/>
        </w:rPr>
        <w:t>rýchlo upravov. mäsových výrobkov a obvyklých</w:t>
      </w:r>
    </w:p>
    <w:p>
      <w:pPr>
        <w:pStyle w:val="Normal"/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>
        <w:rPr>
          <w:sz w:val="24"/>
          <w:szCs w:val="24"/>
        </w:rPr>
        <w:t>príloh, ako aj bezmäsitých jedál</w:t>
      </w:r>
    </w:p>
    <w:p>
      <w:pPr>
        <w:pStyle w:val="Normal"/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>
        <w:rPr>
          <w:sz w:val="24"/>
          <w:szCs w:val="24"/>
        </w:rPr>
        <w:t>Pohostinská činnosť</w:t>
      </w:r>
    </w:p>
    <w:p>
      <w:pPr>
        <w:pStyle w:val="Normal"/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>
        <w:rPr>
          <w:sz w:val="24"/>
          <w:szCs w:val="24"/>
        </w:rPr>
        <w:t xml:space="preserve">Maloobchodná a veľkoobchodná činnosť  rozsahu  </w:t>
      </w:r>
    </w:p>
    <w:p>
      <w:pPr>
        <w:pStyle w:val="Normal"/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ind w:left="0" w:hanging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  <w:r>
        <w:rPr>
          <w:sz w:val="24"/>
          <w:szCs w:val="24"/>
        </w:rPr>
        <w:t xml:space="preserve">voľných živností                                                                           </w:t>
      </w:r>
    </w:p>
    <w:p>
      <w:pPr>
        <w:pStyle w:val="Normal"/>
        <w:ind w:left="0" w:hanging="0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Účtovným obdobím spoločnosti je kalendárny rok. Spoločnosť nevlastní obchodný podiel v inej spoločnosti, ani nie je vlastnená inou spoločnosťou.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2. Povinné informácie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a) Informácie o vývoji účtovnej jednotky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Spoločnosť bola založená v roku 1992. Od svojho založenia si spoločnosť relatívne stabilne udržiava svoje postavenie vo svojej oblasti pôsobenia. Vývoj na trhu však prináša zvýšenú konkurenciu a požiadavky, ktorým sa musíme neustále prispôsobovať.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stabilne a dlhodobo zamestnáva okolo 331 pracovníkov a prispieva tým k lokálnej zamestnanosti. 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0" w:hanging="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SÚVAHA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0" w:hanging="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Vybrané ukazovatele o majetku a záväzkoch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9212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5915"/>
        <w:gridCol w:w="1706"/>
        <w:gridCol w:w="1591"/>
      </w:tblGrid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STRANA AKTÍV SÚVAHY</w:t>
            </w:r>
          </w:p>
          <w:p>
            <w:pPr>
              <w:pStyle w:val="Normal"/>
              <w:widowControl w:val="false"/>
              <w:ind w:left="0" w:hanging="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</w:t>
            </w:r>
            <w:r>
              <w:rPr>
                <w:rFonts w:eastAsia="Calibri" w:cs="Times New Roman"/>
                <w:b/>
                <w:color w:val="auto"/>
                <w:kern w:val="0"/>
                <w:sz w:val="24"/>
                <w:szCs w:val="24"/>
                <w:lang w:val="sk-SK" w:eastAsia="en-US" w:bidi="ar-SA"/>
              </w:rPr>
              <w:t>20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201</w:t>
            </w:r>
            <w:r>
              <w:rPr>
                <w:rFonts w:eastAsia="Calibri" w:cs="Times New Roman"/>
                <w:b/>
                <w:color w:val="auto"/>
                <w:kern w:val="0"/>
                <w:sz w:val="24"/>
                <w:szCs w:val="24"/>
                <w:lang w:val="sk-SK" w:eastAsia="en-US" w:bidi="ar-SA"/>
              </w:rPr>
              <w:t>9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8601698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9745349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 Neobežný majetok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3500187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3924225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4408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3498707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3919817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 Obežný majetok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5098314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5767680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B.I Zásoby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1759466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1261627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1200788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2513455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2138060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1992598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3197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53444</w:t>
            </w:r>
          </w:p>
        </w:tc>
      </w:tr>
    </w:tbl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9212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5915"/>
        <w:gridCol w:w="1706"/>
        <w:gridCol w:w="1591"/>
      </w:tblGrid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STRANA PASÍV SÚVAHY</w:t>
            </w:r>
          </w:p>
          <w:p>
            <w:pPr>
              <w:pStyle w:val="Normal"/>
              <w:widowControl w:val="false"/>
              <w:ind w:left="0" w:hanging="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</w:t>
            </w:r>
            <w:r>
              <w:rPr>
                <w:rFonts w:eastAsia="Calibri" w:cs="Times New Roman"/>
                <w:b/>
                <w:color w:val="auto"/>
                <w:kern w:val="0"/>
                <w:sz w:val="24"/>
                <w:szCs w:val="24"/>
                <w:lang w:val="sk-SK" w:eastAsia="en-US" w:bidi="ar-SA"/>
              </w:rPr>
              <w:t>20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201</w:t>
            </w:r>
            <w:r>
              <w:rPr>
                <w:rFonts w:eastAsia="Calibri" w:cs="Times New Roman"/>
                <w:b/>
                <w:color w:val="auto"/>
                <w:kern w:val="0"/>
                <w:sz w:val="24"/>
                <w:szCs w:val="24"/>
                <w:lang w:val="sk-SK" w:eastAsia="en-US" w:bidi="ar-SA"/>
              </w:rPr>
              <w:t>9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VLASTNÉ IMANIE A ZÁV</w:t>
            </w:r>
            <w:r>
              <w:rPr>
                <w:rFonts w:cs="Calibri"/>
                <w:b/>
                <w:sz w:val="24"/>
                <w:szCs w:val="24"/>
              </w:rPr>
              <w:t>Ä</w:t>
            </w:r>
            <w:r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8601698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9745349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 Vlastné imanie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-2769796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-2145485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A.1 Základné imanie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2330160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2330160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 Emisné ážio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333233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333233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-4808878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-2813930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-624311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-1994948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 Záväzky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11312555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11807380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376456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312767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7583626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8136341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3352473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3358272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58939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83454</w:t>
            </w:r>
          </w:p>
        </w:tc>
      </w:tr>
    </w:tbl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Komentár k súvahe - aktíva: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hospodári s dlhodobým hmotným majetkom v hodnote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9 011 159</w:t>
      </w:r>
      <w:r>
        <w:rPr>
          <w:sz w:val="24"/>
          <w:szCs w:val="24"/>
        </w:rPr>
        <w:t xml:space="preserve"> €. Dlhodobý hmotný majetok je už opotrebovaný na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61,17</w:t>
      </w:r>
      <w:r>
        <w:rPr>
          <w:sz w:val="24"/>
          <w:szCs w:val="24"/>
        </w:rPr>
        <w:t xml:space="preserve"> %. 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Dlhodobý nehmotný majetok predstavuje najmä softvér. Opravná položka k dlhodobému majetku nebola tvorená.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Spoločnosť nevlastní cenné papiere ani obchodný podiel v inej spoločnosti.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Stav zásob je vo výške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1 759 466</w:t>
      </w:r>
      <w:r>
        <w:rPr>
          <w:sz w:val="24"/>
          <w:szCs w:val="24"/>
        </w:rPr>
        <w:t xml:space="preserve"> €, došlo k 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zvýšeniu</w:t>
      </w:r>
      <w:r>
        <w:rPr>
          <w:sz w:val="24"/>
          <w:szCs w:val="24"/>
        </w:rPr>
        <w:t xml:space="preserve"> ich stavu oproti minulému roku. Opravná položka k zásobám nebola tvorená.  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Vývoj stavu krátkodobých pohľadávok je priaznivý, klesol ich celkový objem v porovnaní s rokom 201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9</w:t>
      </w:r>
      <w:r>
        <w:rPr>
          <w:sz w:val="24"/>
          <w:szCs w:val="24"/>
        </w:rPr>
        <w:t xml:space="preserve">. Pohľadávky po lehote splatnosti sú v sume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251 367</w:t>
      </w:r>
      <w:r>
        <w:rPr>
          <w:sz w:val="24"/>
          <w:szCs w:val="24"/>
        </w:rPr>
        <w:t xml:space="preserve"> eur. Opravná položka je v sume 17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804</w:t>
      </w:r>
      <w:r>
        <w:rPr>
          <w:sz w:val="24"/>
          <w:szCs w:val="24"/>
        </w:rPr>
        <w:t xml:space="preserve"> eur.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Časové rozlíšenie aktív predstavujú náklady budúcich období, a to najmä – havarijné poistenie motorových vozidiel a telefónne poplatky.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Komentár k súvahe - pasíva: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Celé základné imanie spoločnosti v sume 2 330 160 eur zapísané v obchodnom registri je splatené. Vlastné imanie spoločnosti je v sume – 2 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769 796</w:t>
      </w:r>
      <w:r>
        <w:rPr>
          <w:sz w:val="24"/>
          <w:szCs w:val="24"/>
        </w:rPr>
        <w:t xml:space="preserve"> eur a celkové záväzky sú v sume 11 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312 555</w:t>
      </w:r>
      <w:r>
        <w:rPr>
          <w:sz w:val="24"/>
          <w:szCs w:val="24"/>
        </w:rPr>
        <w:t xml:space="preserve"> eur. Z celkovej sumy záväzkov, dlhodobé záväzky sú v sume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376 456</w:t>
      </w:r>
      <w:r>
        <w:rPr>
          <w:sz w:val="24"/>
          <w:szCs w:val="24"/>
        </w:rPr>
        <w:t xml:space="preserve"> € a krátkodobé v sume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7 583 626</w:t>
      </w:r>
      <w:r>
        <w:rPr>
          <w:sz w:val="24"/>
          <w:szCs w:val="24"/>
        </w:rPr>
        <w:t xml:space="preserve"> €. Záväzky z obchodné styku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klesli</w:t>
      </w:r>
      <w:r>
        <w:rPr>
          <w:sz w:val="24"/>
          <w:szCs w:val="24"/>
        </w:rPr>
        <w:t xml:space="preserve"> oproti minulému roku o 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8,54</w:t>
      </w:r>
      <w:r>
        <w:rPr>
          <w:sz w:val="24"/>
          <w:szCs w:val="24"/>
        </w:rPr>
        <w:t xml:space="preserve"> %. 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Krátkodobé rezervy v sume  3 35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2 473</w:t>
      </w:r>
      <w:r>
        <w:rPr>
          <w:sz w:val="24"/>
          <w:szCs w:val="24"/>
        </w:rPr>
        <w:t xml:space="preserve"> eur sú najmä – rezerva na právne spory - DPH, rezerva na nevyčerpané dovolenky a s tým súvisiace sociálne a zdravotné poistenie.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Spoločnosť nemá žiadne bankové úvery.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Časové rozlíšenie pasív predstavujú výnosy budúcich období, a to najmä – zostatok dotácie z Agentúry SAPARD, ktorý bude postupne preúčtovaný do výnosov vo výške odpisov tých investícií, na ktoré bola akciovej spoločnosti poskytnutá dotácia od Slovenskej poľnohospodárskej  a platobnej agentúry. Výdavky budúcich období predstavujú nevyplatené cestovné náhrady zamestnancov.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0" w:hanging="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VÝKAZ ZISKOV A STRÁT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0" w:hanging="0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Vybrané ukazovatele o výsledku hospodárenia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tbl>
      <w:tblPr>
        <w:tblW w:w="9212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5915"/>
        <w:gridCol w:w="1706"/>
        <w:gridCol w:w="1591"/>
      </w:tblGrid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</w:t>
            </w:r>
            <w:r>
              <w:rPr>
                <w:rFonts w:eastAsia="Calibri" w:cs="Times New Roman"/>
                <w:b/>
                <w:color w:val="auto"/>
                <w:kern w:val="0"/>
                <w:sz w:val="24"/>
                <w:szCs w:val="24"/>
                <w:lang w:val="sk-SK" w:eastAsia="en-US" w:bidi="ar-SA"/>
              </w:rPr>
              <w:t>20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center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201</w:t>
            </w:r>
            <w:r>
              <w:rPr>
                <w:rFonts w:eastAsia="Calibri" w:cs="Times New Roman"/>
                <w:b/>
                <w:color w:val="auto"/>
                <w:kern w:val="0"/>
                <w:sz w:val="24"/>
                <w:szCs w:val="24"/>
                <w:lang w:val="sk-SK" w:eastAsia="en-US" w:bidi="ar-SA"/>
              </w:rPr>
              <w:t>9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rFonts w:ascii="Calibri" w:hAnsi="Calibri"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</w:pPr>
            <w:r>
              <w:rPr>
                <w:rFonts w:eastAsia="Calibri" w:cs="Times New Roman"/>
                <w:color w:val="auto"/>
                <w:kern w:val="0"/>
                <w:sz w:val="24"/>
                <w:szCs w:val="24"/>
                <w:lang w:val="sk-SK" w:eastAsia="en-US" w:bidi="ar-SA"/>
              </w:rPr>
              <w:t>29 404 764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31 705 179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32 213 321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33 912 452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6 624 987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6 328 819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18 442 730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20 787 361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4 337 047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4 589 000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356 882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-231 483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V. Aktivácia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32 183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26 670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1 087 401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1 375 781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1 332 091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1 036 304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32 791 412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35 907 555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5 982 140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5 546 971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15 732 668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18 073 248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D. Služby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1 888 339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2 413 643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E. Osobné náklady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6 188 812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6 448 988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440 817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772 169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1 327 566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1 480 998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11 943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6 815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1 185 555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1 114 469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-578 091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-1 995 103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1 567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4 543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4 019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5 394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-2 452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-851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Celkový výsledok hospodárenia pred zdanením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-580 543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-1 995 954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43 768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-1 006</w:t>
            </w:r>
          </w:p>
        </w:tc>
      </w:tr>
      <w:tr>
        <w:trPr/>
        <w:tc>
          <w:tcPr>
            <w:tcW w:w="5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both"/>
              <w:rPr>
                <w:b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-624 311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ind w:left="0" w:hanging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-1 994 948</w:t>
            </w:r>
          </w:p>
        </w:tc>
      </w:tr>
    </w:tbl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Komentár k výkazu ziskov a strát (výsledovka):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Spoločnosť zaznamenala pokles výnosov z hospodárskej činnosti. Celkový výsledok hospodárenia strata v sume -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624 311</w:t>
      </w:r>
      <w:r>
        <w:rPr>
          <w:sz w:val="24"/>
          <w:szCs w:val="24"/>
        </w:rPr>
        <w:t xml:space="preserve"> eur je tvorený hlavne v hospodárskej činnosti. Vo finančnej oblasti spoločnosť dosiahla stratu spôsobenú najmä kurzovými rozdielmi a 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bankovými poplatkami</w:t>
      </w:r>
      <w:r>
        <w:rPr>
          <w:sz w:val="24"/>
          <w:szCs w:val="24"/>
        </w:rPr>
        <w:t xml:space="preserve">. </w:t>
      </w:r>
      <w:r>
        <w:rPr>
          <w:rStyle w:val="Ra"/>
          <w:sz w:val="24"/>
          <w:szCs w:val="24"/>
        </w:rPr>
        <w:t>Spoločnosť sa snažila šetriť náklady, čo sa prejavilo najmä v poklese nákladov na služby a ostatné náklady na hospodársku činnosť.</w:t>
      </w:r>
    </w:p>
    <w:p>
      <w:pPr>
        <w:pStyle w:val="Normal"/>
        <w:spacing w:before="0" w:after="120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Výnosy predstavujú hodnotu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32 214 888</w:t>
      </w:r>
      <w:r>
        <w:rPr>
          <w:sz w:val="24"/>
          <w:szCs w:val="24"/>
        </w:rPr>
        <w:t xml:space="preserve"> € k nim prislúchajúce náklady sú vo výške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32 839 199</w:t>
      </w:r>
      <w:r>
        <w:rPr>
          <w:sz w:val="24"/>
          <w:szCs w:val="24"/>
        </w:rPr>
        <w:t xml:space="preserve"> €.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rStyle w:val="Ra"/>
          <w:sz w:val="24"/>
          <w:szCs w:val="24"/>
        </w:rPr>
        <w:t xml:space="preserve">Spoločnosť dosiahla tržby z predaja tovaru </w:t>
      </w:r>
      <w:r>
        <w:rPr>
          <w:rStyle w:val="Ra"/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6 624 987</w:t>
      </w:r>
      <w:r>
        <w:rPr>
          <w:rStyle w:val="Ra"/>
          <w:sz w:val="24"/>
          <w:szCs w:val="24"/>
        </w:rPr>
        <w:t xml:space="preserve"> € - </w:t>
      </w:r>
      <w:r>
        <w:rPr>
          <w:rStyle w:val="Ra"/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nárast</w:t>
      </w:r>
      <w:r>
        <w:rPr>
          <w:rStyle w:val="Ra"/>
          <w:sz w:val="24"/>
          <w:szCs w:val="24"/>
        </w:rPr>
        <w:t xml:space="preserve"> oproti minulému roku  o </w:t>
      </w:r>
      <w:r>
        <w:rPr>
          <w:rStyle w:val="Ra"/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4,68</w:t>
      </w:r>
      <w:r>
        <w:rPr>
          <w:rStyle w:val="Ra"/>
          <w:sz w:val="24"/>
          <w:szCs w:val="24"/>
        </w:rPr>
        <w:t xml:space="preserve"> % a vlastných výrobkov v sume </w:t>
      </w:r>
      <w:r>
        <w:rPr>
          <w:rStyle w:val="Ra"/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18 442 730</w:t>
      </w:r>
      <w:r>
        <w:rPr>
          <w:rStyle w:val="Ra"/>
          <w:sz w:val="24"/>
          <w:szCs w:val="24"/>
        </w:rPr>
        <w:t xml:space="preserve"> €, čo predstavuje pokles oproti minulému roku o </w:t>
      </w:r>
      <w:r>
        <w:rPr>
          <w:rStyle w:val="Ra"/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11,28</w:t>
      </w:r>
      <w:r>
        <w:rPr>
          <w:rStyle w:val="Ra"/>
          <w:sz w:val="24"/>
          <w:szCs w:val="24"/>
        </w:rPr>
        <w:t xml:space="preserve"> %. Náklady na hospodársku činnosť a ostatné náklady na hospodársku činnosť sú v sume </w:t>
      </w:r>
      <w:r>
        <w:rPr>
          <w:rStyle w:val="Ra"/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32 791 412</w:t>
      </w:r>
      <w:r>
        <w:rPr>
          <w:rStyle w:val="Ra"/>
          <w:sz w:val="24"/>
          <w:szCs w:val="24"/>
        </w:rPr>
        <w:t xml:space="preserve"> €.</w:t>
      </w:r>
    </w:p>
    <w:p>
      <w:pPr>
        <w:pStyle w:val="Normal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b) Informácie o udalostiach osobitného významu, ktoré nastali po skončení účtovného obdobia.</w:t>
      </w:r>
      <w:r>
        <w:rPr>
          <w:sz w:val="24"/>
          <w:szCs w:val="24"/>
        </w:rPr>
        <w:t xml:space="preserve"> </w:t>
      </w:r>
    </w:p>
    <w:p>
      <w:pPr>
        <w:pStyle w:val="NormalWeb"/>
        <w:spacing w:before="280" w:after="280"/>
        <w:rPr/>
      </w:pPr>
      <w:r>
        <w:rPr>
          <w:rStyle w:val="Ra"/>
        </w:rPr>
        <w:t xml:space="preserve">Koncom roka 2019 sa prvýkrát objavili správy z Číny o koronavíruse. V </w:t>
      </w:r>
      <w:r>
        <w:rPr>
          <w:rStyle w:val="Ra"/>
          <w:rFonts w:eastAsia="Times New Roman" w:cs="Times New Roman"/>
          <w:color w:val="auto"/>
          <w:kern w:val="0"/>
          <w:sz w:val="24"/>
          <w:szCs w:val="24"/>
          <w:lang w:val="cs-CZ" w:eastAsia="cs-CZ" w:bidi="ar-SA"/>
        </w:rPr>
        <w:t>roku</w:t>
      </w:r>
      <w:r>
        <w:rPr>
          <w:rStyle w:val="Ra"/>
        </w:rPr>
        <w:t xml:space="preserve"> 2020 sa vírus rozšíril do celého sveta a jeho negatívny vplyv nadobudol veľké rozmery. Účtovná jednotk</w:t>
      </w:r>
      <w:r>
        <w:rPr>
          <w:rStyle w:val="Ra"/>
          <w:rFonts w:eastAsia="Times New Roman" w:cs="Times New Roman"/>
          <w:color w:val="auto"/>
          <w:kern w:val="0"/>
          <w:sz w:val="24"/>
          <w:szCs w:val="24"/>
          <w:lang w:val="cs-CZ" w:eastAsia="cs-CZ" w:bidi="ar-SA"/>
        </w:rPr>
        <w:t>a</w:t>
      </w:r>
      <w:r>
        <w:rPr>
          <w:rStyle w:val="Ra"/>
        </w:rPr>
        <w:t xml:space="preserve"> zaznamenal</w:t>
      </w:r>
      <w:r>
        <w:rPr>
          <w:rStyle w:val="Ra"/>
          <w:rFonts w:eastAsia="Times New Roman" w:cs="Times New Roman"/>
          <w:color w:val="auto"/>
          <w:kern w:val="0"/>
          <w:sz w:val="24"/>
          <w:szCs w:val="24"/>
          <w:lang w:val="cs-CZ" w:eastAsia="cs-CZ" w:bidi="ar-SA"/>
        </w:rPr>
        <w:t>a</w:t>
      </w:r>
      <w:r>
        <w:rPr>
          <w:rStyle w:val="Ra"/>
        </w:rPr>
        <w:t xml:space="preserve">  pokles predaja, nakoľko sa však situácia stále mení, preto nemožno predvídať budúce dopady COVID 19, ale dospeli sme k záveru, že nemajú významný vplyv na našu schopnosť pokračovať nepretržite v činnosti a fungovať ako zdravý subjekt nasledujúcich 12 mesiacov.</w:t>
      </w:r>
    </w:p>
    <w:p>
      <w:pPr>
        <w:pStyle w:val="NormalWeb"/>
        <w:spacing w:before="280" w:after="280"/>
        <w:rPr>
          <w:rStyle w:val="Ra"/>
        </w:rPr>
      </w:pPr>
      <w:r>
        <w:rPr>
          <w:rStyle w:val="Ra"/>
        </w:rPr>
        <w:t xml:space="preserve">Manažment bude pokračovať v monitorovaní potenciálneho dopadu a podnikne všetky možné kroky na zmiernenie akýchkoľvek negatívnych účinkov na spoločnosť a jej zamestnancov. </w:t>
      </w:r>
    </w:p>
    <w:p>
      <w:pPr>
        <w:pStyle w:val="Normal"/>
        <w:ind w:left="0" w:hanging="0"/>
        <w:jc w:val="both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c) Informácie o predpokladanom budúcom vývoji účtovnej jednotky – podnikateľský zámer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Ak sme v polovici roku 2020 konštatovali, že pandémia COVID-19 by našu spoločnosť nemala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postihnúť, opak sa stal pravdou. Prakticky od septembra 2020 odbytové ceny hydinového mäsa začali prudko klesať hlavne z dôvodov zavedenia núdzového stavu vo všetkých krajinách EÚ, zavretím gastroprevádzok , škôl. Turizmus sa prakticky zastavil a náš región je pritom naňho dosť odkázaný. 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V závere roka 2020 sme začali  využívať štátnu pomoc, ktorá beží doteraz /</w:t>
      </w:r>
      <w:r>
        <w:rPr>
          <w:rFonts w:ascii="Times New Roman" w:hAnsi="Times New Roman"/>
          <w:i w:val="false"/>
          <w:iCs w:val="false"/>
          <w:sz w:val="24"/>
          <w:szCs w:val="24"/>
        </w:rPr>
        <w:t xml:space="preserve">hovoríme už o máji 2021/. </w:t>
      </w:r>
      <w:r>
        <w:rPr>
          <w:rFonts w:ascii="Times New Roman" w:hAnsi="Times New Roman"/>
          <w:i w:val="false"/>
          <w:iCs w:val="false"/>
          <w:sz w:val="24"/>
          <w:szCs w:val="24"/>
        </w:rPr>
        <w:t>Zároveň v tomto období dochádza k uvoľňovaniu opatrení zavedených pre uvedenú pandémiu a sú signály, že trh sa začína oživovať. Veríme, že tento trend bude pokračovať a do konca roka sa dostaneme do čiernych čísel.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rFonts w:ascii="Times New Roman" w:hAnsi="Times New Roman"/>
          <w:i w:val="false"/>
          <w:iCs w:val="false"/>
          <w:sz w:val="24"/>
          <w:szCs w:val="24"/>
        </w:rPr>
        <w:t xml:space="preserve"> </w:t>
      </w:r>
    </w:p>
    <w:p>
      <w:pPr>
        <w:pStyle w:val="Normal"/>
        <w:ind w:left="0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i/>
          <w:i/>
          <w:sz w:val="24"/>
          <w:szCs w:val="24"/>
        </w:rPr>
      </w:pPr>
      <w:r>
        <w:rPr>
          <w:sz w:val="24"/>
          <w:szCs w:val="24"/>
          <w:u w:val="single"/>
        </w:rPr>
        <w:t>d) Informácie o nákladoch na činnosť v oblasti výskumu a vývoja</w:t>
      </w:r>
      <w:r>
        <w:rPr>
          <w:sz w:val="24"/>
          <w:szCs w:val="24"/>
        </w:rPr>
        <w:t xml:space="preserve"> – </w:t>
      </w:r>
      <w:r>
        <w:rPr>
          <w:b/>
          <w:i/>
          <w:sz w:val="24"/>
          <w:szCs w:val="24"/>
        </w:rPr>
        <w:t>bez náplne</w:t>
      </w:r>
      <w:r>
        <w:rPr>
          <w:i/>
          <w:sz w:val="24"/>
          <w:szCs w:val="24"/>
        </w:rPr>
        <w:t>.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i/>
          <w:i/>
          <w:sz w:val="24"/>
          <w:szCs w:val="24"/>
        </w:rPr>
      </w:pPr>
      <w:r>
        <w:rPr>
          <w:sz w:val="24"/>
          <w:szCs w:val="24"/>
          <w:u w:val="single"/>
        </w:rPr>
        <w:t>e) Informácie o nadobúdaní vlastných akcií, dočasných listov, obchodných podielov a akcií, dočasných listov a obchodných podielov materskej účtovnej jednotky</w:t>
      </w:r>
      <w:r>
        <w:rPr>
          <w:sz w:val="24"/>
          <w:szCs w:val="24"/>
        </w:rPr>
        <w:t xml:space="preserve"> – </w:t>
      </w:r>
      <w:r>
        <w:rPr>
          <w:b/>
          <w:i/>
          <w:sz w:val="24"/>
          <w:szCs w:val="24"/>
        </w:rPr>
        <w:t>bez náplne</w:t>
      </w:r>
      <w:r>
        <w:rPr>
          <w:i/>
          <w:sz w:val="24"/>
          <w:szCs w:val="24"/>
        </w:rPr>
        <w:t>.</w:t>
      </w:r>
    </w:p>
    <w:p>
      <w:pPr>
        <w:pStyle w:val="Normal"/>
        <w:ind w:left="0" w:hanging="0"/>
        <w:jc w:val="both"/>
        <w:rPr>
          <w:i/>
          <w:i/>
          <w:sz w:val="24"/>
          <w:szCs w:val="24"/>
        </w:rPr>
      </w:pPr>
      <w:r>
        <w:rPr>
          <w:i/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f) Informácie o návrhu na rozdelenie zisku alebo vyrovnanie straty.</w:t>
      </w:r>
    </w:p>
    <w:p>
      <w:pPr>
        <w:pStyle w:val="Normal"/>
        <w:ind w:left="0" w:hanging="0"/>
        <w:jc w:val="both"/>
        <w:rPr>
          <w:i/>
          <w:i/>
          <w:sz w:val="24"/>
          <w:szCs w:val="24"/>
        </w:rPr>
      </w:pPr>
      <w:r>
        <w:rPr>
          <w:sz w:val="24"/>
          <w:szCs w:val="24"/>
        </w:rPr>
        <w:t>Spoločnosť vytvorila za rok 20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20</w:t>
      </w:r>
      <w:r>
        <w:rPr>
          <w:sz w:val="24"/>
          <w:szCs w:val="24"/>
        </w:rPr>
        <w:t xml:space="preserve"> účtovnú stratu vo výške -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624 311</w:t>
      </w:r>
      <w:r>
        <w:rPr>
          <w:sz w:val="24"/>
          <w:szCs w:val="24"/>
        </w:rPr>
        <w:t xml:space="preserve"> eur. Návrh vysporiadania straty je nasledovný: preúčtovanie na </w:t>
      </w:r>
      <w:r>
        <w:rPr>
          <w:i/>
          <w:sz w:val="24"/>
          <w:szCs w:val="24"/>
        </w:rPr>
        <w:t xml:space="preserve">účet 429-Neuhradená strata minulých rokov. 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g) Informácie o údajoch požadovaných podľa osobitných predpisov</w:t>
      </w:r>
      <w:r>
        <w:rPr>
          <w:sz w:val="24"/>
          <w:szCs w:val="24"/>
        </w:rPr>
        <w:t xml:space="preserve"> – </w:t>
      </w:r>
      <w:r>
        <w:rPr>
          <w:b/>
          <w:i/>
          <w:sz w:val="24"/>
          <w:szCs w:val="24"/>
        </w:rPr>
        <w:t>bez náplne.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h) Informácie o tom, či účtovná jednotka má organizačnú zložku v zahraničí.</w:t>
      </w:r>
    </w:p>
    <w:p>
      <w:pPr>
        <w:pStyle w:val="Normal"/>
        <w:ind w:left="0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Spoločnosť nemá organizačnú zložku v zahraničí.</w:t>
      </w:r>
    </w:p>
    <w:p>
      <w:pPr>
        <w:pStyle w:val="Normal"/>
        <w:ind w:left="0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i) Informácie o ročnej správe o platbách orgánom verejnej moci (§ 20 ods. 2 zákona o účtovníctve)</w:t>
      </w:r>
      <w:r>
        <w:rPr>
          <w:sz w:val="24"/>
          <w:szCs w:val="24"/>
        </w:rPr>
        <w:t xml:space="preserve"> – </w:t>
      </w:r>
      <w:r>
        <w:rPr>
          <w:b/>
          <w:i/>
          <w:sz w:val="24"/>
          <w:szCs w:val="24"/>
        </w:rPr>
        <w:t>bez náplne.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j) Finančné nástroje (§ 20 ods. 5 zákona o účtovníctve)</w:t>
      </w:r>
    </w:p>
    <w:p>
      <w:pPr>
        <w:pStyle w:val="Normal"/>
        <w:ind w:left="0" w:hanging="0"/>
        <w:jc w:val="both"/>
        <w:rPr>
          <w:b/>
          <w:b/>
          <w:sz w:val="24"/>
          <w:szCs w:val="24"/>
        </w:rPr>
      </w:pPr>
      <w:r>
        <w:rPr>
          <w:sz w:val="24"/>
          <w:szCs w:val="24"/>
        </w:rPr>
        <w:t xml:space="preserve">Spoločnosť nepoužíva finančné nástroje (napr. finančné rozdielové zmluvy, deriváty) podľa zákona č.566/2001 Z.z. o cenných papieroch v znení neskorších predpisov – preto nemá povinnosť uviesť špecifické </w:t>
      </w:r>
      <w:r>
        <w:rPr>
          <w:b/>
          <w:sz w:val="24"/>
          <w:szCs w:val="24"/>
        </w:rPr>
        <w:t>informácie o cieľoch a metódach riadenia rizík.</w:t>
      </w:r>
    </w:p>
    <w:p>
      <w:pPr>
        <w:pStyle w:val="Normal"/>
        <w:ind w:left="0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0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0" w:hanging="0"/>
        <w:jc w:val="both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k) Cenné papiere obchodované na regulovanom trhu (§ 20 ods. 6 a 7 zákona o účtovníctve).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 štruktúrované informácie podľa § 20 ods. 6 a 7 zákona o účtovníctve, napríklad – </w:t>
      </w:r>
      <w:r>
        <w:rPr>
          <w:b/>
          <w:sz w:val="24"/>
          <w:szCs w:val="24"/>
        </w:rPr>
        <w:t>vyhlásenie o správe a riadení.</w:t>
      </w:r>
      <w:r>
        <w:rPr>
          <w:sz w:val="24"/>
          <w:szCs w:val="24"/>
        </w:rPr>
        <w:t xml:space="preserve"> </w:t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l) Subjekt verejného záujmu (§ 20 ods. 9 až 14 zákona o účtovníctve).</w:t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  <w:t xml:space="preserve">Spoločnosť </w:t>
      </w:r>
      <w:r>
        <w:rPr>
          <w:b/>
          <w:sz w:val="24"/>
          <w:szCs w:val="24"/>
        </w:rPr>
        <w:t>nie je subjektom verejného záujmu</w:t>
      </w:r>
      <w:r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b/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3) Ďalšie informácie</w:t>
      </w:r>
    </w:p>
    <w:p>
      <w:pPr>
        <w:pStyle w:val="Normal"/>
        <w:ind w:left="0" w:hanging="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ind w:left="0" w:hanging="0"/>
        <w:jc w:val="both"/>
        <w:rPr>
          <w:b/>
          <w:b/>
          <w:sz w:val="28"/>
          <w:szCs w:val="28"/>
        </w:rPr>
      </w:pPr>
      <w:r>
        <w:rPr>
          <w:sz w:val="24"/>
          <w:szCs w:val="24"/>
        </w:rPr>
        <w:t>Účtovná závierka za r. 2019 b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ola schválená Valným zhromaždením dňa 20.08.2020 a overená</w:t>
      </w:r>
    </w:p>
    <w:p>
      <w:pPr>
        <w:pStyle w:val="Normal"/>
        <w:ind w:left="0" w:hanging="0"/>
        <w:jc w:val="both"/>
        <w:rPr>
          <w:b/>
          <w:b/>
          <w:sz w:val="28"/>
          <w:szCs w:val="28"/>
        </w:rPr>
      </w:pP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audítorom.</w:t>
      </w:r>
      <w:r>
        <w:rPr>
          <w:sz w:val="24"/>
          <w:szCs w:val="24"/>
        </w:rPr>
        <w:t xml:space="preserve">      </w:t>
      </w:r>
    </w:p>
    <w:p>
      <w:pPr>
        <w:pStyle w:val="Normal"/>
        <w:ind w:left="0" w:hanging="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ind w:left="0" w:hanging="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4) Povinné prílohy</w:t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Prílohou tejto výročnej správy sú:</w:t>
      </w:r>
    </w:p>
    <w:p>
      <w:pPr>
        <w:pStyle w:val="Normal"/>
        <w:ind w:left="0" w:hanging="0"/>
        <w:jc w:val="both"/>
        <w:rPr>
          <w:b/>
          <w:b/>
          <w:sz w:val="24"/>
          <w:szCs w:val="24"/>
        </w:rPr>
      </w:pPr>
      <w:r>
        <w:rPr>
          <w:rStyle w:val="Ra"/>
          <w:b/>
          <w:sz w:val="24"/>
          <w:szCs w:val="24"/>
        </w:rPr>
        <w:t>Účtovná závierka spoločnosti za rok 20</w:t>
      </w:r>
      <w:r>
        <w:rPr>
          <w:rStyle w:val="Ra"/>
          <w:rFonts w:eastAsia="Calibri" w:cs="Times New Roman"/>
          <w:b/>
          <w:color w:val="auto"/>
          <w:kern w:val="0"/>
          <w:sz w:val="24"/>
          <w:szCs w:val="24"/>
          <w:lang w:val="sk-SK" w:eastAsia="en-US" w:bidi="ar-SA"/>
        </w:rPr>
        <w:t>20</w:t>
      </w:r>
      <w:r>
        <w:rPr>
          <w:rStyle w:val="Ra"/>
          <w:b/>
          <w:sz w:val="24"/>
          <w:szCs w:val="24"/>
        </w:rPr>
        <w:t xml:space="preserve"> (Súvaha, Výkaz ziskov a strát a Poznámky)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rStyle w:val="Ra"/>
          <w:b/>
          <w:sz w:val="24"/>
          <w:szCs w:val="24"/>
        </w:rPr>
        <w:t>Správa audítora z overenia účtovnej závierky za rok 20</w:t>
      </w:r>
      <w:r>
        <w:rPr>
          <w:rStyle w:val="Ra"/>
          <w:rFonts w:eastAsia="Calibri" w:cs="Times New Roman"/>
          <w:b/>
          <w:color w:val="auto"/>
          <w:kern w:val="0"/>
          <w:sz w:val="24"/>
          <w:szCs w:val="24"/>
          <w:lang w:val="sk-SK" w:eastAsia="en-US" w:bidi="ar-SA"/>
        </w:rPr>
        <w:t>20</w:t>
      </w:r>
      <w:r>
        <w:rPr>
          <w:rStyle w:val="Ra"/>
          <w:b/>
          <w:sz w:val="24"/>
          <w:szCs w:val="24"/>
        </w:rPr>
        <w:t>-</w:t>
      </w:r>
      <w:r>
        <w:rPr>
          <w:rStyle w:val="Ra"/>
          <w:sz w:val="24"/>
          <w:szCs w:val="24"/>
        </w:rPr>
        <w:t>audit účtovnej závierky</w:t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bude vykonaný v súlade so zákonom o účtovníctve.</w:t>
      </w:r>
    </w:p>
    <w:p>
      <w:pPr>
        <w:pStyle w:val="Normal"/>
        <w:ind w:left="0" w:hanging="0"/>
        <w:jc w:val="both"/>
        <w:rPr>
          <w:rStyle w:val="Ra"/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pBdr>
          <w:bottom w:val="single" w:sz="6" w:space="1" w:color="000000"/>
        </w:pBdr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Podtatranská hydina, a.s., Slavkovská cesta 54, 060 01  Kežmarok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center"/>
        <w:rPr>
          <w:sz w:val="24"/>
          <w:szCs w:val="24"/>
        </w:rPr>
      </w:pPr>
      <w:r>
        <w:rPr>
          <w:sz w:val="24"/>
          <w:szCs w:val="24"/>
        </w:rPr>
        <w:t>Schválenie ročnej účtovnej závierky a návrh na vysporiadanie</w:t>
      </w:r>
    </w:p>
    <w:p>
      <w:pPr>
        <w:pStyle w:val="Normal"/>
        <w:ind w:left="0" w:hanging="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výsledku hospodárenia za rok 20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20</w:t>
      </w:r>
    </w:p>
    <w:p>
      <w:pPr>
        <w:pStyle w:val="Normal"/>
        <w:ind w:left="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>
        <w:rPr>
          <w:sz w:val="24"/>
          <w:szCs w:val="24"/>
        </w:rPr>
        <w:t>Predstavenstvo Podtatranskej hydiny, a.s., Slavkovská cesta 54, 060 01 Kežmarok, predkladá akcionárom na schválenie tento výsledok hospodárenia za rok 20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20</w:t>
      </w:r>
      <w:r>
        <w:rPr>
          <w:sz w:val="24"/>
          <w:szCs w:val="24"/>
        </w:rPr>
        <w:t>: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výsledok hospodárenia z hospodárskej činnosti                   -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578 091</w:t>
      </w:r>
      <w:r>
        <w:rPr>
          <w:sz w:val="24"/>
          <w:szCs w:val="24"/>
        </w:rPr>
        <w:t xml:space="preserve"> €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- výsledok hospodárenia z finančnej činnosti                           -     2 452 €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- výsledok hospodárenia za účtovné obdobie                          - 624 311 €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Návrh uznesenia: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Riadne valné zhromaždenie schvaľuje ročnú účtovnú závierku za rok 20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 xml:space="preserve">20 </w:t>
      </w:r>
      <w:r>
        <w:rPr>
          <w:sz w:val="24"/>
          <w:szCs w:val="24"/>
        </w:rPr>
        <w:t xml:space="preserve">tak, ako bola predložená predstavenstvom akciovej spoločnosti a súhlasí, aby výsledok hospodárenia t.j. strata vo výške -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624 311</w:t>
      </w:r>
      <w:r>
        <w:rPr>
          <w:sz w:val="24"/>
          <w:szCs w:val="24"/>
        </w:rPr>
        <w:t xml:space="preserve"> € bola vysporiadaná nasledovne: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Neuhradená strata minulých rokov                                   -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624 311,21</w:t>
      </w:r>
      <w:r>
        <w:rPr>
          <w:sz w:val="24"/>
          <w:szCs w:val="24"/>
        </w:rPr>
        <w:t xml:space="preserve"> €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Kežmarok, 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10.05</w:t>
      </w:r>
      <w:r>
        <w:rPr>
          <w:sz w:val="24"/>
          <w:szCs w:val="24"/>
        </w:rPr>
        <w:t>.202</w:t>
      </w:r>
      <w:r>
        <w:rPr>
          <w:rFonts w:eastAsia="Calibri" w:cs="Times New Roman"/>
          <w:color w:val="auto"/>
          <w:kern w:val="0"/>
          <w:sz w:val="24"/>
          <w:szCs w:val="24"/>
          <w:lang w:val="sk-SK" w:eastAsia="en-US" w:bidi="ar-SA"/>
        </w:rPr>
        <w:t>1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>Schválil: MVDr. Pavol Konkoľ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  <w:r>
        <w:rPr>
          <w:sz w:val="24"/>
          <w:szCs w:val="24"/>
        </w:rPr>
        <w:t xml:space="preserve">Na základe generálnej </w:t>
      </w:r>
    </w:p>
    <w:p>
      <w:pPr>
        <w:pStyle w:val="Normal"/>
        <w:ind w:left="0" w:hang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  <w:r>
        <w:rPr>
          <w:sz w:val="24"/>
          <w:szCs w:val="24"/>
        </w:rPr>
        <w:t>plnej moci</w:t>
      </w:r>
    </w:p>
    <w:sectPr>
      <w:footerReference w:type="default" r:id="rId2"/>
      <w:type w:val="nextPage"/>
      <w:pgSz w:w="11906" w:h="16838"/>
      <w:pgMar w:left="1417" w:right="1417" w:header="0" w:top="1417" w:footer="708" w:bottom="1417" w:gutter="0"/>
      <w:pgNumType w:start="0" w:fmt="decimal"/>
      <w:formProt w:val="false"/>
      <w:titlePg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7</w:t>
    </w:r>
    <w:r>
      <w:rPr/>
      <w:fldChar w:fldCharType="end"/>
    </w:r>
  </w:p>
  <w:p>
    <w:pPr>
      <w:pStyle w:val="Pta"/>
      <w:rPr/>
    </w:pPr>
    <w:r>
      <w:rPr/>
    </w:r>
  </w:p>
</w:ftr>
</file>

<file path=word/settings.xml><?xml version="1.0" encoding="utf-8"?>
<w:settings xmlns:w="http://schemas.openxmlformats.org/wordprocessingml/2006/main">
  <w:zoom w:val="bestFit" w:percent="184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sz w:val="22"/>
        <w:szCs w:val="22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locked="1" w:uiPriority="0" w:semiHidden="0" w:unhideWhenUsed="0" w:qFormat="1"/>
    <w:lsdException w:name="heading 1" w:locked="1" w:uiPriority="0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uiPriority="0" w:semiHidden="0" w:unhideWhenUsed="0"/>
    <w:lsdException w:name="toc 2" w:locked="1" w:uiPriority="0" w:semiHidden="0" w:unhideWhenUsed="0"/>
    <w:lsdException w:name="toc 3" w:locked="1" w:uiPriority="0" w:semiHidden="0" w:unhideWhenUsed="0"/>
    <w:lsdException w:name="toc 4" w:locked="1" w:uiPriority="0" w:semiHidden="0" w:unhideWhenUsed="0"/>
    <w:lsdException w:name="toc 5" w:locked="1" w:uiPriority="0" w:semiHidden="0" w:unhideWhenUsed="0"/>
    <w:lsdException w:name="toc 6" w:locked="1" w:uiPriority="0" w:semiHidden="0" w:unhideWhenUsed="0"/>
    <w:lsdException w:name="toc 7" w:locked="1" w:uiPriority="0" w:semiHidden="0" w:unhideWhenUsed="0"/>
    <w:lsdException w:name="toc 8" w:locked="1" w:uiPriority="0" w:semiHidden="0" w:unhideWhenUsed="0"/>
    <w:lsdException w:name="toc 9" w:locked="1" w:uiPriority="0" w:semiHidden="0" w:unhideWhenUsed="0"/>
    <w:lsdException w:name="caption" w:locked="1" w:uiPriority="0" w:qFormat="1"/>
    <w:lsdException w:name="Title" w:locked="1" w:uiPriority="0" w:semiHidden="0" w:unhideWhenUsed="0" w:qFormat="1"/>
    <w:lsdException w:name="Default Paragraph Font" w:locked="1" w:uiPriority="0" w:semiHidden="0" w:unhideWhenUsed="0"/>
    <w:lsdException w:name="Subtitle" w:locked="1" w:uiPriority="0" w:semiHidden="0" w:unhideWhenUsed="0" w:qFormat="1"/>
    <w:lsdException w:name="Strong" w:locked="1" w:uiPriority="0" w:semiHidden="0" w:unhideWhenUsed="0" w:qFormat="1"/>
    <w:lsdException w:name="Emphasis" w:locked="1" w:uiPriority="0" w:semiHidden="0" w:unhideWhenUsed="0" w:qFormat="1"/>
    <w:lsdException w:name="Normal (Web)" w:locked="1" w:uiPriority="0" w:semiHidden="0" w:unhideWhenUsed="0"/>
    <w:lsdException w:name="Table Grid" w:locked="1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d6f01"/>
    <w:pPr>
      <w:widowControl/>
      <w:suppressAutoHyphens w:val="true"/>
      <w:bidi w:val="0"/>
      <w:spacing w:before="0" w:after="0"/>
      <w:ind w:left="7791" w:firstLine="709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99"/>
    <w:semiHidden/>
    <w:qFormat/>
    <w:rPr/>
  </w:style>
  <w:style w:type="character" w:styleId="Ra" w:customStyle="1">
    <w:name w:val="ra"/>
    <w:basedOn w:val="DefaultParagraphFont"/>
    <w:uiPriority w:val="99"/>
    <w:qFormat/>
    <w:rsid w:val="00cd6f01"/>
    <w:rPr>
      <w:rFonts w:cs="Times New Roman"/>
    </w:rPr>
  </w:style>
  <w:style w:type="character" w:styleId="HeaderChar" w:customStyle="1">
    <w:name w:val="Header Char"/>
    <w:basedOn w:val="DefaultParagraphFont"/>
    <w:link w:val="Header"/>
    <w:uiPriority w:val="99"/>
    <w:semiHidden/>
    <w:qFormat/>
    <w:locked/>
    <w:rsid w:val="00080a76"/>
    <w:rPr>
      <w:rFonts w:cs="Times New Roman"/>
      <w:sz w:val="22"/>
      <w:lang w:eastAsia="en-US"/>
    </w:rPr>
  </w:style>
  <w:style w:type="character" w:styleId="FooterChar" w:customStyle="1">
    <w:name w:val="Footer Char"/>
    <w:basedOn w:val="DefaultParagraphFont"/>
    <w:link w:val="Footer"/>
    <w:uiPriority w:val="99"/>
    <w:qFormat/>
    <w:locked/>
    <w:rsid w:val="00080a76"/>
    <w:rPr>
      <w:rFonts w:cs="Times New Roman"/>
      <w:sz w:val="22"/>
      <w:lang w:eastAsia="en-US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locked/>
    <w:rsid w:val="00226b88"/>
    <w:rPr>
      <w:rFonts w:ascii="Tahoma" w:hAnsi="Tahoma" w:cs="Times New Roman"/>
      <w:sz w:val="16"/>
      <w:lang w:eastAsia="en-US"/>
    </w:rPr>
  </w:style>
  <w:style w:type="character" w:styleId="NoSpacingChar" w:customStyle="1">
    <w:name w:val="No Spacing Char"/>
    <w:link w:val="NoSpacing"/>
    <w:uiPriority w:val="99"/>
    <w:qFormat/>
    <w:locked/>
    <w:rsid w:val="005133f9"/>
    <w:rPr>
      <w:rFonts w:eastAsia="Times New Roman"/>
      <w:sz w:val="22"/>
      <w:lang w:val="sk-SK" w:eastAsia="en-U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qFormat/>
    <w:rsid w:val="009e742e"/>
    <w:pPr>
      <w:spacing w:beforeAutospacing="1" w:afterAutospacing="1"/>
      <w:ind w:left="0" w:hanging="0"/>
    </w:pPr>
    <w:rPr>
      <w:rFonts w:ascii="Times New Roman" w:hAnsi="Times New Roman" w:eastAsia="Times New Roman"/>
      <w:sz w:val="24"/>
      <w:szCs w:val="24"/>
      <w:lang w:val="cs-CZ" w:eastAsia="cs-CZ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eaderChar"/>
    <w:uiPriority w:val="99"/>
    <w:semiHidden/>
    <w:rsid w:val="00080a76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rsid w:val="00080a76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BalloonTextChar"/>
    <w:uiPriority w:val="99"/>
    <w:semiHidden/>
    <w:qFormat/>
    <w:rsid w:val="00226b88"/>
    <w:pPr/>
    <w:rPr>
      <w:rFonts w:ascii="Tahoma" w:hAnsi="Tahoma"/>
      <w:sz w:val="16"/>
      <w:szCs w:val="16"/>
    </w:rPr>
  </w:style>
  <w:style w:type="paragraph" w:styleId="NoSpacing">
    <w:name w:val="No Spacing"/>
    <w:link w:val="NoSpacingChar"/>
    <w:uiPriority w:val="99"/>
    <w:qFormat/>
    <w:rsid w:val="005133f9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sk-SK" w:eastAsia="en-US" w:bidi="ar-SA"/>
    </w:rPr>
  </w:style>
  <w:style w:type="paragraph" w:styleId="Default" w:customStyle="1">
    <w:name w:val="Default"/>
    <w:uiPriority w:val="99"/>
    <w:qFormat/>
    <w:rsid w:val="00f940a7"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Calibri"/>
      <w:color w:val="000000"/>
      <w:kern w:val="0"/>
      <w:sz w:val="24"/>
      <w:szCs w:val="24"/>
      <w:lang w:val="en-US" w:eastAsia="en-US" w:bidi="ar-SA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d61bac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1974</TotalTime>
  <Application>LibreOffice/7.0.1.2$Windows_X86_64 LibreOffice_project/7cbcfc562f6eb6708b5ff7d7397325de9e764452</Application>
  <Pages>8</Pages>
  <Words>1921</Words>
  <Characters>10589</Characters>
  <CharactersWithSpaces>13656</CharactersWithSpaces>
  <Paragraphs>311</Paragraphs>
  <Company>ALFA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2019-03-22T13:20:00Z</dcterms:created>
  <dc:creator>Administrator</dc:creator>
  <dc:description/>
  <dc:language>sk-SK</dc:language>
  <cp:lastModifiedBy/>
  <cp:lastPrinted>2020-08-20T08:01:00Z</cp:lastPrinted>
  <dcterms:modified xsi:type="dcterms:W3CDTF">2021-05-10T11:31:00Z</dcterms:modified>
  <cp:revision>94</cp:revision>
  <dc:subject>ALFA s.r.o.</dc:subject>
  <dc:title>Výročná správa 2014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ALFA s.r.o.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