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330C0" w:rsidRDefault="00C330C0" w:rsidP="00C330C0">
      <w:pPr>
        <w:pStyle w:val="Default"/>
      </w:pPr>
      <w:r>
        <w:t>IČO: 52133842  DIČ: 2120899968</w:t>
      </w:r>
    </w:p>
    <w:p w:rsidR="00C330C0" w:rsidRDefault="00C330C0" w:rsidP="00C330C0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Čl. I</w:t>
      </w:r>
    </w:p>
    <w:p w:rsidR="00C330C0" w:rsidRDefault="00C330C0" w:rsidP="00C330C0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Všeobecné údaje</w:t>
      </w:r>
    </w:p>
    <w:p w:rsidR="00C330C0" w:rsidRDefault="00C330C0" w:rsidP="00C330C0">
      <w:pPr>
        <w:pStyle w:val="Default"/>
        <w:numPr>
          <w:ilvl w:val="0"/>
          <w:numId w:val="1"/>
        </w:numPr>
        <w:rPr>
          <w:sz w:val="23"/>
          <w:szCs w:val="23"/>
        </w:rPr>
      </w:pPr>
      <w:r>
        <w:rPr>
          <w:sz w:val="23"/>
          <w:szCs w:val="23"/>
        </w:rPr>
        <w:t>Názov právnickej osoby :MAKRONKOVO s.r.o.</w:t>
      </w:r>
    </w:p>
    <w:p w:rsidR="00C330C0" w:rsidRDefault="00C330C0" w:rsidP="00C330C0">
      <w:pPr>
        <w:pStyle w:val="Default"/>
        <w:ind w:left="720"/>
        <w:rPr>
          <w:sz w:val="23"/>
          <w:szCs w:val="23"/>
        </w:rPr>
      </w:pPr>
      <w:r>
        <w:rPr>
          <w:sz w:val="23"/>
          <w:szCs w:val="23"/>
        </w:rPr>
        <w:t>Sídlo: Zvolenská cesta 85, 974 05 Banská Bystrica</w:t>
      </w:r>
    </w:p>
    <w:p w:rsidR="00C330C0" w:rsidRDefault="00C330C0" w:rsidP="00C330C0">
      <w:pPr>
        <w:pStyle w:val="Default"/>
        <w:ind w:left="720"/>
        <w:rPr>
          <w:sz w:val="23"/>
          <w:szCs w:val="23"/>
        </w:rPr>
      </w:pPr>
    </w:p>
    <w:p w:rsidR="00C330C0" w:rsidRDefault="00C330C0" w:rsidP="00C330C0">
      <w:pPr>
        <w:pStyle w:val="Default"/>
        <w:spacing w:after="18"/>
        <w:rPr>
          <w:sz w:val="23"/>
          <w:szCs w:val="23"/>
        </w:rPr>
      </w:pPr>
      <w:r>
        <w:rPr>
          <w:sz w:val="23"/>
          <w:szCs w:val="23"/>
        </w:rPr>
        <w:t xml:space="preserve">(2) Údaje o konsolidovanom celku, a to </w:t>
      </w:r>
    </w:p>
    <w:p w:rsidR="00C330C0" w:rsidRDefault="00C330C0" w:rsidP="00C330C0">
      <w:pPr>
        <w:pStyle w:val="Default"/>
        <w:spacing w:after="18"/>
        <w:rPr>
          <w:sz w:val="23"/>
          <w:szCs w:val="23"/>
        </w:rPr>
      </w:pPr>
      <w:r>
        <w:rPr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C330C0" w:rsidRDefault="00C330C0" w:rsidP="00C330C0">
      <w:pPr>
        <w:pStyle w:val="Default"/>
        <w:spacing w:after="18"/>
        <w:rPr>
          <w:sz w:val="23"/>
          <w:szCs w:val="23"/>
        </w:rPr>
      </w:pPr>
      <w:r>
        <w:rPr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C330C0" w:rsidRDefault="00C330C0" w:rsidP="00C330C0">
      <w:pPr>
        <w:pStyle w:val="Default"/>
        <w:spacing w:after="18"/>
        <w:rPr>
          <w:sz w:val="16"/>
          <w:szCs w:val="16"/>
        </w:rPr>
      </w:pPr>
      <w:r>
        <w:rPr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sz w:val="16"/>
          <w:szCs w:val="16"/>
        </w:rPr>
        <w:t xml:space="preserve">4) </w:t>
      </w:r>
    </w:p>
    <w:p w:rsidR="00C330C0" w:rsidRDefault="00C330C0" w:rsidP="00C330C0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2. pri oslobodení podľa § 22 ods. 12 zákona obchodné meno a sídlo dcérskych účtovných jednotiek. </w:t>
      </w:r>
    </w:p>
    <w:p w:rsidR="00C330C0" w:rsidRDefault="00C330C0" w:rsidP="00C330C0">
      <w:pPr>
        <w:pStyle w:val="Default"/>
        <w:rPr>
          <w:sz w:val="23"/>
          <w:szCs w:val="23"/>
        </w:rPr>
      </w:pPr>
    </w:p>
    <w:p w:rsidR="00C330C0" w:rsidRPr="00C330C0" w:rsidRDefault="00C330C0" w:rsidP="00C330C0">
      <w:pPr>
        <w:pStyle w:val="Default"/>
        <w:rPr>
          <w:i/>
          <w:sz w:val="23"/>
          <w:szCs w:val="23"/>
        </w:rPr>
      </w:pPr>
      <w:r w:rsidRPr="00C330C0">
        <w:rPr>
          <w:i/>
          <w:sz w:val="23"/>
          <w:szCs w:val="23"/>
        </w:rPr>
        <w:t>ÚJ nie je súčasťou konsolidovaného celku</w:t>
      </w:r>
    </w:p>
    <w:p w:rsidR="00C330C0" w:rsidRDefault="00C330C0" w:rsidP="00C330C0">
      <w:pPr>
        <w:pStyle w:val="Default"/>
        <w:rPr>
          <w:sz w:val="23"/>
          <w:szCs w:val="23"/>
        </w:rPr>
      </w:pPr>
    </w:p>
    <w:p w:rsidR="00C330C0" w:rsidRDefault="00C330C0" w:rsidP="00C330C0">
      <w:pPr>
        <w:pStyle w:val="Default"/>
        <w:rPr>
          <w:sz w:val="23"/>
          <w:szCs w:val="23"/>
        </w:rPr>
      </w:pPr>
      <w:r>
        <w:rPr>
          <w:rFonts w:ascii="Times New Roman" w:hAnsi="Times New Roman" w:cs="Times New Roman"/>
          <w:sz w:val="13"/>
          <w:szCs w:val="13"/>
        </w:rPr>
        <w:t>4</w:t>
      </w:r>
      <w:r>
        <w:rPr>
          <w:rFonts w:ascii="Times New Roman" w:hAnsi="Times New Roman" w:cs="Times New Roman"/>
          <w:sz w:val="16"/>
          <w:szCs w:val="16"/>
        </w:rPr>
        <w:t xml:space="preserve">) </w:t>
      </w:r>
      <w:r>
        <w:rPr>
          <w:sz w:val="23"/>
          <w:szCs w:val="23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C330C0" w:rsidRDefault="00C330C0" w:rsidP="00C330C0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C330C0" w:rsidRDefault="00C330C0" w:rsidP="00C330C0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(3) Priemerný prepočítaný počet zamestnancov. </w:t>
      </w:r>
    </w:p>
    <w:p w:rsidR="00C330C0" w:rsidRDefault="00C330C0" w:rsidP="00C330C0">
      <w:pPr>
        <w:pStyle w:val="Default"/>
        <w:rPr>
          <w:sz w:val="23"/>
          <w:szCs w:val="23"/>
        </w:rPr>
      </w:pPr>
    </w:p>
    <w:p w:rsidR="00C330C0" w:rsidRDefault="00C330C0" w:rsidP="00C330C0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Čl. II</w:t>
      </w:r>
    </w:p>
    <w:p w:rsidR="00C330C0" w:rsidRDefault="00C330C0" w:rsidP="00C330C0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Informácie o prijatých postupoch</w:t>
      </w:r>
    </w:p>
    <w:p w:rsidR="00C330C0" w:rsidRDefault="00C330C0" w:rsidP="00C330C0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(1) </w:t>
      </w:r>
      <w:r w:rsidRPr="00C330C0">
        <w:rPr>
          <w:i/>
          <w:sz w:val="23"/>
          <w:szCs w:val="23"/>
        </w:rPr>
        <w:t>Účtovná závierka je zostavená za splnenia predpokladu, že účtovná jednotka bude nepretržite pokračovať vo svojej činnosti.</w:t>
      </w:r>
      <w:r>
        <w:rPr>
          <w:sz w:val="23"/>
          <w:szCs w:val="23"/>
        </w:rPr>
        <w:t xml:space="preserve"> </w:t>
      </w:r>
    </w:p>
    <w:p w:rsidR="00C330C0" w:rsidRDefault="00C330C0" w:rsidP="00C330C0">
      <w:pPr>
        <w:pStyle w:val="Default"/>
        <w:rPr>
          <w:sz w:val="23"/>
          <w:szCs w:val="23"/>
        </w:rPr>
      </w:pPr>
    </w:p>
    <w:p w:rsidR="00C330C0" w:rsidRDefault="00C330C0" w:rsidP="00C330C0">
      <w:pPr>
        <w:pStyle w:val="Default"/>
        <w:spacing w:after="20"/>
        <w:rPr>
          <w:sz w:val="23"/>
          <w:szCs w:val="23"/>
        </w:rPr>
      </w:pPr>
      <w:r>
        <w:rPr>
          <w:sz w:val="23"/>
          <w:szCs w:val="23"/>
        </w:rPr>
        <w:t xml:space="preserve">(2) Spôsob oceňovania jednotlivých položiek majetku a záväzkov, a to </w:t>
      </w:r>
    </w:p>
    <w:p w:rsidR="00C330C0" w:rsidRDefault="00C330C0" w:rsidP="00C330C0">
      <w:pPr>
        <w:pStyle w:val="Default"/>
        <w:spacing w:after="20"/>
        <w:rPr>
          <w:sz w:val="23"/>
          <w:szCs w:val="23"/>
        </w:rPr>
      </w:pPr>
      <w:r>
        <w:rPr>
          <w:sz w:val="23"/>
          <w:szCs w:val="23"/>
        </w:rPr>
        <w:t>a) dlhodobého nehmotného majetku, dlhodobého hmotného majetku a dlhodobého finančného majetku - nemá</w:t>
      </w:r>
    </w:p>
    <w:p w:rsidR="00C330C0" w:rsidRDefault="00C330C0" w:rsidP="00C330C0">
      <w:pPr>
        <w:pStyle w:val="Default"/>
        <w:spacing w:after="20"/>
        <w:rPr>
          <w:sz w:val="23"/>
          <w:szCs w:val="23"/>
        </w:rPr>
      </w:pPr>
      <w:r>
        <w:rPr>
          <w:sz w:val="23"/>
          <w:szCs w:val="23"/>
        </w:rPr>
        <w:t xml:space="preserve">b) zásob obstaraných kúpou, zásob vytvorených vlastnou činnosťou - </w:t>
      </w:r>
      <w:r w:rsidRPr="00C330C0">
        <w:rPr>
          <w:i/>
          <w:sz w:val="23"/>
          <w:szCs w:val="23"/>
        </w:rPr>
        <w:t>nemá</w:t>
      </w:r>
    </w:p>
    <w:p w:rsidR="00C330C0" w:rsidRDefault="00C330C0" w:rsidP="00C330C0">
      <w:pPr>
        <w:pStyle w:val="Default"/>
        <w:spacing w:after="20"/>
        <w:rPr>
          <w:sz w:val="23"/>
          <w:szCs w:val="23"/>
        </w:rPr>
      </w:pPr>
      <w:r>
        <w:rPr>
          <w:sz w:val="23"/>
          <w:szCs w:val="23"/>
        </w:rPr>
        <w:t xml:space="preserve">c) pohľadávok – </w:t>
      </w:r>
      <w:r w:rsidRPr="00C330C0">
        <w:rPr>
          <w:i/>
          <w:sz w:val="23"/>
          <w:szCs w:val="23"/>
        </w:rPr>
        <w:t>menovitou hodnotou</w:t>
      </w:r>
    </w:p>
    <w:p w:rsidR="00C330C0" w:rsidRDefault="00C330C0" w:rsidP="00C330C0">
      <w:pPr>
        <w:pStyle w:val="Default"/>
        <w:spacing w:after="20"/>
        <w:rPr>
          <w:sz w:val="23"/>
          <w:szCs w:val="23"/>
        </w:rPr>
      </w:pPr>
      <w:r>
        <w:rPr>
          <w:sz w:val="23"/>
          <w:szCs w:val="23"/>
        </w:rPr>
        <w:t xml:space="preserve">d) krátkodobého finančného majetku - </w:t>
      </w:r>
      <w:r w:rsidRPr="00C330C0">
        <w:rPr>
          <w:i/>
          <w:sz w:val="23"/>
          <w:szCs w:val="23"/>
        </w:rPr>
        <w:t>nemá</w:t>
      </w:r>
      <w:r>
        <w:rPr>
          <w:sz w:val="23"/>
          <w:szCs w:val="23"/>
        </w:rPr>
        <w:t xml:space="preserve"> </w:t>
      </w:r>
    </w:p>
    <w:p w:rsidR="00C330C0" w:rsidRDefault="00C330C0" w:rsidP="00C330C0">
      <w:pPr>
        <w:pStyle w:val="Default"/>
        <w:spacing w:after="20"/>
        <w:rPr>
          <w:sz w:val="23"/>
          <w:szCs w:val="23"/>
        </w:rPr>
      </w:pPr>
      <w:r>
        <w:rPr>
          <w:sz w:val="23"/>
          <w:szCs w:val="23"/>
        </w:rPr>
        <w:t xml:space="preserve">e) záväzkov vrátane rezerv, dlhopisov, pôžičiek a úverov - </w:t>
      </w:r>
      <w:r w:rsidRPr="00C330C0">
        <w:rPr>
          <w:i/>
          <w:sz w:val="23"/>
          <w:szCs w:val="23"/>
        </w:rPr>
        <w:t>nemá</w:t>
      </w:r>
    </w:p>
    <w:p w:rsidR="00C330C0" w:rsidRDefault="00C330C0" w:rsidP="00C330C0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f) derivátových operácií - </w:t>
      </w:r>
      <w:r w:rsidRPr="00C330C0">
        <w:rPr>
          <w:i/>
          <w:sz w:val="23"/>
          <w:szCs w:val="23"/>
        </w:rPr>
        <w:t>nemá</w:t>
      </w:r>
    </w:p>
    <w:p w:rsidR="00C330C0" w:rsidRDefault="00C330C0" w:rsidP="00C330C0">
      <w:pPr>
        <w:pStyle w:val="Default"/>
        <w:rPr>
          <w:sz w:val="23"/>
          <w:szCs w:val="23"/>
        </w:rPr>
      </w:pPr>
    </w:p>
    <w:p w:rsidR="00C330C0" w:rsidRDefault="00C330C0" w:rsidP="00C330C0">
      <w:pPr>
        <w:pStyle w:val="Default"/>
        <w:rPr>
          <w:sz w:val="23"/>
          <w:szCs w:val="23"/>
        </w:rPr>
      </w:pPr>
    </w:p>
    <w:p w:rsidR="00C330C0" w:rsidRDefault="00C330C0" w:rsidP="00C330C0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C330C0" w:rsidRDefault="00C330C0" w:rsidP="00C330C0">
      <w:pPr>
        <w:pStyle w:val="Default"/>
        <w:rPr>
          <w:color w:val="auto"/>
        </w:rPr>
      </w:pPr>
    </w:p>
    <w:p w:rsidR="00C330C0" w:rsidRPr="00C330C0" w:rsidRDefault="00C330C0" w:rsidP="00C330C0">
      <w:pPr>
        <w:pStyle w:val="Default"/>
        <w:rPr>
          <w:i/>
          <w:color w:val="auto"/>
        </w:rPr>
      </w:pPr>
      <w:r w:rsidRPr="00C330C0">
        <w:rPr>
          <w:i/>
          <w:color w:val="auto"/>
        </w:rPr>
        <w:t>Účtovná jednotka v roku 201</w:t>
      </w:r>
      <w:r w:rsidR="00DC28A6">
        <w:rPr>
          <w:i/>
          <w:color w:val="auto"/>
        </w:rPr>
        <w:t>9</w:t>
      </w:r>
      <w:r w:rsidRPr="00C330C0">
        <w:rPr>
          <w:i/>
          <w:color w:val="auto"/>
        </w:rPr>
        <w:t xml:space="preserve"> ne</w:t>
      </w:r>
      <w:bookmarkStart w:id="0" w:name="_GoBack"/>
      <w:bookmarkEnd w:id="0"/>
      <w:r w:rsidRPr="00C330C0">
        <w:rPr>
          <w:i/>
          <w:color w:val="auto"/>
        </w:rPr>
        <w:t>vlastnila dlhodobý majetok</w:t>
      </w:r>
    </w:p>
    <w:p w:rsidR="00C330C0" w:rsidRDefault="00C330C0" w:rsidP="00C330C0">
      <w:pPr>
        <w:pStyle w:val="Default"/>
        <w:pageBreakBefore/>
        <w:rPr>
          <w:color w:val="auto"/>
        </w:rPr>
      </w:pPr>
    </w:p>
    <w:p w:rsidR="00C330C0" w:rsidRDefault="00C330C0" w:rsidP="00C330C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 – </w:t>
      </w:r>
      <w:r w:rsidRPr="00C330C0">
        <w:rPr>
          <w:i/>
          <w:color w:val="auto"/>
          <w:sz w:val="23"/>
          <w:szCs w:val="23"/>
        </w:rPr>
        <w:t>v priebehu účtovného obdobia nedošlo k zmene zásad a metód</w:t>
      </w:r>
    </w:p>
    <w:p w:rsidR="00C330C0" w:rsidRDefault="00C330C0" w:rsidP="00C330C0">
      <w:pPr>
        <w:pStyle w:val="Default"/>
        <w:rPr>
          <w:color w:val="auto"/>
          <w:sz w:val="23"/>
          <w:szCs w:val="23"/>
        </w:rPr>
      </w:pPr>
    </w:p>
    <w:p w:rsidR="00C330C0" w:rsidRPr="00C330C0" w:rsidRDefault="00C330C0" w:rsidP="00C330C0">
      <w:pPr>
        <w:pStyle w:val="Default"/>
        <w:rPr>
          <w:i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dotáciách a ich oceňovanie v účtovníctve – </w:t>
      </w:r>
      <w:r w:rsidRPr="00C330C0">
        <w:rPr>
          <w:i/>
          <w:color w:val="auto"/>
          <w:sz w:val="23"/>
          <w:szCs w:val="23"/>
        </w:rPr>
        <w:t xml:space="preserve">v priebehu účtovného obdobia účtovná jednotka nečerpala dotácie </w:t>
      </w:r>
    </w:p>
    <w:p w:rsidR="00C330C0" w:rsidRDefault="00C330C0" w:rsidP="00C330C0">
      <w:pPr>
        <w:pStyle w:val="Default"/>
        <w:rPr>
          <w:color w:val="auto"/>
          <w:sz w:val="23"/>
          <w:szCs w:val="23"/>
        </w:rPr>
      </w:pPr>
    </w:p>
    <w:p w:rsidR="00C330C0" w:rsidRPr="00C330C0" w:rsidRDefault="00C330C0" w:rsidP="00C330C0">
      <w:pPr>
        <w:pStyle w:val="Default"/>
        <w:rPr>
          <w:i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 - </w:t>
      </w:r>
      <w:r w:rsidRPr="00C330C0">
        <w:rPr>
          <w:i/>
          <w:color w:val="auto"/>
          <w:sz w:val="23"/>
          <w:szCs w:val="23"/>
        </w:rPr>
        <w:t xml:space="preserve">v priebehu účtovného obdobia účtovná jednotka </w:t>
      </w:r>
      <w:r>
        <w:rPr>
          <w:i/>
          <w:color w:val="auto"/>
          <w:sz w:val="23"/>
          <w:szCs w:val="23"/>
        </w:rPr>
        <w:t>neúčtovala o opravách významných chýb minulých účtovných období</w:t>
      </w:r>
      <w:r w:rsidRPr="00C330C0">
        <w:rPr>
          <w:i/>
          <w:color w:val="auto"/>
          <w:sz w:val="23"/>
          <w:szCs w:val="23"/>
        </w:rPr>
        <w:t xml:space="preserve"> </w:t>
      </w:r>
    </w:p>
    <w:p w:rsidR="00C330C0" w:rsidRDefault="00C330C0" w:rsidP="00C330C0">
      <w:pPr>
        <w:pStyle w:val="Default"/>
        <w:rPr>
          <w:color w:val="auto"/>
          <w:sz w:val="23"/>
          <w:szCs w:val="23"/>
        </w:rPr>
      </w:pPr>
    </w:p>
    <w:p w:rsidR="00C330C0" w:rsidRDefault="00C330C0" w:rsidP="00C330C0">
      <w:pPr>
        <w:pStyle w:val="Default"/>
        <w:rPr>
          <w:color w:val="auto"/>
          <w:sz w:val="23"/>
          <w:szCs w:val="23"/>
        </w:rPr>
      </w:pPr>
    </w:p>
    <w:p w:rsidR="00C330C0" w:rsidRDefault="00C330C0" w:rsidP="00C330C0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III</w:t>
      </w:r>
    </w:p>
    <w:p w:rsidR="00C330C0" w:rsidRDefault="00C330C0" w:rsidP="00C330C0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Informácie, ktoré vysvetľujú a dopĺňajú súvahu a výkaz ziskov a strát</w:t>
      </w:r>
    </w:p>
    <w:p w:rsidR="00C330C0" w:rsidRDefault="00C330C0" w:rsidP="00C330C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C330C0" w:rsidRDefault="00C330C0" w:rsidP="00C330C0">
      <w:pPr>
        <w:pStyle w:val="Default"/>
        <w:rPr>
          <w:color w:val="auto"/>
          <w:sz w:val="23"/>
          <w:szCs w:val="23"/>
        </w:rPr>
      </w:pPr>
    </w:p>
    <w:p w:rsidR="00C330C0" w:rsidRDefault="00C330C0" w:rsidP="00C330C0">
      <w:pPr>
        <w:pStyle w:val="Default"/>
        <w:spacing w:after="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C330C0" w:rsidRDefault="00C330C0" w:rsidP="00C330C0">
      <w:pPr>
        <w:pStyle w:val="Default"/>
        <w:spacing w:after="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C330C0" w:rsidRDefault="00C330C0" w:rsidP="00C330C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C330C0" w:rsidRDefault="00C330C0" w:rsidP="00C330C0">
      <w:pPr>
        <w:pStyle w:val="Default"/>
        <w:rPr>
          <w:color w:val="auto"/>
          <w:sz w:val="23"/>
          <w:szCs w:val="23"/>
        </w:rPr>
      </w:pPr>
    </w:p>
    <w:p w:rsidR="00C330C0" w:rsidRDefault="00C330C0" w:rsidP="00C330C0">
      <w:pPr>
        <w:pStyle w:val="Default"/>
        <w:spacing w:after="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C330C0" w:rsidRDefault="00C330C0" w:rsidP="00C330C0">
      <w:pPr>
        <w:pStyle w:val="Default"/>
        <w:spacing w:after="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C330C0" w:rsidRDefault="00C330C0" w:rsidP="00C330C0">
      <w:pPr>
        <w:pStyle w:val="Default"/>
        <w:spacing w:after="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C330C0" w:rsidRDefault="00C330C0" w:rsidP="00C330C0">
      <w:pPr>
        <w:pStyle w:val="Default"/>
        <w:spacing w:after="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C330C0" w:rsidRDefault="00C330C0" w:rsidP="00C330C0">
      <w:pPr>
        <w:pStyle w:val="Default"/>
        <w:spacing w:after="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C330C0" w:rsidRDefault="00C330C0" w:rsidP="00C330C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C330C0" w:rsidRDefault="00C330C0" w:rsidP="00C330C0">
      <w:pPr>
        <w:pStyle w:val="Default"/>
        <w:rPr>
          <w:color w:val="auto"/>
          <w:sz w:val="23"/>
          <w:szCs w:val="23"/>
        </w:rPr>
      </w:pPr>
    </w:p>
    <w:p w:rsidR="00C330C0" w:rsidRDefault="00C330C0" w:rsidP="00C330C0">
      <w:pPr>
        <w:pStyle w:val="Default"/>
        <w:spacing w:after="19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C330C0" w:rsidRDefault="00C330C0" w:rsidP="00C330C0">
      <w:pPr>
        <w:pStyle w:val="Default"/>
        <w:spacing w:after="19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C330C0" w:rsidRDefault="00C330C0" w:rsidP="00C330C0">
      <w:pPr>
        <w:pStyle w:val="Default"/>
        <w:spacing w:after="19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C330C0" w:rsidRDefault="00C330C0" w:rsidP="00C330C0">
      <w:pPr>
        <w:pStyle w:val="Default"/>
        <w:spacing w:after="19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C330C0" w:rsidRDefault="00C330C0" w:rsidP="00C330C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C330C0" w:rsidRDefault="00C330C0" w:rsidP="00C330C0">
      <w:pPr>
        <w:pStyle w:val="Default"/>
        <w:rPr>
          <w:rFonts w:ascii="Times New Roman" w:hAnsi="Times New Roman" w:cs="Times New Roman"/>
          <w:color w:val="auto"/>
          <w:sz w:val="23"/>
          <w:szCs w:val="23"/>
        </w:rPr>
      </w:pPr>
    </w:p>
    <w:p w:rsidR="00C330C0" w:rsidRDefault="00C330C0" w:rsidP="00C330C0">
      <w:pPr>
        <w:pStyle w:val="Default"/>
        <w:rPr>
          <w:color w:val="auto"/>
        </w:rPr>
      </w:pPr>
    </w:p>
    <w:p w:rsidR="00C330C0" w:rsidRDefault="00C330C0" w:rsidP="00C330C0">
      <w:pPr>
        <w:pStyle w:val="Default"/>
        <w:pageBreakBefore/>
        <w:rPr>
          <w:color w:val="auto"/>
        </w:rPr>
      </w:pPr>
    </w:p>
    <w:p w:rsidR="00C330C0" w:rsidRDefault="00C330C0" w:rsidP="00C330C0">
      <w:pPr>
        <w:pStyle w:val="Default"/>
        <w:spacing w:after="1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C330C0" w:rsidRDefault="00C330C0" w:rsidP="00C330C0">
      <w:pPr>
        <w:pStyle w:val="Default"/>
        <w:spacing w:after="1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C330C0" w:rsidRDefault="00C330C0" w:rsidP="00C330C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C330C0" w:rsidRDefault="00C330C0" w:rsidP="00C330C0">
      <w:pPr>
        <w:pStyle w:val="Default"/>
        <w:rPr>
          <w:color w:val="auto"/>
          <w:sz w:val="23"/>
          <w:szCs w:val="23"/>
        </w:rPr>
      </w:pPr>
    </w:p>
    <w:p w:rsidR="00C330C0" w:rsidRDefault="00C330C0" w:rsidP="00C330C0">
      <w:pPr>
        <w:pStyle w:val="Default"/>
        <w:spacing w:after="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C330C0" w:rsidRDefault="00C330C0" w:rsidP="00C330C0">
      <w:pPr>
        <w:pStyle w:val="Default"/>
        <w:spacing w:after="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C330C0" w:rsidRDefault="00C330C0" w:rsidP="00C330C0">
      <w:pPr>
        <w:pStyle w:val="Default"/>
        <w:spacing w:after="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C330C0" w:rsidRDefault="00C330C0" w:rsidP="00C330C0">
      <w:pPr>
        <w:pStyle w:val="Default"/>
        <w:spacing w:after="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C330C0" w:rsidRDefault="00C330C0" w:rsidP="00C330C0">
      <w:pPr>
        <w:pStyle w:val="Default"/>
        <w:spacing w:after="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C330C0" w:rsidRDefault="00C330C0" w:rsidP="00C330C0">
      <w:pPr>
        <w:pStyle w:val="Default"/>
        <w:spacing w:after="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C330C0" w:rsidRDefault="00C330C0" w:rsidP="00C330C0">
      <w:pPr>
        <w:pStyle w:val="Default"/>
        <w:spacing w:after="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C330C0" w:rsidRDefault="00C330C0" w:rsidP="00C330C0">
      <w:pPr>
        <w:pStyle w:val="Default"/>
        <w:spacing w:after="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C330C0" w:rsidRDefault="00C330C0" w:rsidP="00C330C0">
      <w:pPr>
        <w:pStyle w:val="Default"/>
        <w:spacing w:after="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C330C0" w:rsidRDefault="00C330C0" w:rsidP="00C330C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C330C0" w:rsidRDefault="00C330C0" w:rsidP="00C330C0">
      <w:pPr>
        <w:pStyle w:val="Default"/>
        <w:rPr>
          <w:color w:val="auto"/>
          <w:sz w:val="23"/>
          <w:szCs w:val="23"/>
        </w:rPr>
      </w:pPr>
    </w:p>
    <w:p w:rsidR="00C330C0" w:rsidRDefault="00C330C0" w:rsidP="00C330C0">
      <w:pPr>
        <w:pStyle w:val="Default"/>
        <w:spacing w:after="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C330C0" w:rsidRDefault="00C330C0" w:rsidP="00C330C0">
      <w:pPr>
        <w:pStyle w:val="Default"/>
        <w:spacing w:after="20"/>
        <w:rPr>
          <w:color w:val="auto"/>
          <w:sz w:val="23"/>
          <w:szCs w:val="23"/>
        </w:rPr>
      </w:pPr>
      <w:r>
        <w:rPr>
          <w:rFonts w:ascii="Times New Roman" w:hAnsi="Times New Roman" w:cs="Times New Roman"/>
          <w:b/>
          <w:bCs/>
          <w:color w:val="auto"/>
          <w:sz w:val="23"/>
          <w:szCs w:val="23"/>
        </w:rPr>
        <w:t xml:space="preserve">a) </w:t>
      </w:r>
      <w:r>
        <w:rPr>
          <w:b/>
          <w:bCs/>
          <w:color w:val="auto"/>
          <w:sz w:val="23"/>
          <w:szCs w:val="23"/>
        </w:rPr>
        <w:t xml:space="preserve">všetkých formách prijatej náhrady, </w:t>
      </w:r>
    </w:p>
    <w:p w:rsidR="00C330C0" w:rsidRDefault="00C330C0" w:rsidP="00C330C0">
      <w:pPr>
        <w:pStyle w:val="Default"/>
        <w:spacing w:after="20"/>
        <w:rPr>
          <w:color w:val="auto"/>
          <w:sz w:val="23"/>
          <w:szCs w:val="23"/>
        </w:rPr>
      </w:pPr>
      <w:r>
        <w:rPr>
          <w:rFonts w:ascii="Times New Roman" w:hAnsi="Times New Roman" w:cs="Times New Roman"/>
          <w:b/>
          <w:bCs/>
          <w:color w:val="auto"/>
          <w:sz w:val="23"/>
          <w:szCs w:val="23"/>
        </w:rPr>
        <w:t xml:space="preserve">b) </w:t>
      </w:r>
      <w:r>
        <w:rPr>
          <w:b/>
          <w:bCs/>
          <w:color w:val="auto"/>
          <w:sz w:val="23"/>
          <w:szCs w:val="23"/>
        </w:rPr>
        <w:t xml:space="preserve">účtovných zásadách použitých pri prideľovaní nákladov a výnosov, </w:t>
      </w:r>
    </w:p>
    <w:p w:rsidR="00C330C0" w:rsidRDefault="00C330C0" w:rsidP="00C330C0">
      <w:pPr>
        <w:pStyle w:val="Default"/>
        <w:rPr>
          <w:b/>
          <w:bCs/>
          <w:color w:val="auto"/>
          <w:sz w:val="23"/>
          <w:szCs w:val="23"/>
        </w:rPr>
      </w:pPr>
      <w:r>
        <w:rPr>
          <w:rFonts w:ascii="Times New Roman" w:hAnsi="Times New Roman" w:cs="Times New Roman"/>
          <w:b/>
          <w:bCs/>
          <w:color w:val="auto"/>
          <w:sz w:val="23"/>
          <w:szCs w:val="23"/>
        </w:rPr>
        <w:t xml:space="preserve">c) </w:t>
      </w:r>
      <w:r>
        <w:rPr>
          <w:b/>
          <w:bCs/>
          <w:color w:val="auto"/>
          <w:sz w:val="23"/>
          <w:szCs w:val="23"/>
        </w:rPr>
        <w:t xml:space="preserve">všetkých druhoch činností účtovnej jednotky. </w:t>
      </w:r>
    </w:p>
    <w:p w:rsidR="00C330C0" w:rsidRDefault="00C330C0" w:rsidP="00C330C0">
      <w:pPr>
        <w:pStyle w:val="Default"/>
        <w:rPr>
          <w:b/>
          <w:bCs/>
          <w:color w:val="auto"/>
          <w:sz w:val="23"/>
          <w:szCs w:val="23"/>
        </w:rPr>
      </w:pPr>
    </w:p>
    <w:p w:rsidR="00C330C0" w:rsidRDefault="00C330C0" w:rsidP="00C330C0">
      <w:pPr>
        <w:pStyle w:val="Default"/>
        <w:rPr>
          <w:b/>
          <w:bCs/>
          <w:color w:val="auto"/>
          <w:sz w:val="23"/>
          <w:szCs w:val="23"/>
        </w:rPr>
      </w:pPr>
    </w:p>
    <w:p w:rsidR="00C330C0" w:rsidRPr="00C330C0" w:rsidRDefault="00C330C0" w:rsidP="00C330C0">
      <w:pPr>
        <w:pStyle w:val="Default"/>
        <w:rPr>
          <w:i/>
          <w:color w:val="auto"/>
          <w:sz w:val="23"/>
          <w:szCs w:val="23"/>
        </w:rPr>
      </w:pPr>
      <w:r w:rsidRPr="00C330C0">
        <w:rPr>
          <w:b/>
          <w:bCs/>
          <w:i/>
          <w:color w:val="auto"/>
          <w:sz w:val="23"/>
          <w:szCs w:val="23"/>
        </w:rPr>
        <w:t>Účtovná jednotka nemá žiadne informácie, ktoré vysvetľujú a dopĺňajú súvahu a výkaz ziskov a</w:t>
      </w:r>
      <w:r>
        <w:rPr>
          <w:b/>
          <w:bCs/>
          <w:i/>
          <w:color w:val="auto"/>
          <w:sz w:val="23"/>
          <w:szCs w:val="23"/>
        </w:rPr>
        <w:t> </w:t>
      </w:r>
      <w:r w:rsidRPr="00C330C0">
        <w:rPr>
          <w:b/>
          <w:bCs/>
          <w:i/>
          <w:color w:val="auto"/>
          <w:sz w:val="23"/>
          <w:szCs w:val="23"/>
        </w:rPr>
        <w:t>strát</w:t>
      </w:r>
      <w:r>
        <w:rPr>
          <w:b/>
          <w:bCs/>
          <w:i/>
          <w:color w:val="auto"/>
          <w:sz w:val="23"/>
          <w:szCs w:val="23"/>
        </w:rPr>
        <w:t xml:space="preserve"> podľa ods. 1-6 </w:t>
      </w:r>
      <w:proofErr w:type="spellStart"/>
      <w:r>
        <w:rPr>
          <w:b/>
          <w:bCs/>
          <w:i/>
          <w:color w:val="auto"/>
          <w:sz w:val="23"/>
          <w:szCs w:val="23"/>
        </w:rPr>
        <w:t>Čl.III</w:t>
      </w:r>
      <w:proofErr w:type="spellEnd"/>
      <w:r>
        <w:rPr>
          <w:b/>
          <w:bCs/>
          <w:i/>
          <w:color w:val="auto"/>
          <w:sz w:val="23"/>
          <w:szCs w:val="23"/>
        </w:rPr>
        <w:t xml:space="preserve"> poznámok k účtovnej závierke</w:t>
      </w:r>
    </w:p>
    <w:p w:rsidR="006062F2" w:rsidRDefault="006062F2"/>
    <w:sectPr w:rsidR="006062F2" w:rsidSect="0082343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418152E"/>
    <w:multiLevelType w:val="hybridMultilevel"/>
    <w:tmpl w:val="5F50E04A"/>
    <w:lvl w:ilvl="0" w:tplc="DAD240A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2397C"/>
    <w:rsid w:val="006062F2"/>
    <w:rsid w:val="0062397C"/>
    <w:rsid w:val="00C330C0"/>
    <w:rsid w:val="00DC28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06E631"/>
  <w15:docId w15:val="{43A7EC11-E4CC-4A0E-B4A7-4AEF22082B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C330C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1144</Words>
  <Characters>6526</Characters>
  <Application>Microsoft Office Word</Application>
  <DocSecurity>0</DocSecurity>
  <Lines>54</Lines>
  <Paragraphs>15</Paragraphs>
  <ScaleCrop>false</ScaleCrop>
  <Company>Hewlett-Packard Company</Company>
  <LinksUpToDate>false</LinksUpToDate>
  <CharactersWithSpaces>7655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Ivica Oravcová</dc:creator>
  <cp:keywords/>
  <dc:description/>
  <cp:lastModifiedBy>Ivica Oravcova</cp:lastModifiedBy>
  <cp:revision>4</cp:revision>
  <dcterms:created xsi:type="dcterms:W3CDTF">2019-03-12T11:06:00Z</dcterms:created>
  <dcterms:modified xsi:type="dcterms:W3CDTF">2020-03-30T09:56:00Z</dcterms:modified>
</cp:coreProperties>
</file>