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7E04DB" w:rsidTr="007E7EB9">
        <w:tc>
          <w:tcPr>
            <w:tcW w:w="3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E04DB" w:rsidRDefault="007E04DB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66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7E04DB" w:rsidRDefault="007E04DB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04DB" w:rsidRDefault="007E04D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04DB" w:rsidRDefault="007E04D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04DB" w:rsidRDefault="007E04D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04DB" w:rsidRDefault="007E04D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04DB" w:rsidRDefault="007E04D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04DB" w:rsidRDefault="007E04D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04DB" w:rsidRDefault="007E04D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04DB" w:rsidRDefault="007E04D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7E04DB" w:rsidRDefault="007E04D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04DB" w:rsidRDefault="007E04D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04DB" w:rsidRDefault="007E04D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04DB" w:rsidRDefault="007E04D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04DB" w:rsidRDefault="007E04DB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7E04DB" w:rsidRDefault="007E04DB" w:rsidP="007E04DB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7E04DB" w:rsidRDefault="007E04DB" w:rsidP="007E04DB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7E04DB" w:rsidRDefault="007E04DB" w:rsidP="007E04DB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Čl. I</w:t>
      </w:r>
    </w:p>
    <w:p w:rsidR="007E04DB" w:rsidRDefault="007E04DB" w:rsidP="007E04DB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Všeobecné údaje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</w:p>
    <w:p w:rsidR="007E04DB" w:rsidRDefault="007E04DB" w:rsidP="007E04DB">
      <w:pPr>
        <w:spacing w:before="0" w:line="240" w:lineRule="auto"/>
        <w:rPr>
          <w:rFonts w:ascii="Times New Roman" w:hAnsi="Times New Roman" w:cs="Times New Roman"/>
          <w:b/>
          <w:color w:val="000000" w:themeColor="text1"/>
          <w:sz w:val="24"/>
        </w:rPr>
      </w:pPr>
      <w:r>
        <w:rPr>
          <w:sz w:val="22"/>
          <w:szCs w:val="22"/>
        </w:rPr>
        <w:t xml:space="preserve">(1) Názov právnickej osoby :  </w:t>
      </w:r>
      <w:r>
        <w:rPr>
          <w:rFonts w:cs="Times New Roman"/>
          <w:b/>
          <w:color w:val="000000" w:themeColor="text1"/>
          <w:sz w:val="22"/>
          <w:szCs w:val="22"/>
        </w:rPr>
        <w:t>Nadácia Terra Sancta</w:t>
      </w:r>
      <w:r w:rsidR="00C2503A">
        <w:rPr>
          <w:rFonts w:cs="Times New Roman"/>
          <w:b/>
          <w:color w:val="000000" w:themeColor="text1"/>
          <w:sz w:val="22"/>
          <w:szCs w:val="22"/>
        </w:rPr>
        <w:t xml:space="preserve">, </w:t>
      </w:r>
      <w:r w:rsidR="00C2503A">
        <w:rPr>
          <w:b/>
          <w:sz w:val="22"/>
          <w:szCs w:val="22"/>
        </w:rPr>
        <w:t xml:space="preserve"> so sídlom </w:t>
      </w:r>
      <w:r>
        <w:rPr>
          <w:b/>
          <w:sz w:val="22"/>
          <w:szCs w:val="22"/>
        </w:rPr>
        <w:t xml:space="preserve"> </w:t>
      </w:r>
      <w:r>
        <w:rPr>
          <w:rFonts w:cs="Times New Roman"/>
          <w:b/>
          <w:color w:val="000000" w:themeColor="text1"/>
          <w:sz w:val="22"/>
          <w:szCs w:val="22"/>
        </w:rPr>
        <w:t>Dilongova 13, 080 01 Prešov, IČO 42380413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dátum založenia účtovnej jednotky: </w:t>
      </w:r>
      <w:r>
        <w:rPr>
          <w:b/>
          <w:sz w:val="22"/>
          <w:szCs w:val="22"/>
        </w:rPr>
        <w:t>03.02.2014</w:t>
      </w:r>
    </w:p>
    <w:p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</w:t>
      </w:r>
      <w:r>
        <w:rPr>
          <w:sz w:val="22"/>
          <w:szCs w:val="22"/>
        </w:rPr>
        <w:t xml:space="preserve">dátum vzniku účtovnej jednotky: </w:t>
      </w:r>
      <w:r>
        <w:rPr>
          <w:b/>
          <w:sz w:val="22"/>
          <w:szCs w:val="22"/>
        </w:rPr>
        <w:t>13.03.2014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 xml:space="preserve">     </w:t>
      </w:r>
      <w:r>
        <w:rPr>
          <w:sz w:val="22"/>
          <w:szCs w:val="22"/>
        </w:rPr>
        <w:t>(podľa zápisu do registra nadácií)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(2) Informácie o členoch štatutárnych orgánov, dozorných orgánov  a iných orgánov účtovnej jednotky; uvádzajú sa mená a priezviská členov štatutárnych orgánov, dozorných orgánov a iných orgánov účtovnej jednotky:</w:t>
      </w:r>
    </w:p>
    <w:p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Orgán</w:t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</w:r>
      <w:r>
        <w:rPr>
          <w:b/>
          <w:sz w:val="22"/>
          <w:szCs w:val="22"/>
        </w:rPr>
        <w:tab/>
        <w:t xml:space="preserve">                                      Meno a priezvisko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Správna rada                           Mgr. František Kvotidian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</w:t>
      </w:r>
      <w:r w:rsidR="007B4A6D">
        <w:rPr>
          <w:sz w:val="22"/>
          <w:szCs w:val="22"/>
        </w:rPr>
        <w:t xml:space="preserve">  </w:t>
      </w:r>
      <w:r>
        <w:rPr>
          <w:sz w:val="22"/>
          <w:szCs w:val="22"/>
        </w:rPr>
        <w:t>Petronela Šťastná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                           </w:t>
      </w:r>
      <w:r w:rsidR="00357F3F">
        <w:rPr>
          <w:sz w:val="22"/>
          <w:szCs w:val="22"/>
        </w:rPr>
        <w:t xml:space="preserve">      </w:t>
      </w:r>
      <w:r w:rsidR="007B4A6D">
        <w:rPr>
          <w:sz w:val="22"/>
          <w:szCs w:val="22"/>
        </w:rPr>
        <w:t xml:space="preserve">  </w:t>
      </w:r>
      <w:r w:rsidR="00357F3F">
        <w:rPr>
          <w:sz w:val="22"/>
          <w:szCs w:val="22"/>
        </w:rPr>
        <w:t>MUDr. Katarína Kobrzeková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Revízor                                     Ľubica Škerháková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Správca                                    Petronela Dluhošová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</w:p>
    <w:p w:rsidR="007E04DB" w:rsidRDefault="007E04DB" w:rsidP="007E04DB">
      <w:pPr>
        <w:rPr>
          <w:rFonts w:cs="Times New Roman"/>
          <w:color w:val="000000" w:themeColor="text1"/>
          <w:spacing w:val="4"/>
          <w:sz w:val="22"/>
          <w:szCs w:val="22"/>
          <w:shd w:val="clear" w:color="auto" w:fill="FFFFFF"/>
        </w:rPr>
      </w:pPr>
      <w:r>
        <w:rPr>
          <w:sz w:val="22"/>
          <w:szCs w:val="22"/>
        </w:rPr>
        <w:t>(3)  Opis činnosti, na účel ktorej bola účtovná jednotka zriadená :</w:t>
      </w:r>
      <w:r>
        <w:rPr>
          <w:rFonts w:ascii="Times New Roman" w:hAnsi="Times New Roman" w:cs="Times New Roman"/>
          <w:color w:val="000000" w:themeColor="text1"/>
          <w:spacing w:val="4"/>
          <w:sz w:val="24"/>
          <w:shd w:val="clear" w:color="auto" w:fill="FFFFFF"/>
        </w:rPr>
        <w:t xml:space="preserve"> </w:t>
      </w:r>
    </w:p>
    <w:p w:rsidR="007E04DB" w:rsidRDefault="007E04DB" w:rsidP="007E04DB">
      <w:pPr>
        <w:jc w:val="left"/>
        <w:rPr>
          <w:rFonts w:cs="Times New Roman"/>
          <w:b/>
          <w:color w:val="000000" w:themeColor="text1"/>
          <w:sz w:val="22"/>
          <w:szCs w:val="22"/>
        </w:rPr>
      </w:pPr>
      <w:r>
        <w:rPr>
          <w:rFonts w:cs="Times New Roman"/>
          <w:b/>
          <w:color w:val="000000"/>
          <w:sz w:val="22"/>
          <w:szCs w:val="22"/>
        </w:rPr>
        <w:t>a) podpora rozvoja a ochrana duchovných a kultúrnych hodnôt;</w:t>
      </w:r>
      <w:r>
        <w:rPr>
          <w:rStyle w:val="apple-converted-space"/>
          <w:rFonts w:eastAsiaTheme="majorEastAsia"/>
          <w:b/>
          <w:color w:val="000000"/>
          <w:sz w:val="22"/>
          <w:szCs w:val="22"/>
        </w:rPr>
        <w:t> </w:t>
      </w:r>
      <w:r>
        <w:rPr>
          <w:rFonts w:cs="Times New Roman"/>
          <w:b/>
          <w:color w:val="000000"/>
          <w:sz w:val="22"/>
          <w:szCs w:val="22"/>
        </w:rPr>
        <w:br/>
        <w:t>b) podpora a rozvoj zdravotníckych zariadení, zdravotníckych pracovníkov pri prehlbovaní študijných poznatkov v školách a kurzoch a ochrana zdravia;</w:t>
      </w:r>
      <w:r>
        <w:rPr>
          <w:rStyle w:val="apple-converted-space"/>
          <w:rFonts w:eastAsiaTheme="majorEastAsia"/>
          <w:b/>
          <w:color w:val="000000"/>
          <w:sz w:val="22"/>
          <w:szCs w:val="22"/>
        </w:rPr>
        <w:t> </w:t>
      </w:r>
      <w:r>
        <w:rPr>
          <w:rFonts w:cs="Times New Roman"/>
          <w:b/>
          <w:color w:val="000000"/>
          <w:sz w:val="22"/>
          <w:szCs w:val="22"/>
        </w:rPr>
        <w:br/>
        <w:t>c) podpora a organizovanie osvetových a kultúrnych podujatí na podporu rozvoja duchovných a kultúrnych hodnôt a zdravotníckej osvety;</w:t>
      </w:r>
      <w:r>
        <w:rPr>
          <w:rStyle w:val="apple-converted-space"/>
          <w:rFonts w:eastAsiaTheme="majorEastAsia"/>
          <w:b/>
          <w:color w:val="000000"/>
          <w:sz w:val="22"/>
          <w:szCs w:val="22"/>
        </w:rPr>
        <w:t> </w:t>
      </w:r>
      <w:r>
        <w:rPr>
          <w:rFonts w:cs="Times New Roman"/>
          <w:b/>
          <w:color w:val="000000"/>
          <w:sz w:val="22"/>
          <w:szCs w:val="22"/>
        </w:rPr>
        <w:br/>
        <w:t>d) podpora nadaných a talentovaných žiakov a študentov najmä zdravotne a telesne postihnutých, pri získaní ich spoločenského, finančného a vzdelanostného uplatnenia;</w:t>
      </w:r>
      <w:r>
        <w:rPr>
          <w:rStyle w:val="apple-converted-space"/>
          <w:rFonts w:eastAsiaTheme="majorEastAsia"/>
          <w:b/>
          <w:color w:val="000000"/>
          <w:sz w:val="22"/>
          <w:szCs w:val="22"/>
        </w:rPr>
        <w:t> </w:t>
      </w:r>
      <w:r>
        <w:rPr>
          <w:rFonts w:cs="Times New Roman"/>
          <w:b/>
          <w:color w:val="000000"/>
          <w:sz w:val="22"/>
          <w:szCs w:val="22"/>
        </w:rPr>
        <w:br/>
        <w:t>e) podpora a rozvoj sociálnej sféry spoločnosti;</w:t>
      </w:r>
      <w:r>
        <w:rPr>
          <w:rStyle w:val="apple-converted-space"/>
          <w:rFonts w:eastAsiaTheme="majorEastAsia"/>
          <w:b/>
          <w:color w:val="000000"/>
          <w:sz w:val="22"/>
          <w:szCs w:val="22"/>
        </w:rPr>
        <w:t> </w:t>
      </w:r>
      <w:r>
        <w:rPr>
          <w:rFonts w:cs="Times New Roman"/>
          <w:b/>
          <w:color w:val="000000"/>
          <w:sz w:val="22"/>
          <w:szCs w:val="22"/>
        </w:rPr>
        <w:br/>
        <w:t>f) podpora pri organizovaní a propagácii športových a telovýchovných podujatí;</w:t>
      </w:r>
      <w:r>
        <w:rPr>
          <w:rStyle w:val="apple-converted-space"/>
          <w:rFonts w:eastAsiaTheme="majorEastAsia"/>
          <w:b/>
          <w:color w:val="000000"/>
          <w:sz w:val="22"/>
          <w:szCs w:val="22"/>
        </w:rPr>
        <w:t> </w:t>
      </w:r>
      <w:r>
        <w:rPr>
          <w:rFonts w:cs="Times New Roman"/>
          <w:b/>
          <w:color w:val="000000"/>
          <w:sz w:val="22"/>
          <w:szCs w:val="22"/>
        </w:rPr>
        <w:br/>
        <w:t>g) zachovávanie kultúrnych hodnôt;</w:t>
      </w:r>
      <w:r>
        <w:rPr>
          <w:rStyle w:val="apple-converted-space"/>
          <w:rFonts w:eastAsiaTheme="majorEastAsia"/>
          <w:b/>
          <w:color w:val="000000"/>
          <w:sz w:val="22"/>
          <w:szCs w:val="22"/>
        </w:rPr>
        <w:t> </w:t>
      </w:r>
      <w:r>
        <w:rPr>
          <w:rFonts w:cs="Times New Roman"/>
          <w:b/>
          <w:color w:val="000000"/>
          <w:sz w:val="22"/>
          <w:szCs w:val="22"/>
        </w:rPr>
        <w:br/>
        <w:t>h) podpora vydavateľskej činnosti najmä regionálneho charakteru;</w:t>
      </w:r>
      <w:r>
        <w:rPr>
          <w:rStyle w:val="apple-converted-space"/>
          <w:rFonts w:eastAsiaTheme="majorEastAsia"/>
          <w:b/>
          <w:color w:val="000000"/>
          <w:sz w:val="22"/>
          <w:szCs w:val="22"/>
        </w:rPr>
        <w:t> </w:t>
      </w:r>
      <w:r>
        <w:rPr>
          <w:rFonts w:cs="Times New Roman"/>
          <w:b/>
          <w:color w:val="000000"/>
          <w:sz w:val="22"/>
          <w:szCs w:val="22"/>
        </w:rPr>
        <w:br/>
        <w:t>i) podpora obnovy a prezentácie nehnuteľnosti Komisariátu Svätej Zeme v Prešove.</w:t>
      </w:r>
      <w:r>
        <w:rPr>
          <w:rStyle w:val="apple-converted-space"/>
          <w:rFonts w:eastAsiaTheme="majorEastAsia"/>
          <w:b/>
          <w:color w:val="000000"/>
          <w:sz w:val="22"/>
          <w:szCs w:val="22"/>
        </w:rPr>
        <w:t> </w:t>
      </w:r>
      <w:r>
        <w:rPr>
          <w:rFonts w:cs="Times New Roman"/>
          <w:b/>
          <w:color w:val="000000" w:themeColor="text1"/>
          <w:spacing w:val="4"/>
          <w:sz w:val="22"/>
          <w:szCs w:val="22"/>
          <w:shd w:val="clear" w:color="auto" w:fill="FFFFFF"/>
        </w:rPr>
        <w:t xml:space="preserve"> 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(4) Priemerný prepočítaný počet zamestnancov, a z toho počet vedúcich zamestnancov účtovnej jednotky za účtovné obdobie, za ktoré sa zostavuje účtovná závierka (ďalej len „bežné účtovné obdobie“) a za bezprostredne predchádzajúce účtovné obdobie:   </w:t>
      </w:r>
      <w:r>
        <w:rPr>
          <w:b/>
          <w:sz w:val="22"/>
          <w:szCs w:val="22"/>
        </w:rPr>
        <w:t>0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Počet dobrovoľníkov vyslaných účtovnou jednotkou a počet dobrovoľníkov, ktorí vykonávali dobrovoľnícku činnosť pre účtovnú jednotku počas bežného účtovného obdobia a bezprostredne predchádzajúceho účtovného obdobia:  </w:t>
      </w:r>
      <w:r w:rsidR="00030AFD">
        <w:rPr>
          <w:b/>
          <w:sz w:val="22"/>
          <w:szCs w:val="22"/>
        </w:rPr>
        <w:t>0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Informácia o organizáciách v zriaďovateľskej pôsobnosti účtovnej jednotky:  </w:t>
      </w:r>
      <w:r>
        <w:rPr>
          <w:b/>
          <w:sz w:val="22"/>
          <w:szCs w:val="22"/>
        </w:rPr>
        <w:t>nemá</w:t>
      </w:r>
    </w:p>
    <w:p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 xml:space="preserve">(6) Údaje podľa odseku  4 a čl. III a IV  sa uvádzajú v textovej podobe a tabuľkovej podobe:  </w:t>
      </w:r>
      <w:r>
        <w:rPr>
          <w:b/>
          <w:sz w:val="22"/>
          <w:szCs w:val="22"/>
        </w:rPr>
        <w:t xml:space="preserve">bez </w:t>
      </w:r>
      <w:r w:rsidR="00E12C80">
        <w:rPr>
          <w:b/>
          <w:sz w:val="22"/>
          <w:szCs w:val="22"/>
        </w:rPr>
        <w:t>zamestnancov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</w:p>
    <w:p w:rsidR="007E04DB" w:rsidRDefault="007E04DB" w:rsidP="007E04DB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Čl. II</w:t>
      </w:r>
    </w:p>
    <w:p w:rsidR="007E04DB" w:rsidRDefault="007E04DB" w:rsidP="007E04DB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 o účtovných zásadách a účtovných metódach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(1) Informácia, či je účtovná závierka zostavená za splnenia predpokladu, že účtovná jednotka bude nepretržite pokračovať vo svojej činnosti: </w:t>
      </w:r>
      <w:r>
        <w:rPr>
          <w:b/>
          <w:sz w:val="22"/>
          <w:szCs w:val="22"/>
        </w:rPr>
        <w:t>Účtovná závierka bola zostavená za splnenia predpokladu, že účtovná jednotka pokračuje vo svojej činnosti.</w:t>
      </w:r>
      <w:r>
        <w:rPr>
          <w:sz w:val="22"/>
          <w:szCs w:val="22"/>
        </w:rPr>
        <w:t xml:space="preserve"> </w:t>
      </w:r>
    </w:p>
    <w:p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 xml:space="preserve">(2) Zmeny účtovných zásad a zmeny účtovných metód s uvedením dôvodu týchto zmien a vyčíslením ich vplyvu na finančnú hodnotu majetku, záväzkov, základného imania a výsledku hospodárenia účtovnej jednotky:  </w:t>
      </w:r>
      <w:r>
        <w:rPr>
          <w:b/>
          <w:sz w:val="22"/>
          <w:szCs w:val="22"/>
        </w:rPr>
        <w:t>Neboli vykonané zmeny účtovných zásad ani účtovných metód.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(3) Spôsob oceňovania jednotlivých položiek majetku a záväzkov v členení na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a) dlhodobý nehmotný majetok obstaraný kúpou,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b) dlhodobý nehmotný majetok obstaraný vlastnou činnosťou,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c) dlhodobý nehmotný majetok obstaraný iným spôsobom, 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d) dlhodobý hmotný majetok obstaraný kúpou,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e) dlhodobý hmotný majetok obstaraný vlastnou činnosťou,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f) dlhodobý hmotný majetok obstaraný iným spôsobom,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g) dlhodobý finančný majetok,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h) zásoby obstarané kúpou,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i) zásoby vytvorené vlastnou činnosťou,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j) zásoby obstarané iným spôsobom,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k) pohľadávky,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l) krátkodobý finančný majetok,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m) časové rozlíšenie na strane aktív,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n) záväzky vrátane rezerv, dlhopisov, pôžičiek a úverov,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o) časové rozlíšenie na strane pasív,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p) deriváty,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r) majetok a záväzky zabezpečené derivátmi:</w:t>
      </w:r>
    </w:p>
    <w:p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Bez vlastníctva uvedených položiek majetku.</w:t>
      </w:r>
    </w:p>
    <w:p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 xml:space="preserve"> (4) Spôsob zostavenia odpisového plánu pre jednotlivé druhy dlhodobého hmotného majetku  a dlhodobého nehmotného majetku, pričom sa uvádza doba odpisovania, použité sadzby odpisov a odpisové metódy pri určení odpisov:  </w:t>
      </w:r>
      <w:r>
        <w:rPr>
          <w:b/>
          <w:sz w:val="22"/>
          <w:szCs w:val="22"/>
        </w:rPr>
        <w:t>Bez vlastníctva dlhodobého majetku.</w:t>
      </w:r>
    </w:p>
    <w:p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 xml:space="preserve"> (5) Zásady pre zohľadnenie zníženia hodnoty majetku. Uvádza sa, či účtovná jednotka uplatňuje opravné položky a rezervy: </w:t>
      </w:r>
      <w:r>
        <w:rPr>
          <w:b/>
          <w:sz w:val="22"/>
          <w:szCs w:val="22"/>
        </w:rPr>
        <w:t>Účtovná jednotka neuplatňovala opravné položky a rezervy.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</w:p>
    <w:p w:rsidR="007E04DB" w:rsidRDefault="007E04DB" w:rsidP="007E04DB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Čl. III</w:t>
      </w:r>
    </w:p>
    <w:p w:rsidR="007E04DB" w:rsidRDefault="007E04DB" w:rsidP="007E04DB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Informácie, ktoré dopĺňajú a vysvetľujú údaje v súvahe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dlhodobom nehmotnom majetku a dlhodobom hmotnom majetku za bežné účtovné obdobie, a to</w:t>
      </w:r>
    </w:p>
    <w:p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lastRenderedPageBreak/>
        <w:t xml:space="preserve">a) 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obdobia: </w:t>
      </w:r>
      <w:r>
        <w:rPr>
          <w:b/>
          <w:sz w:val="22"/>
          <w:szCs w:val="22"/>
        </w:rPr>
        <w:t>Bez vlastníctva uvedených položiek majetku.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b) 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obdobia:</w:t>
      </w:r>
    </w:p>
    <w:p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Bez vlastníctva uvedených položiek majetku.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c) prehľad o zostatkových cenách dlhodobého majetku na začiatku bežného účtovného obdobia a na konci bežného účtovného obdobia:</w:t>
      </w:r>
    </w:p>
    <w:p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nevlastní dlhodobý majetok.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dlhodobého majetku, na ktorý je zriadené záložné právo a dlhodobého majetku, pri ktorom má účtovná jednotka obmedzené právo s ním nakladať: </w:t>
      </w:r>
      <w:r>
        <w:rPr>
          <w:b/>
          <w:sz w:val="22"/>
          <w:szCs w:val="22"/>
        </w:rPr>
        <w:t>Účtovná jednotka nevlastní dlhodobý majetok.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spôsobe a výške poistenia dlhodobého nehmotného majetku a dlhodobého hmotného majetku: </w:t>
      </w:r>
      <w:r>
        <w:rPr>
          <w:b/>
          <w:sz w:val="22"/>
          <w:szCs w:val="22"/>
        </w:rPr>
        <w:t>Účtovná jednotka nevlastní dlhodobý majetok.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majetku: </w:t>
      </w:r>
      <w:r>
        <w:rPr>
          <w:b/>
          <w:sz w:val="22"/>
          <w:szCs w:val="22"/>
        </w:rPr>
        <w:t>Účtovná jednotka nevlastní dlhodobý majetok.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Informácia o výške tvorby, zníženia a zúčtovania opravných položiek k dlhodobému finančnému majetku a opis dôvodu ich tvorby, zníženia a zúčtovania: </w:t>
      </w:r>
      <w:r>
        <w:rPr>
          <w:b/>
          <w:sz w:val="22"/>
          <w:szCs w:val="22"/>
        </w:rPr>
        <w:t>Účtovná jednotka nevlastní dlhodobý majetok.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jednotky: </w:t>
      </w:r>
      <w:r>
        <w:rPr>
          <w:b/>
          <w:sz w:val="22"/>
          <w:szCs w:val="22"/>
        </w:rPr>
        <w:t>Účtovná jednotka neevidovala krátkodobý majetok.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zásobám: </w:t>
      </w:r>
      <w:r>
        <w:rPr>
          <w:b/>
          <w:sz w:val="22"/>
          <w:szCs w:val="22"/>
        </w:rPr>
        <w:t>Účtovná jednotka neúčtovala o zásobách a nevytvárala opravné položky k nim.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Opis významných pohľadávok v nadväznosti na položky súvahy a v členení na pohľadávky za hlavnú nezdaňovanú  činnosť,  zdaňovanú činnosť a podnikateľskú činnosť: </w:t>
      </w:r>
      <w:r>
        <w:rPr>
          <w:b/>
          <w:sz w:val="22"/>
          <w:szCs w:val="22"/>
        </w:rPr>
        <w:t>Bez významných pohľadávok.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pohľadávkam: </w:t>
      </w:r>
      <w:r>
        <w:rPr>
          <w:b/>
          <w:sz w:val="22"/>
          <w:szCs w:val="22"/>
        </w:rPr>
        <w:t>Bez opravných položiek k pohľadávkam.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 pohľadávok do lehoty splatnosti a po lehote splatnosti : </w:t>
      </w:r>
      <w:r>
        <w:rPr>
          <w:b/>
          <w:sz w:val="22"/>
          <w:szCs w:val="22"/>
        </w:rPr>
        <w:t>Účtovná jednotka neeviduje taký druh pohľadávok.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b/>
          <w:sz w:val="22"/>
          <w:szCs w:val="22"/>
        </w:rPr>
      </w:pPr>
      <w:r>
        <w:rPr>
          <w:sz w:val="22"/>
          <w:szCs w:val="22"/>
        </w:rPr>
        <w:t xml:space="preserve"> Prehľad významných položiek časového rozlíšenia nákladov budúcich období a príjmov budúcich období: </w:t>
      </w:r>
      <w:r>
        <w:rPr>
          <w:b/>
          <w:sz w:val="22"/>
          <w:szCs w:val="22"/>
        </w:rPr>
        <w:t>Časové rozlíšenie účtované nebolo.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Opis a výška zmien vlastných zdrojov krytia neobežného majetku a obežného majetku podľa položiek súvahy za bežné účtovné obdobie, a to </w:t>
      </w:r>
    </w:p>
    <w:p w:rsidR="007E04DB" w:rsidRDefault="007E04DB" w:rsidP="007E04DB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a) 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obdobia:</w:t>
      </w:r>
    </w:p>
    <w:p w:rsidR="007E04DB" w:rsidRDefault="007E04DB" w:rsidP="007E04DB">
      <w:pPr>
        <w:spacing w:line="240" w:lineRule="auto"/>
        <w:ind w:left="180" w:hanging="180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Základné imanie nadácie predstavovalo pri založení nadácie peňažný majetkový vklad zakladateľa nadácie v</w:t>
      </w:r>
      <w:r w:rsidR="009163BB">
        <w:rPr>
          <w:b/>
          <w:sz w:val="22"/>
          <w:szCs w:val="22"/>
        </w:rPr>
        <w:t> </w:t>
      </w:r>
      <w:r>
        <w:rPr>
          <w:b/>
          <w:sz w:val="22"/>
          <w:szCs w:val="22"/>
        </w:rPr>
        <w:t>sume</w:t>
      </w:r>
      <w:r w:rsidR="009163BB">
        <w:rPr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>6 639,00 EUR slovom šesťtisícšesťstotridsaťdeväť eur, ku kon</w:t>
      </w:r>
      <w:r w:rsidR="008A0582">
        <w:rPr>
          <w:b/>
          <w:sz w:val="22"/>
          <w:szCs w:val="22"/>
        </w:rPr>
        <w:t>c</w:t>
      </w:r>
      <w:r w:rsidR="009F6060">
        <w:rPr>
          <w:b/>
          <w:sz w:val="22"/>
          <w:szCs w:val="22"/>
        </w:rPr>
        <w:t>u účtovného obdobia k 31.12.2021</w:t>
      </w:r>
      <w:bookmarkStart w:id="0" w:name="_GoBack"/>
      <w:bookmarkEnd w:id="0"/>
      <w:r>
        <w:rPr>
          <w:b/>
          <w:sz w:val="22"/>
          <w:szCs w:val="22"/>
        </w:rPr>
        <w:t xml:space="preserve"> sa jeho výška nezmenila, ostala v sume 6</w:t>
      </w:r>
      <w:r w:rsidR="002D0B7E">
        <w:rPr>
          <w:b/>
          <w:sz w:val="22"/>
          <w:szCs w:val="22"/>
        </w:rPr>
        <w:t> </w:t>
      </w:r>
      <w:r>
        <w:rPr>
          <w:b/>
          <w:sz w:val="22"/>
          <w:szCs w:val="22"/>
        </w:rPr>
        <w:t>639</w:t>
      </w:r>
      <w:r w:rsidR="002D0B7E">
        <w:rPr>
          <w:b/>
          <w:sz w:val="22"/>
          <w:szCs w:val="22"/>
        </w:rPr>
        <w:t>,00</w:t>
      </w:r>
      <w:r>
        <w:rPr>
          <w:b/>
          <w:sz w:val="22"/>
          <w:szCs w:val="22"/>
        </w:rPr>
        <w:t xml:space="preserve"> EUR.</w:t>
      </w:r>
    </w:p>
    <w:p w:rsidR="007E04DB" w:rsidRDefault="007E04DB" w:rsidP="007E04DB">
      <w:pPr>
        <w:spacing w:before="0" w:line="240" w:lineRule="auto"/>
        <w:ind w:left="142" w:hanging="142"/>
        <w:rPr>
          <w:sz w:val="22"/>
          <w:szCs w:val="22"/>
        </w:rPr>
      </w:pPr>
      <w:r>
        <w:rPr>
          <w:sz w:val="22"/>
          <w:szCs w:val="22"/>
        </w:rPr>
        <w:t xml:space="preserve">b) opis jednotlivých druhov fondov, ktoré tvorí účtovná jednotka, stav na začiatku bežného účtovného obdobia, prírastky, úbytky, presuny a zostatok na konci bežného účtovného obdobia: </w:t>
      </w:r>
      <w:r>
        <w:rPr>
          <w:b/>
          <w:sz w:val="22"/>
          <w:szCs w:val="22"/>
        </w:rPr>
        <w:t>Bez vytvorených fondov.</w:t>
      </w:r>
      <w:r>
        <w:rPr>
          <w:sz w:val="22"/>
          <w:szCs w:val="22"/>
        </w:rPr>
        <w:t xml:space="preserve"> </w:t>
      </w:r>
    </w:p>
    <w:p w:rsidR="007E04DB" w:rsidRPr="00570DF0" w:rsidRDefault="007E04DB" w:rsidP="00DE6946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 w:rsidRPr="00570DF0">
        <w:rPr>
          <w:sz w:val="22"/>
          <w:szCs w:val="22"/>
        </w:rPr>
        <w:lastRenderedPageBreak/>
        <w:t xml:space="preserve"> Informácia o rozdelení účtovného zisku alebo vysporiadaní účtovnej straty vykázanej v minulých účtovných obdobiach: </w:t>
      </w:r>
      <w:r w:rsidR="00BC76BE" w:rsidRPr="00570DF0">
        <w:rPr>
          <w:b/>
          <w:sz w:val="22"/>
          <w:szCs w:val="22"/>
        </w:rPr>
        <w:t>Zostatok finančných pr</w:t>
      </w:r>
      <w:r w:rsidR="008A0582">
        <w:rPr>
          <w:b/>
          <w:sz w:val="22"/>
          <w:szCs w:val="22"/>
        </w:rPr>
        <w:t>ostriedkov ku koncu roka</w:t>
      </w:r>
      <w:r w:rsidRPr="00570DF0">
        <w:rPr>
          <w:b/>
          <w:sz w:val="22"/>
          <w:szCs w:val="22"/>
        </w:rPr>
        <w:t xml:space="preserve"> bol</w:t>
      </w:r>
      <w:r w:rsidR="008A0582">
        <w:rPr>
          <w:b/>
          <w:sz w:val="22"/>
          <w:szCs w:val="22"/>
        </w:rPr>
        <w:t xml:space="preserve"> prenesený do nasledujúceho účtovného roka</w:t>
      </w:r>
      <w:r w:rsidRPr="00570DF0">
        <w:rPr>
          <w:b/>
          <w:sz w:val="22"/>
          <w:szCs w:val="22"/>
        </w:rPr>
        <w:t xml:space="preserve"> pre ďalšie použitie pre činnosť nadácie.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>Opis a výška cudzích zdrojov, a to</w:t>
      </w:r>
    </w:p>
    <w:p w:rsidR="007E04DB" w:rsidRDefault="007E04DB" w:rsidP="007E04DB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a) 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rezervy,</w:t>
      </w:r>
    </w:p>
    <w:p w:rsidR="007E04DB" w:rsidRDefault="007E04DB" w:rsidP="007E04DB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>b) údaje o významných položkách na účtoch 325 -  Ostatné záväzky a 379 – Iné záväzky; uvádza sa začiatočný stav, prírastky, úbytky a konečný zostatok podľa jednotlivých druhov  záväzkov,</w:t>
      </w:r>
    </w:p>
    <w:p w:rsidR="007E04DB" w:rsidRDefault="007E04DB" w:rsidP="007E04D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c) prehľad  o výške záväzkov do lehoty splatnosti a po lehote splatnosti,</w:t>
      </w:r>
    </w:p>
    <w:p w:rsidR="007E04DB" w:rsidRDefault="007E04DB" w:rsidP="007E04DB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7E04DB" w:rsidRDefault="007E04DB" w:rsidP="007E04DB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ab/>
        <w:t>1. do jedného roka vrátane,</w:t>
      </w:r>
    </w:p>
    <w:p w:rsidR="007E04DB" w:rsidRDefault="007E04DB" w:rsidP="007E04DB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ab/>
        <w:t>2. od jedného roka do piatich rokov vrátane,</w:t>
      </w:r>
    </w:p>
    <w:p w:rsidR="007E04DB" w:rsidRDefault="007E04DB" w:rsidP="007E04DB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ab/>
        <w:t>3. viac ako päť rokov,</w:t>
      </w:r>
    </w:p>
    <w:p w:rsidR="007E04DB" w:rsidRDefault="007E04DB" w:rsidP="007E04DB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7E04DB" w:rsidRDefault="007E04DB" w:rsidP="007E04DB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7E04DB" w:rsidRDefault="007E04DB" w:rsidP="007E04DB">
      <w:pPr>
        <w:spacing w:before="0" w:after="240" w:line="240" w:lineRule="auto"/>
        <w:rPr>
          <w:sz w:val="22"/>
          <w:szCs w:val="22"/>
        </w:rPr>
      </w:pPr>
      <w:r>
        <w:rPr>
          <w:sz w:val="22"/>
          <w:szCs w:val="22"/>
        </w:rPr>
        <w:t>g) prehľad o významných položkách časového rozlíšenia výdavkov budúcich období:</w:t>
      </w:r>
    </w:p>
    <w:p w:rsidR="007E04DB" w:rsidRDefault="007E04DB" w:rsidP="007E04DB">
      <w:pPr>
        <w:spacing w:before="0" w:after="24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neúčtovala o uvedených položkách.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Prehľad o významných položkách výnosov budúcich období v členení najmä na</w:t>
      </w:r>
    </w:p>
    <w:p w:rsidR="007E04DB" w:rsidRDefault="007E04DB" w:rsidP="007E04D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a) zostatkovú hodnotu bezodplatne nadobudnutého dlhodobého majetku,</w:t>
      </w:r>
    </w:p>
    <w:p w:rsidR="007E04DB" w:rsidRDefault="007E04DB" w:rsidP="007E04D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b) zostatkovú hodnotu dlhodobého majetku obstaraného z dotácie,</w:t>
      </w:r>
    </w:p>
    <w:p w:rsidR="007E04DB" w:rsidRDefault="007E04DB" w:rsidP="007E04D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c) zostatok nepoužitej dotácie alebo grantu,</w:t>
      </w:r>
    </w:p>
    <w:p w:rsidR="007E04DB" w:rsidRDefault="007E04DB" w:rsidP="007E04D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d) zostatok nepoužitej časti podielu zaplatenej dane,</w:t>
      </w:r>
    </w:p>
    <w:p w:rsidR="007E04DB" w:rsidRDefault="007E04DB" w:rsidP="007E04DB">
      <w:pPr>
        <w:spacing w:after="240" w:line="240" w:lineRule="auto"/>
        <w:rPr>
          <w:sz w:val="22"/>
          <w:szCs w:val="22"/>
        </w:rPr>
      </w:pPr>
      <w:r>
        <w:rPr>
          <w:sz w:val="22"/>
          <w:szCs w:val="22"/>
        </w:rPr>
        <w:t>e) zostatkovú hodnotu dlhodobého majetku obstaraného z podielu zaplatenej dane:</w:t>
      </w:r>
    </w:p>
    <w:p w:rsidR="007E04DB" w:rsidRDefault="007E04DB" w:rsidP="007E04DB">
      <w:pPr>
        <w:spacing w:after="24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neúčtovala o daných položkách.</w:t>
      </w:r>
    </w:p>
    <w:p w:rsidR="007E04DB" w:rsidRDefault="007E04DB" w:rsidP="007E04DB">
      <w:pPr>
        <w:numPr>
          <w:ilvl w:val="0"/>
          <w:numId w:val="16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majetku prenajatom formou finančného prenájmu, a to</w:t>
      </w:r>
    </w:p>
    <w:p w:rsidR="007E04DB" w:rsidRDefault="007E04DB" w:rsidP="007E04DB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7E04DB" w:rsidRDefault="007E04DB" w:rsidP="007E04DB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 xml:space="preserve">b) suma istiny a finančného nákladu podľa doby splatnosti </w:t>
      </w:r>
    </w:p>
    <w:p w:rsidR="007E04DB" w:rsidRDefault="007E04DB" w:rsidP="007E04DB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ab/>
        <w:t>1. do jedného roka vrátane,</w:t>
      </w:r>
    </w:p>
    <w:p w:rsidR="007E04DB" w:rsidRDefault="007E04DB" w:rsidP="007E04DB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ab/>
        <w:t>2. od jedného roka do piatich rokov vrátane,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3. viac ako päť rokov.</w:t>
      </w:r>
    </w:p>
    <w:p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neúčtovala o majetku prenajatom formou finančného prenájmu.</w:t>
      </w:r>
    </w:p>
    <w:p w:rsidR="007E04DB" w:rsidRDefault="007E04DB" w:rsidP="007E04DB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Čl. IV</w:t>
      </w:r>
    </w:p>
    <w:p w:rsidR="007E04DB" w:rsidRDefault="007E04DB" w:rsidP="007E04DB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Informácie, ktoré dopĺňajú a vysvetľujú údaje vo výkaze ziskov a strát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(1) Prehľad tržieb za vlastné výkony a tovar s uvedením ich opisu a vyčíslením hodnoty tržieb podľa jednotlivých hlavných druhov výrobkov,  služieb hlavnej činnosti a podnikateľskej činnosti účtovnej jednotky:</w:t>
      </w:r>
    </w:p>
    <w:p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nemala tržby z uvádzaných činností.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(2) Opis a vyčíslenie hodnoty významných položiek prijatých darov, osobitných výnosov, zákonných poplatkov a iných ostatných výnosov:  </w:t>
      </w:r>
    </w:p>
    <w:p w:rsidR="007E04DB" w:rsidRDefault="009F6060" w:rsidP="007E04DB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Účtovná jednotka neprijala žiadne dary, výnosy  a pod.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(3) Prehľad  dotácií a grantov, ktoré účtovná jednotka prijala v priebehu bežného účtovného obdobia:</w:t>
      </w:r>
    </w:p>
    <w:p w:rsidR="007E04DB" w:rsidRDefault="00030AFD" w:rsidP="007E04D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Bez prijatia dotácií  a grantov</w:t>
      </w:r>
      <w:r w:rsidR="007E04DB">
        <w:rPr>
          <w:b/>
          <w:sz w:val="22"/>
          <w:szCs w:val="22"/>
        </w:rPr>
        <w:t>.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(4) Opis a suma významných položiek finančných výnosov; uvádza sa aj celková suma kurzových ziskov, pričom  osobitne sa uvádza hodnota kurzových ziskov účtovaná ku dňu, ku ktorému sa zostavuje účtovná závierka: </w:t>
      </w:r>
      <w:r>
        <w:rPr>
          <w:b/>
          <w:sz w:val="22"/>
          <w:szCs w:val="22"/>
        </w:rPr>
        <w:t>Bez finančných výnosov.</w:t>
      </w:r>
    </w:p>
    <w:p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 xml:space="preserve">(5) Opis a vyčíslenie hodnoty významných položiek nákladov, nákladov na ostatné služby, osobitných nákladov a iných ostatných nákladov: </w:t>
      </w:r>
      <w:r w:rsidR="009F6060">
        <w:rPr>
          <w:b/>
          <w:sz w:val="22"/>
          <w:szCs w:val="22"/>
        </w:rPr>
        <w:t>bez nákladov</w:t>
      </w:r>
      <w:r>
        <w:rPr>
          <w:b/>
          <w:sz w:val="22"/>
          <w:szCs w:val="22"/>
        </w:rPr>
        <w:t>.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Prehľad o účele a výške použitia podielu zaplatenej dane za bežné účtovné obdobie: </w:t>
      </w:r>
      <w:r>
        <w:rPr>
          <w:b/>
          <w:sz w:val="22"/>
          <w:szCs w:val="22"/>
        </w:rPr>
        <w:t>Bez použitia podielu zaplatenej dane.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(7) Opis a suma významných položiek finančných nákladov; uvádza sa aj celková suma kurzových strát, pričom osobitne sa uvádza hodnota kurzových strát účtovaná ku dňu, ku ktorému sa zostavuje účtovná závierka: </w:t>
      </w:r>
      <w:r>
        <w:rPr>
          <w:b/>
          <w:sz w:val="22"/>
          <w:szCs w:val="22"/>
        </w:rPr>
        <w:t>Bez finančných nákladov.</w:t>
      </w:r>
    </w:p>
    <w:p w:rsidR="007E04DB" w:rsidRDefault="007E04DB" w:rsidP="007E04D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(8) V účtovnej jednotke, ktorá má povinnosť overenia účtovnej závierky audítorom, sa uvedie vymedzenie a suma nákladov za účtovné obdobie v členení na náklady za</w:t>
      </w:r>
    </w:p>
    <w:p w:rsidR="007E04DB" w:rsidRDefault="007E04DB" w:rsidP="007E04D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a) overenie účtovnej závierky,</w:t>
      </w:r>
    </w:p>
    <w:p w:rsidR="007E04DB" w:rsidRDefault="007E04DB" w:rsidP="007E04D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b) uisťovacie audítorské služby okrem  overenia účtovnej závierky,</w:t>
      </w:r>
    </w:p>
    <w:p w:rsidR="007E04DB" w:rsidRDefault="007E04DB" w:rsidP="007E04D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c) súvisiace audítorské služby,</w:t>
      </w:r>
    </w:p>
    <w:p w:rsidR="007E04DB" w:rsidRDefault="007E04DB" w:rsidP="007E04DB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d) daňové poradenstvo,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e) ostatné neaudítorské služby:</w:t>
      </w:r>
    </w:p>
    <w:p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povinnosť overenia účtovnej závierky audítorom, preto o daných položkách účtované nebolo.</w:t>
      </w:r>
    </w:p>
    <w:p w:rsidR="007E04DB" w:rsidRDefault="007E04DB" w:rsidP="007E04DB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>
        <w:rPr>
          <w:b/>
          <w:bCs/>
          <w:kern w:val="32"/>
          <w:sz w:val="22"/>
          <w:szCs w:val="22"/>
        </w:rPr>
        <w:t>Čl. V</w:t>
      </w:r>
    </w:p>
    <w:p w:rsidR="007E04DB" w:rsidRDefault="007E04DB" w:rsidP="007E04DB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Opis údajov na podsúvahových účtoch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Významné položky prenajatého majetku, majetku prijatého do úschovy,  odpísané pohľadávky a prípadné ďalšie položky:</w:t>
      </w:r>
    </w:p>
    <w:p w:rsidR="007E04DB" w:rsidRDefault="007E04DB" w:rsidP="007E04D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Bez účtovania uvádzaných druhov položiek.</w:t>
      </w:r>
    </w:p>
    <w:p w:rsidR="007E04DB" w:rsidRDefault="007E04DB" w:rsidP="007E04DB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Čl. VI</w:t>
      </w:r>
    </w:p>
    <w:p w:rsidR="007E04DB" w:rsidRDefault="007E04DB" w:rsidP="007E04DB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Ďalšie informácie</w:t>
      </w:r>
    </w:p>
    <w:p w:rsidR="007E04DB" w:rsidRDefault="007E04DB" w:rsidP="007E04DB">
      <w:pPr>
        <w:pStyle w:val="Textopatrenia"/>
        <w:numPr>
          <w:ilvl w:val="0"/>
          <w:numId w:val="0"/>
        </w:numPr>
        <w:tabs>
          <w:tab w:val="left" w:pos="708"/>
        </w:tabs>
      </w:pPr>
      <w:r>
        <w:t xml:space="preserve">(1)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 príjmov: </w:t>
      </w:r>
      <w:r>
        <w:rPr>
          <w:b/>
        </w:rPr>
        <w:t>Bez uvedených položiek.</w:t>
      </w:r>
    </w:p>
    <w:p w:rsidR="007E04DB" w:rsidRDefault="007E04DB" w:rsidP="007E04DB">
      <w:pPr>
        <w:pStyle w:val="Textopatrenia"/>
        <w:numPr>
          <w:ilvl w:val="0"/>
          <w:numId w:val="0"/>
        </w:numPr>
        <w:tabs>
          <w:tab w:val="left" w:pos="708"/>
        </w:tabs>
      </w:pPr>
      <w:r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:rsidR="007E04DB" w:rsidRDefault="007E04DB" w:rsidP="007E04DB">
      <w:pPr>
        <w:pStyle w:val="Textopatrenia"/>
        <w:numPr>
          <w:ilvl w:val="0"/>
          <w:numId w:val="0"/>
        </w:numPr>
        <w:tabs>
          <w:tab w:val="left" w:pos="708"/>
        </w:tabs>
      </w:pPr>
      <w:r>
        <w:rPr>
          <w:lang w:eastAsia="sk-SK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7E04DB" w:rsidRDefault="007E04DB" w:rsidP="007E04DB">
      <w:pPr>
        <w:pStyle w:val="Textopatrenia"/>
        <w:numPr>
          <w:ilvl w:val="0"/>
          <w:numId w:val="0"/>
        </w:numPr>
        <w:tabs>
          <w:tab w:val="left" w:pos="708"/>
        </w:tabs>
      </w:pPr>
      <w:r>
        <w:rPr>
          <w:lang w:eastAsia="sk-SK"/>
        </w:rPr>
        <w:t xml:space="preserve">b)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  <w:r>
        <w:rPr>
          <w:b/>
          <w:lang w:eastAsia="sk-SK"/>
        </w:rPr>
        <w:t>Bez uvedených položiek.</w:t>
      </w:r>
    </w:p>
    <w:p w:rsidR="007E04DB" w:rsidRDefault="007E04DB" w:rsidP="007E04DB">
      <w:pPr>
        <w:pStyle w:val="Textopatrenia"/>
        <w:numPr>
          <w:ilvl w:val="0"/>
          <w:numId w:val="0"/>
        </w:numPr>
        <w:tabs>
          <w:tab w:val="left" w:pos="708"/>
        </w:tabs>
      </w:pPr>
      <w: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7E04DB" w:rsidRDefault="007E04DB" w:rsidP="007E04DB">
      <w:pPr>
        <w:pStyle w:val="Textopatrenia"/>
        <w:numPr>
          <w:ilvl w:val="0"/>
          <w:numId w:val="0"/>
        </w:numPr>
        <w:tabs>
          <w:tab w:val="left" w:pos="708"/>
        </w:tabs>
      </w:pPr>
      <w:r>
        <w:t>a) povinnosť z devízových termínovaných obchodov a iných finančných derivátov,</w:t>
      </w:r>
    </w:p>
    <w:p w:rsidR="007E04DB" w:rsidRDefault="007E04DB" w:rsidP="007E04DB">
      <w:pPr>
        <w:pStyle w:val="Textopatrenia"/>
        <w:numPr>
          <w:ilvl w:val="0"/>
          <w:numId w:val="0"/>
        </w:numPr>
        <w:tabs>
          <w:tab w:val="left" w:pos="708"/>
        </w:tabs>
      </w:pPr>
      <w:r>
        <w:t>b) povinnosť z opčných obchodov,</w:t>
      </w:r>
    </w:p>
    <w:p w:rsidR="007E04DB" w:rsidRDefault="007E04DB" w:rsidP="007E04DB">
      <w:pPr>
        <w:pStyle w:val="Textopatrenia"/>
        <w:numPr>
          <w:ilvl w:val="0"/>
          <w:numId w:val="0"/>
        </w:numPr>
        <w:tabs>
          <w:tab w:val="left" w:pos="708"/>
        </w:tabs>
      </w:pPr>
      <w:r>
        <w:lastRenderedPageBreak/>
        <w:t>c) zákonná povinnosť alebo zmluvná povinnosť odobrať určité produkty alebo služby, napríklad z dodávateľských alebo odberateľských zmlúv,</w:t>
      </w:r>
    </w:p>
    <w:p w:rsidR="007E04DB" w:rsidRDefault="007E04DB" w:rsidP="007E04DB">
      <w:pPr>
        <w:pStyle w:val="Textopatrenia"/>
        <w:numPr>
          <w:ilvl w:val="0"/>
          <w:numId w:val="0"/>
        </w:numPr>
        <w:tabs>
          <w:tab w:val="left" w:pos="708"/>
        </w:tabs>
      </w:pPr>
      <w:r>
        <w:t>d) povinnosť z leasingových, nájomných, servisných, poistných, koncesionárskych, licenčných zmlúv a podobných zmlúv,</w:t>
      </w:r>
    </w:p>
    <w:p w:rsidR="007E04DB" w:rsidRDefault="007E04DB" w:rsidP="007E04DB">
      <w:pPr>
        <w:pStyle w:val="Textopatrenia"/>
        <w:numPr>
          <w:ilvl w:val="0"/>
          <w:numId w:val="0"/>
        </w:numPr>
        <w:tabs>
          <w:tab w:val="left" w:pos="708"/>
        </w:tabs>
      </w:pPr>
      <w:r>
        <w:t>e) iné povinnosti:</w:t>
      </w:r>
    </w:p>
    <w:p w:rsidR="007E04DB" w:rsidRDefault="007E04DB" w:rsidP="007E04DB">
      <w:pPr>
        <w:pStyle w:val="Textopatrenia"/>
        <w:numPr>
          <w:ilvl w:val="0"/>
          <w:numId w:val="0"/>
        </w:numPr>
        <w:tabs>
          <w:tab w:val="left" w:pos="708"/>
        </w:tabs>
        <w:rPr>
          <w:b/>
        </w:rPr>
      </w:pPr>
      <w:r>
        <w:rPr>
          <w:b/>
        </w:rPr>
        <w:t xml:space="preserve">Bez uvedených položiek. 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(4) Prehľad nehnuteľných kultúrnych pamiatok, ktoré sú v správe alebo vo vlastníctve účtovnej jednotky: </w:t>
      </w:r>
      <w:r>
        <w:rPr>
          <w:b/>
          <w:sz w:val="22"/>
          <w:szCs w:val="22"/>
        </w:rPr>
        <w:t>Účtovná jednotka nevlastní takýto majetok.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Informácie o významných skutočnostiach, ktoré nastali medzi dňom, ku ktorému sa zostavuje účtovná závierka a dňom jej zostavenia: </w:t>
      </w:r>
      <w:r>
        <w:rPr>
          <w:b/>
          <w:sz w:val="22"/>
          <w:szCs w:val="22"/>
        </w:rPr>
        <w:t>Bez významných skutočností.</w:t>
      </w:r>
    </w:p>
    <w:p w:rsidR="007E04DB" w:rsidRDefault="007E04DB" w:rsidP="007E04DB">
      <w:pPr>
        <w:spacing w:before="0" w:line="240" w:lineRule="auto"/>
        <w:rPr>
          <w:sz w:val="22"/>
          <w:szCs w:val="22"/>
        </w:rPr>
      </w:pPr>
    </w:p>
    <w:p w:rsidR="007E04DB" w:rsidRDefault="007E04DB" w:rsidP="007E04DB">
      <w:pPr>
        <w:spacing w:before="0" w:line="240" w:lineRule="auto"/>
        <w:rPr>
          <w:sz w:val="22"/>
          <w:szCs w:val="22"/>
        </w:rPr>
      </w:pPr>
    </w:p>
    <w:p w:rsidR="007E04DB" w:rsidRDefault="007E04DB" w:rsidP="007E04DB">
      <w:pPr>
        <w:spacing w:before="0" w:line="240" w:lineRule="auto"/>
        <w:rPr>
          <w:sz w:val="22"/>
          <w:szCs w:val="22"/>
        </w:rPr>
      </w:pPr>
    </w:p>
    <w:p w:rsidR="007E04DB" w:rsidRDefault="007E04DB" w:rsidP="007E04DB">
      <w:pPr>
        <w:spacing w:before="0" w:line="240" w:lineRule="auto"/>
        <w:rPr>
          <w:sz w:val="22"/>
          <w:szCs w:val="22"/>
        </w:rPr>
      </w:pPr>
    </w:p>
    <w:p w:rsidR="00CD361E" w:rsidRPr="007E04DB" w:rsidRDefault="00CD361E" w:rsidP="007E04DB">
      <w:pPr>
        <w:rPr>
          <w:szCs w:val="22"/>
        </w:rPr>
      </w:pPr>
    </w:p>
    <w:sectPr w:rsidR="00CD361E" w:rsidRPr="007E04DB" w:rsidSect="005320A4">
      <w:footerReference w:type="default" r:id="rId8"/>
      <w:headerReference w:type="first" r:id="rId9"/>
      <w:footerReference w:type="first" r:id="rId10"/>
      <w:pgSz w:w="11906" w:h="16838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B6F99" w:rsidRDefault="000B6F99" w:rsidP="00347C39">
      <w:pPr>
        <w:spacing w:before="0" w:after="0" w:line="240" w:lineRule="auto"/>
      </w:pPr>
      <w:r>
        <w:separator/>
      </w:r>
    </w:p>
  </w:endnote>
  <w:endnote w:type="continuationSeparator" w:id="0">
    <w:p w:rsidR="000B6F99" w:rsidRDefault="000B6F9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B6F99" w:rsidRDefault="000B6F99">
    <w:pPr>
      <w:pStyle w:val="Pta"/>
      <w:jc w:val="right"/>
    </w:pPr>
    <w:r>
      <w:t xml:space="preserve">Strana </w:t>
    </w:r>
    <w:r w:rsidR="00DE04B0">
      <w:fldChar w:fldCharType="begin"/>
    </w:r>
    <w:r>
      <w:instrText>PAGE   \* MERGEFORMAT</w:instrText>
    </w:r>
    <w:r w:rsidR="00DE04B0">
      <w:fldChar w:fldCharType="separate"/>
    </w:r>
    <w:r w:rsidR="009F6060">
      <w:rPr>
        <w:noProof/>
      </w:rPr>
      <w:t>2</w:t>
    </w:r>
    <w:r w:rsidR="00DE04B0">
      <w:rPr>
        <w:noProof/>
      </w:rPr>
      <w:fldChar w:fldCharType="end"/>
    </w:r>
  </w:p>
  <w:p w:rsidR="000B6F99" w:rsidRDefault="000B6F99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B6F99" w:rsidRDefault="000B6F99">
    <w:pPr>
      <w:pStyle w:val="Pta"/>
      <w:jc w:val="right"/>
    </w:pPr>
    <w:r>
      <w:t xml:space="preserve">Strana </w:t>
    </w:r>
    <w:r w:rsidR="00DE04B0">
      <w:fldChar w:fldCharType="begin"/>
    </w:r>
    <w:r>
      <w:instrText>PAGE   \* MERGEFORMAT</w:instrText>
    </w:r>
    <w:r w:rsidR="00DE04B0">
      <w:fldChar w:fldCharType="separate"/>
    </w:r>
    <w:r w:rsidR="009F6060">
      <w:rPr>
        <w:noProof/>
      </w:rPr>
      <w:t>1</w:t>
    </w:r>
    <w:r w:rsidR="00DE04B0">
      <w:rPr>
        <w:noProof/>
      </w:rPr>
      <w:fldChar w:fldCharType="end"/>
    </w:r>
  </w:p>
  <w:p w:rsidR="000B6F99" w:rsidRDefault="000B6F9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B6F99" w:rsidRDefault="000B6F99" w:rsidP="00347C39">
      <w:pPr>
        <w:spacing w:before="0" w:after="0" w:line="240" w:lineRule="auto"/>
      </w:pPr>
      <w:r>
        <w:separator/>
      </w:r>
    </w:p>
  </w:footnote>
  <w:footnote w:type="continuationSeparator" w:id="0">
    <w:p w:rsidR="000B6F99" w:rsidRDefault="000B6F99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B6F99" w:rsidRDefault="000B6F99">
    <w:pPr>
      <w:pStyle w:val="Hlavika"/>
      <w:jc w:val="right"/>
    </w:pPr>
  </w:p>
  <w:p w:rsidR="000B6F99" w:rsidRDefault="000B6F9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8"/>
  </w:num>
  <w:num w:numId="5">
    <w:abstractNumId w:val="2"/>
  </w:num>
  <w:num w:numId="6">
    <w:abstractNumId w:val="3"/>
  </w:num>
  <w:num w:numId="7">
    <w:abstractNumId w:val="6"/>
  </w:num>
  <w:num w:numId="8">
    <w:abstractNumId w:val="7"/>
  </w:num>
  <w:num w:numId="9">
    <w:abstractNumId w:val="6"/>
  </w:num>
  <w:num w:numId="10">
    <w:abstractNumId w:val="5"/>
  </w:num>
  <w:num w:numId="11">
    <w:abstractNumId w:val="1"/>
  </w:num>
  <w:num w:numId="1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D71FFB"/>
    <w:rsid w:val="0000240E"/>
    <w:rsid w:val="000109BB"/>
    <w:rsid w:val="00025306"/>
    <w:rsid w:val="00030AFD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B6F99"/>
    <w:rsid w:val="000C67C6"/>
    <w:rsid w:val="000D2853"/>
    <w:rsid w:val="000E0E48"/>
    <w:rsid w:val="000F08FF"/>
    <w:rsid w:val="0010547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105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2ADA"/>
    <w:rsid w:val="002C6F1A"/>
    <w:rsid w:val="002D0B7E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57F3F"/>
    <w:rsid w:val="003621F4"/>
    <w:rsid w:val="003764E6"/>
    <w:rsid w:val="00382889"/>
    <w:rsid w:val="003912C4"/>
    <w:rsid w:val="003A732E"/>
    <w:rsid w:val="003B70D3"/>
    <w:rsid w:val="003C399D"/>
    <w:rsid w:val="003C3DA6"/>
    <w:rsid w:val="003C4612"/>
    <w:rsid w:val="003D135F"/>
    <w:rsid w:val="003D6571"/>
    <w:rsid w:val="003D68D0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2542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238E0"/>
    <w:rsid w:val="005320A4"/>
    <w:rsid w:val="00532997"/>
    <w:rsid w:val="00537983"/>
    <w:rsid w:val="00550A76"/>
    <w:rsid w:val="00557E46"/>
    <w:rsid w:val="00563A3E"/>
    <w:rsid w:val="00570DF0"/>
    <w:rsid w:val="005711EE"/>
    <w:rsid w:val="005724D6"/>
    <w:rsid w:val="00576E34"/>
    <w:rsid w:val="00584420"/>
    <w:rsid w:val="00587A0B"/>
    <w:rsid w:val="005A15BD"/>
    <w:rsid w:val="005B5316"/>
    <w:rsid w:val="005C0D84"/>
    <w:rsid w:val="005D3B38"/>
    <w:rsid w:val="005E285B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C0391"/>
    <w:rsid w:val="006C2300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4A6D"/>
    <w:rsid w:val="007B6599"/>
    <w:rsid w:val="007C00B1"/>
    <w:rsid w:val="007C2ED2"/>
    <w:rsid w:val="007C4F3A"/>
    <w:rsid w:val="007D2EF0"/>
    <w:rsid w:val="007E04DB"/>
    <w:rsid w:val="007E2351"/>
    <w:rsid w:val="007E7EB9"/>
    <w:rsid w:val="00800315"/>
    <w:rsid w:val="00801336"/>
    <w:rsid w:val="008260E8"/>
    <w:rsid w:val="00831A38"/>
    <w:rsid w:val="00831F5B"/>
    <w:rsid w:val="008601BD"/>
    <w:rsid w:val="00863CBA"/>
    <w:rsid w:val="008807A2"/>
    <w:rsid w:val="00886A8B"/>
    <w:rsid w:val="00896744"/>
    <w:rsid w:val="008A019A"/>
    <w:rsid w:val="008A0582"/>
    <w:rsid w:val="008B61EE"/>
    <w:rsid w:val="008C4390"/>
    <w:rsid w:val="008C4648"/>
    <w:rsid w:val="008C7870"/>
    <w:rsid w:val="008E78DE"/>
    <w:rsid w:val="00900740"/>
    <w:rsid w:val="009045A6"/>
    <w:rsid w:val="00913895"/>
    <w:rsid w:val="009163BB"/>
    <w:rsid w:val="00922A1B"/>
    <w:rsid w:val="00935EE7"/>
    <w:rsid w:val="009533A2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9F6060"/>
    <w:rsid w:val="00A02521"/>
    <w:rsid w:val="00A04C8A"/>
    <w:rsid w:val="00A13D6A"/>
    <w:rsid w:val="00A20465"/>
    <w:rsid w:val="00A231FB"/>
    <w:rsid w:val="00A238CA"/>
    <w:rsid w:val="00A278F3"/>
    <w:rsid w:val="00A3031C"/>
    <w:rsid w:val="00A31253"/>
    <w:rsid w:val="00A40BE6"/>
    <w:rsid w:val="00A52D44"/>
    <w:rsid w:val="00A56E35"/>
    <w:rsid w:val="00A61BD8"/>
    <w:rsid w:val="00A66935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7913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C76BE"/>
    <w:rsid w:val="00BD1B88"/>
    <w:rsid w:val="00BD3B5B"/>
    <w:rsid w:val="00BE73E5"/>
    <w:rsid w:val="00BF60F1"/>
    <w:rsid w:val="00BF6F6B"/>
    <w:rsid w:val="00BF7FA2"/>
    <w:rsid w:val="00C03F65"/>
    <w:rsid w:val="00C07F8A"/>
    <w:rsid w:val="00C113D7"/>
    <w:rsid w:val="00C20990"/>
    <w:rsid w:val="00C2503A"/>
    <w:rsid w:val="00C43EF0"/>
    <w:rsid w:val="00C54A7E"/>
    <w:rsid w:val="00C70448"/>
    <w:rsid w:val="00C72ECC"/>
    <w:rsid w:val="00C75A0B"/>
    <w:rsid w:val="00C953EB"/>
    <w:rsid w:val="00C96AEB"/>
    <w:rsid w:val="00CA17C9"/>
    <w:rsid w:val="00CA4F0B"/>
    <w:rsid w:val="00CB054E"/>
    <w:rsid w:val="00CC7A3D"/>
    <w:rsid w:val="00CD361E"/>
    <w:rsid w:val="00D0496C"/>
    <w:rsid w:val="00D061E9"/>
    <w:rsid w:val="00D12140"/>
    <w:rsid w:val="00D203E4"/>
    <w:rsid w:val="00D227A4"/>
    <w:rsid w:val="00D419FA"/>
    <w:rsid w:val="00D4369A"/>
    <w:rsid w:val="00D440D5"/>
    <w:rsid w:val="00D44BC7"/>
    <w:rsid w:val="00D47269"/>
    <w:rsid w:val="00D52CBA"/>
    <w:rsid w:val="00D57198"/>
    <w:rsid w:val="00D60028"/>
    <w:rsid w:val="00D67D76"/>
    <w:rsid w:val="00D71FFB"/>
    <w:rsid w:val="00D75ED9"/>
    <w:rsid w:val="00D80618"/>
    <w:rsid w:val="00D81221"/>
    <w:rsid w:val="00D84DB6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E04B0"/>
    <w:rsid w:val="00DE678D"/>
    <w:rsid w:val="00E03790"/>
    <w:rsid w:val="00E058C0"/>
    <w:rsid w:val="00E12C80"/>
    <w:rsid w:val="00E26CD4"/>
    <w:rsid w:val="00E615E8"/>
    <w:rsid w:val="00E664B8"/>
    <w:rsid w:val="00E71E4D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5DE7"/>
    <w:rsid w:val="00F3731E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F66020B"/>
  <w15:docId w15:val="{F680EACE-6ABD-4880-9C3D-4A16C54899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10547F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character" w:customStyle="1" w:styleId="Nadpis1Char">
    <w:name w:val="Nadpis 1 Char"/>
    <w:aliases w:val="Nadpis opatrenia  1 Char"/>
    <w:basedOn w:val="Predvolenpsmoodseku"/>
    <w:link w:val="Nadpis1"/>
    <w:uiPriority w:val="99"/>
    <w:locked/>
    <w:rsid w:val="0010547F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10547F"/>
    <w:rPr>
      <w:rFonts w:ascii="Arial" w:hAnsi="Arial" w:cs="Arial"/>
      <w:sz w:val="24"/>
      <w:szCs w:val="24"/>
      <w:lang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0B6F99"/>
    <w:pPr>
      <w:ind w:left="720"/>
      <w:contextualSpacing/>
    </w:pPr>
  </w:style>
  <w:style w:type="character" w:customStyle="1" w:styleId="apple-converted-space">
    <w:name w:val="apple-converted-space"/>
    <w:basedOn w:val="Predvolenpsmoodseku"/>
    <w:rsid w:val="000B6F99"/>
  </w:style>
  <w:style w:type="character" w:customStyle="1" w:styleId="Heading1Char1">
    <w:name w:val="Heading 1 Char1"/>
    <w:aliases w:val="Nadpis opatrenia  1 Char1"/>
    <w:basedOn w:val="Predvolenpsmoodseku"/>
    <w:uiPriority w:val="99"/>
    <w:rsid w:val="007E04D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9469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258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258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258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258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258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7258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725849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54725849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72584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472585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472585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4725850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472584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5472584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47258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258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258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482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14424D1-39F4-49A2-9A26-5285B4309B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113</TotalTime>
  <Pages>6</Pages>
  <Words>2301</Words>
  <Characters>13119</Characters>
  <Application>Microsoft Office Word</Application>
  <DocSecurity>0</DocSecurity>
  <Lines>109</Lines>
  <Paragraphs>30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Príloha č</vt:lpstr>
      <vt:lpstr>Príloha č</vt:lpstr>
    </vt:vector>
  </TitlesOfParts>
  <Company>MF-SR</Company>
  <LinksUpToDate>false</LinksUpToDate>
  <CharactersWithSpaces>15390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Tinka</cp:lastModifiedBy>
  <cp:revision>25</cp:revision>
  <cp:lastPrinted>2018-03-05T08:47:00Z</cp:lastPrinted>
  <dcterms:created xsi:type="dcterms:W3CDTF">2015-04-13T16:07:00Z</dcterms:created>
  <dcterms:modified xsi:type="dcterms:W3CDTF">2022-02-16T17:28:00Z</dcterms:modified>
</cp:coreProperties>
</file>