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tbl>
      <w:tblPr>
        <w:tblW w:w="10157" w:type="dxa"/>
        <w:jc w:val="left"/>
        <w:tblInd w:w="-14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961"/>
        <w:gridCol w:w="2567"/>
        <w:gridCol w:w="339"/>
        <w:gridCol w:w="340"/>
        <w:gridCol w:w="341"/>
        <w:gridCol w:w="339"/>
        <w:gridCol w:w="339"/>
        <w:gridCol w:w="340"/>
        <w:gridCol w:w="341"/>
        <w:gridCol w:w="339"/>
        <w:gridCol w:w="567"/>
        <w:gridCol w:w="335"/>
        <w:gridCol w:w="335"/>
        <w:gridCol w:w="335"/>
        <w:gridCol w:w="339"/>
      </w:tblGrid>
      <w:tr>
        <w:trPr/>
        <w:tc>
          <w:tcPr>
            <w:tcW w:w="29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left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left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3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3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</w:tr>
    </w:tbl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2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2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2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I.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200"/>
        <w:jc w:val="center"/>
        <w:outlineLvl w:val="1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Všeobecné údaje</w:t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zakladateľovi alebo zriaďovateľovi účtovnej jednotky:</w:t>
      </w:r>
    </w:p>
    <w:tbl>
      <w:tblPr>
        <w:tblW w:w="9834" w:type="dxa"/>
        <w:jc w:val="left"/>
        <w:tblInd w:w="-14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866"/>
        <w:gridCol w:w="6967"/>
      </w:tblGrid>
      <w:tr>
        <w:trPr>
          <w:trHeight w:val="284" w:hRule="atLeast"/>
        </w:trPr>
        <w:tc>
          <w:tcPr>
            <w:tcW w:w="2866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>
        <w:trPr>
          <w:trHeight w:val="284" w:hRule="atLeast"/>
        </w:trPr>
        <w:tc>
          <w:tcPr>
            <w:tcW w:w="2866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Združenie na pomoc ľuďom s mentálnym postihnutím v Slovenskej republike</w:t>
            </w:r>
          </w:p>
        </w:tc>
      </w:tr>
      <w:tr>
        <w:trPr>
          <w:trHeight w:val="284" w:hRule="atLeast"/>
        </w:trPr>
        <w:tc>
          <w:tcPr>
            <w:tcW w:w="2866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66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</w:tr>
      <w:tr>
        <w:trPr>
          <w:trHeight w:val="178" w:hRule="atLeast"/>
        </w:trPr>
        <w:tc>
          <w:tcPr>
            <w:tcW w:w="28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Dátum</w:t>
            </w:r>
            <w:r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27.04.1990</w:t>
            </w:r>
          </w:p>
        </w:tc>
      </w:tr>
    </w:tbl>
    <w:p>
      <w:pPr>
        <w:pStyle w:val="Normal"/>
        <w:spacing w:lineRule="auto" w:line="240" w:before="0" w:after="0"/>
        <w:ind w:left="36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Informácie o členoch štatutárnych orgánov, dozorných orgánov  a iných 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firstRow="1" w:noVBand="0" w:lastRow="1" w:firstColumn="1" w:lastColumn="1" w:noHBand="0" w:val="01e0"/>
      </w:tblPr>
      <w:tblGrid>
        <w:gridCol w:w="2834"/>
        <w:gridCol w:w="6967"/>
      </w:tblGrid>
      <w:tr>
        <w:trPr>
          <w:trHeight w:val="284" w:hRule="atLeast"/>
        </w:trPr>
        <w:tc>
          <w:tcPr>
            <w:tcW w:w="283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Štatutárne orgány:</w:t>
            </w:r>
          </w:p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PhDr. Iveta Mišová, štatutárny orgán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PhDr. Stefi Nováková, predsedníčka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JUDr. Zuzana Stavrovská, podpredsedníčka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Ľubica Vyberalová, podpredsedníčka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PhDr. Eva Števková, členka predsedníctva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Ing.Dagmar Blažeková, členka predsedníctva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JUDr. Et Bc. Maroš Matiaško, LL.M., člen predsedníctva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Ing. Dušan Fabián, člen predsedníctva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Agnes Cséfalvay, členka  predsedníctva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Richard Drahovský, člen predsedníctva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Dozorný orgán:</w:t>
            </w:r>
          </w:p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Ing. Iveta Hlavenková , predsedníčka revíznej komisie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Ladislav Krajčovič,  člen</w:t>
            </w:r>
            <w:bookmarkStart w:id="0" w:name="_GoBack"/>
            <w:bookmarkEnd w:id="0"/>
            <w:r>
              <w:rPr>
                <w:sz w:val="16"/>
                <w:szCs w:val="16"/>
              </w:rPr>
              <w:t xml:space="preserve"> revíznej komisie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Mária Csontosová, členka revíznej komisie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Opis činnosti, na účel ktorej bola účtovná jednotka zriadená a opis druhu podnikateľskej činnosti, ak ju účtovná jednotka vykonáva.</w:t>
      </w:r>
    </w:p>
    <w:tbl>
      <w:tblPr>
        <w:tblW w:w="9802" w:type="dxa"/>
        <w:jc w:val="righ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firstRow="1" w:noVBand="0" w:lastRow="1" w:firstColumn="1" w:lastColumn="1" w:noHBand="0" w:val="01e0"/>
      </w:tblPr>
      <w:tblGrid>
        <w:gridCol w:w="2834"/>
        <w:gridCol w:w="6967"/>
      </w:tblGrid>
      <w:tr>
        <w:trPr>
          <w:trHeight w:val="284" w:hRule="atLeast"/>
        </w:trPr>
        <w:tc>
          <w:tcPr>
            <w:tcW w:w="283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Hlavná činnosť: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Vykonávanie prevencie a poskytovanie sociálneho poradenstva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Obhajoba práv a záujmov ľudí s mentálnym postihnutím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Vzdelávacie aktivity, publikačná činnosť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Voľnočasové aktivity, pobyty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Inovatívne a modelové projekty Rehabillitačné stredisko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Podnikateľská činnosť: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Sociálny intergr. podnik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 </w:t>
      </w:r>
    </w:p>
    <w:p>
      <w:pPr>
        <w:pStyle w:val="Normal"/>
        <w:spacing w:lineRule="auto" w:line="240" w:before="0" w:after="120"/>
        <w:ind w:firstLine="36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 ods. 4  o počte zamestnancov a dobrovoľníkov:</w:t>
      </w:r>
    </w:p>
    <w:tbl>
      <w:tblPr>
        <w:tblW w:w="4800" w:type="pct"/>
        <w:jc w:val="left"/>
        <w:tblInd w:w="-14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529"/>
        <w:gridCol w:w="2525"/>
        <w:gridCol w:w="2524"/>
      </w:tblGrid>
      <w:tr>
        <w:trPr>
          <w:trHeight w:val="284" w:hRule="atLeast"/>
        </w:trPr>
        <w:tc>
          <w:tcPr>
            <w:tcW w:w="4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5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>
        <w:trPr>
          <w:trHeight w:val="284" w:hRule="atLeast"/>
        </w:trPr>
        <w:tc>
          <w:tcPr>
            <w:tcW w:w="4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25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/>
            </w:pPr>
            <w:r>
              <w:rPr>
                <w:sz w:val="16"/>
                <w:szCs w:val="16"/>
              </w:rPr>
              <w:t>31</w:t>
            </w:r>
          </w:p>
        </w:tc>
        <w:tc>
          <w:tcPr>
            <w:tcW w:w="2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</w:t>
            </w:r>
          </w:p>
        </w:tc>
      </w:tr>
      <w:tr>
        <w:trPr>
          <w:trHeight w:val="284" w:hRule="atLeast"/>
        </w:trPr>
        <w:tc>
          <w:tcPr>
            <w:tcW w:w="4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25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2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>
        <w:trPr>
          <w:trHeight w:val="284" w:hRule="atLeast"/>
        </w:trPr>
        <w:tc>
          <w:tcPr>
            <w:tcW w:w="4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5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5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Informácia o organizáciách v zriaďovateľskej pôsobnosti účtovnej jednotky.</w:t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Údaje podľa čl. I, III a IV  sa uvádzajú v textovej podobe a tabuľkovej podobe. 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II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200"/>
        <w:jc w:val="center"/>
        <w:outlineLvl w:val="1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účtovných zásadách a účtovných metódach</w:t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Informácia, či je účtovná závierka zostavená za splnenia predpokladu, že účtovná jednotka bude nepretržite pokračovať vo svojej činnosti.</w:t>
      </w:r>
    </w:p>
    <w:p>
      <w:pPr>
        <w:pStyle w:val="Normal"/>
        <w:spacing w:lineRule="auto" w:line="240" w:before="0" w:after="120"/>
        <w:ind w:left="360" w:hanging="0"/>
        <w:rPr>
          <w:sz w:val="18"/>
          <w:szCs w:val="18"/>
        </w:rPr>
      </w:pPr>
      <w:r>
        <w:rPr>
          <w:sz w:val="18"/>
          <w:szCs w:val="18"/>
          <w:bdr w:val="single" w:sz="4" w:space="0" w:color="00000A"/>
        </w:rPr>
        <w:t>ÁNO</w:t>
        <w:tab/>
      </w:r>
      <w:r>
        <w:rPr>
          <w:sz w:val="18"/>
          <w:szCs w:val="18"/>
        </w:rPr>
        <w:tab/>
        <w:t xml:space="preserve"> </w:t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tbl>
      <w:tblPr>
        <w:tblW w:w="4800" w:type="pct"/>
        <w:jc w:val="left"/>
        <w:tblInd w:w="-10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3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3193"/>
        <w:gridCol w:w="3193"/>
        <w:gridCol w:w="3192"/>
      </w:tblGrid>
      <w:tr>
        <w:trPr>
          <w:trHeight w:val="284" w:hRule="atLeast"/>
        </w:trPr>
        <w:tc>
          <w:tcPr>
            <w:tcW w:w="31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31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31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>
        <w:trPr>
          <w:trHeight w:val="284" w:hRule="atLeast"/>
        </w:trPr>
        <w:tc>
          <w:tcPr>
            <w:tcW w:w="31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</w:r>
          </w:p>
        </w:tc>
        <w:tc>
          <w:tcPr>
            <w:tcW w:w="31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</w:r>
          </w:p>
        </w:tc>
        <w:tc>
          <w:tcPr>
            <w:tcW w:w="31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Spôsob oceňovania jednotlivých položiek majetku a záväzkov v členení na</w:t>
      </w:r>
    </w:p>
    <w:tbl>
      <w:tblPr>
        <w:tblW w:w="9802" w:type="dxa"/>
        <w:jc w:val="righ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firstRow="1" w:noVBand="0" w:lastRow="1" w:firstColumn="1" w:lastColumn="1" w:noHBand="0" w:val="01e0"/>
      </w:tblPr>
      <w:tblGrid>
        <w:gridCol w:w="6294"/>
        <w:gridCol w:w="3507"/>
      </w:tblGrid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Majetok a záväzky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Spôsob oceňovania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Obstarávacia cena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nebol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Menovitá hodnota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deriváty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Spôsob zostavenia odpisového plánu pre jednotlivé druhy dlhodobého hmotného majetku  a dlhodobého nehmotného majetku, pričom sa uvádza doba odpisovania, použité sadzby odpisov a odpisové metódy pri určení účtovných odpisov. </w:t>
      </w:r>
    </w:p>
    <w:tbl>
      <w:tblPr>
        <w:tblW w:w="4800" w:type="pct"/>
        <w:jc w:val="left"/>
        <w:tblInd w:w="-10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3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2394"/>
        <w:gridCol w:w="2394"/>
        <w:gridCol w:w="2403"/>
        <w:gridCol w:w="2386"/>
      </w:tblGrid>
      <w:tr>
        <w:trPr>
          <w:trHeight w:val="284" w:hRule="atLeast"/>
        </w:trPr>
        <w:tc>
          <w:tcPr>
            <w:tcW w:w="2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Telotextu"/>
              <w:jc w:val="left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2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2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23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Odpisová metóda</w:t>
            </w:r>
          </w:p>
        </w:tc>
      </w:tr>
      <w:tr>
        <w:trPr>
          <w:trHeight w:val="284" w:hRule="atLeast"/>
        </w:trPr>
        <w:tc>
          <w:tcPr>
            <w:tcW w:w="2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Telotextu"/>
              <w:jc w:val="left"/>
              <w:rPr/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Vybavenie rešt.+ hotela</w:t>
            </w:r>
          </w:p>
        </w:tc>
        <w:tc>
          <w:tcPr>
            <w:tcW w:w="2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4 roky</w:t>
            </w:r>
          </w:p>
        </w:tc>
        <w:tc>
          <w:tcPr>
            <w:tcW w:w="2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</w:r>
          </w:p>
        </w:tc>
        <w:tc>
          <w:tcPr>
            <w:tcW w:w="23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rovnomerná</w:t>
            </w:r>
          </w:p>
        </w:tc>
      </w:tr>
      <w:tr>
        <w:trPr>
          <w:trHeight w:val="284" w:hRule="atLeast"/>
        </w:trPr>
        <w:tc>
          <w:tcPr>
            <w:tcW w:w="2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Telotextu"/>
              <w:jc w:val="left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Stroje</w:t>
            </w:r>
          </w:p>
        </w:tc>
        <w:tc>
          <w:tcPr>
            <w:tcW w:w="2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6 rokov</w:t>
            </w:r>
          </w:p>
        </w:tc>
        <w:tc>
          <w:tcPr>
            <w:tcW w:w="2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</w:r>
          </w:p>
        </w:tc>
        <w:tc>
          <w:tcPr>
            <w:tcW w:w="23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Rovnomerná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tbl>
      <w:tblPr>
        <w:tblW w:w="4800" w:type="pct"/>
        <w:jc w:val="left"/>
        <w:tblInd w:w="-10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3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2394"/>
        <w:gridCol w:w="2394"/>
        <w:gridCol w:w="2403"/>
        <w:gridCol w:w="2386"/>
      </w:tblGrid>
      <w:tr>
        <w:trPr>
          <w:trHeight w:val="284" w:hRule="atLeast"/>
        </w:trPr>
        <w:tc>
          <w:tcPr>
            <w:tcW w:w="2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Telotextu"/>
              <w:jc w:val="left"/>
              <w:rPr/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Dopravné prostriedky</w:t>
            </w:r>
          </w:p>
        </w:tc>
        <w:tc>
          <w:tcPr>
            <w:tcW w:w="2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Telotextu"/>
              <w:jc w:val="center"/>
              <w:rPr/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4 roky</w:t>
            </w:r>
          </w:p>
        </w:tc>
        <w:tc>
          <w:tcPr>
            <w:tcW w:w="2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</w:r>
          </w:p>
        </w:tc>
        <w:tc>
          <w:tcPr>
            <w:tcW w:w="23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Telotextu"/>
              <w:jc w:val="center"/>
              <w:rPr/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rovnomerná</w:t>
            </w:r>
          </w:p>
        </w:tc>
      </w:tr>
      <w:tr>
        <w:trPr>
          <w:trHeight w:val="284" w:hRule="atLeast"/>
        </w:trPr>
        <w:tc>
          <w:tcPr>
            <w:tcW w:w="2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Telotextu"/>
              <w:jc w:val="left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Stavby</w:t>
            </w:r>
          </w:p>
        </w:tc>
        <w:tc>
          <w:tcPr>
            <w:tcW w:w="2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40 rokov</w:t>
            </w:r>
          </w:p>
        </w:tc>
        <w:tc>
          <w:tcPr>
            <w:tcW w:w="2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</w:r>
          </w:p>
        </w:tc>
        <w:tc>
          <w:tcPr>
            <w:tcW w:w="23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360" w:before="120" w:after="120"/>
              <w:jc w:val="both"/>
              <w:rPr/>
            </w:pPr>
            <w:r>
              <w:rPr/>
              <w:t xml:space="preserve">                  </w:t>
            </w:r>
            <w:r>
              <w:rPr/>
              <w:t>rovnomerná</w:t>
            </w:r>
          </w:p>
        </w:tc>
      </w:tr>
    </w:tbl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tbl>
      <w:tblPr>
        <w:tblW w:w="4800" w:type="pct"/>
        <w:jc w:val="left"/>
        <w:tblInd w:w="-10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3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2394"/>
        <w:gridCol w:w="2394"/>
        <w:gridCol w:w="2403"/>
        <w:gridCol w:w="2386"/>
      </w:tblGrid>
      <w:tr>
        <w:trPr>
          <w:trHeight w:val="284" w:hRule="atLeast"/>
        </w:trPr>
        <w:tc>
          <w:tcPr>
            <w:tcW w:w="2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Telotextu"/>
              <w:jc w:val="left"/>
              <w:rPr/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Pestovateľské celky</w:t>
            </w:r>
          </w:p>
        </w:tc>
        <w:tc>
          <w:tcPr>
            <w:tcW w:w="2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Telotextu"/>
              <w:jc w:val="center"/>
              <w:rPr/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12 rokov</w:t>
            </w:r>
          </w:p>
        </w:tc>
        <w:tc>
          <w:tcPr>
            <w:tcW w:w="2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</w:r>
          </w:p>
        </w:tc>
        <w:tc>
          <w:tcPr>
            <w:tcW w:w="23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Telotextu"/>
              <w:jc w:val="center"/>
              <w:rPr/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rovnomerná</w:t>
            </w:r>
          </w:p>
        </w:tc>
      </w:tr>
      <w:tr>
        <w:trPr>
          <w:trHeight w:val="284" w:hRule="atLeast"/>
        </w:trPr>
        <w:tc>
          <w:tcPr>
            <w:tcW w:w="2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Telotextu"/>
              <w:jc w:val="left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Drobný majetok</w:t>
            </w:r>
          </w:p>
        </w:tc>
        <w:tc>
          <w:tcPr>
            <w:tcW w:w="2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2 roky</w:t>
            </w:r>
          </w:p>
        </w:tc>
        <w:tc>
          <w:tcPr>
            <w:tcW w:w="2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</w:r>
          </w:p>
        </w:tc>
        <w:tc>
          <w:tcPr>
            <w:tcW w:w="23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Rovnomerná</w:t>
            </w:r>
          </w:p>
        </w:tc>
      </w:tr>
    </w:tbl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Zásady pre zohľadnenie zníženia hodnoty majetku – účtovná jednotka uplatňuje: </w:t>
      </w:r>
    </w:p>
    <w:tbl>
      <w:tblPr>
        <w:tblW w:w="9726" w:type="dxa"/>
        <w:jc w:val="left"/>
        <w:tblInd w:w="-14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863"/>
        <w:gridCol w:w="4862"/>
      </w:tblGrid>
      <w:tr>
        <w:trPr>
          <w:trHeight w:val="284" w:hRule="atLeast"/>
        </w:trPr>
        <w:tc>
          <w:tcPr>
            <w:tcW w:w="48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Rezervy</w:t>
            </w:r>
          </w:p>
        </w:tc>
      </w:tr>
      <w:tr>
        <w:trPr>
          <w:trHeight w:val="284" w:hRule="atLeast"/>
        </w:trPr>
        <w:tc>
          <w:tcPr>
            <w:tcW w:w="48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nie</w:t>
            </w:r>
          </w:p>
        </w:tc>
        <w:tc>
          <w:tcPr>
            <w:tcW w:w="48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8"/>
                <w:szCs w:val="18"/>
              </w:rPr>
              <w:t>áno</w:t>
            </w:r>
          </w:p>
        </w:tc>
      </w:tr>
    </w:tbl>
    <w:p>
      <w:pPr>
        <w:pStyle w:val="Normal"/>
        <w:spacing w:lineRule="auto" w:line="240" w:before="0" w:after="120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III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dopĺňajú a vysvetľujú údaje v súvahe</w:t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dlhodobom nehmotnom majetku a dlhodobom hmotnom majetku za bežné účtovné obdobie:</w:t>
      </w:r>
    </w:p>
    <w:p>
      <w:pPr>
        <w:pStyle w:val="Normal"/>
        <w:numPr>
          <w:ilvl w:val="0"/>
          <w:numId w:val="6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>
      <w:pPr>
        <w:pStyle w:val="Normal"/>
        <w:numPr>
          <w:ilvl w:val="0"/>
          <w:numId w:val="6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>
      <w:pPr>
        <w:pStyle w:val="Normal"/>
        <w:numPr>
          <w:ilvl w:val="0"/>
          <w:numId w:val="6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  o stave a pohybe dlhodobého nehmotného majetku a dlhodobého hmotného majetku: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č. 1</w:t>
      </w:r>
    </w:p>
    <w:tbl>
      <w:tblPr>
        <w:tblW w:w="5000" w:type="pct"/>
        <w:jc w:val="left"/>
        <w:tblInd w:w="-10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25" w:type="dxa"/>
          <w:bottom w:w="0" w:type="dxa"/>
          <w:right w:w="70" w:type="dxa"/>
        </w:tblCellMar>
        <w:tblLook w:firstRow="1" w:noVBand="0" w:lastRow="0" w:firstColumn="1" w:lastColumn="0" w:noHBand="0" w:val="00a0"/>
      </w:tblPr>
      <w:tblGrid>
        <w:gridCol w:w="2289"/>
        <w:gridCol w:w="1120"/>
        <w:gridCol w:w="1040"/>
        <w:gridCol w:w="1090"/>
        <w:gridCol w:w="1070"/>
        <w:gridCol w:w="1231"/>
        <w:gridCol w:w="1129"/>
        <w:gridCol w:w="1007"/>
      </w:tblGrid>
      <w:tr>
        <w:trPr>
          <w:trHeight w:val="1224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11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10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>
        <w:trPr>
          <w:trHeight w:val="612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612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1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</w:tr>
      <w:tr>
        <w:trPr>
          <w:trHeight w:val="28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9976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>
        <w:trPr>
          <w:trHeight w:val="40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Netýka sa </w:t>
      </w:r>
    </w:p>
    <w:p>
      <w:pPr>
        <w:pStyle w:val="Normal"/>
        <w:spacing w:lineRule="auto" w:line="24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</w:r>
    </w:p>
    <w:p>
      <w:pPr>
        <w:pStyle w:val="Normal"/>
        <w:spacing w:lineRule="auto" w:line="24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</w:r>
    </w:p>
    <w:p>
      <w:pPr>
        <w:pStyle w:val="Normal"/>
        <w:spacing w:lineRule="auto" w:line="24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</w:r>
    </w:p>
    <w:p>
      <w:pPr>
        <w:pStyle w:val="Normal"/>
        <w:spacing w:lineRule="auto" w:line="24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</w:r>
    </w:p>
    <w:p>
      <w:pPr>
        <w:pStyle w:val="Normal"/>
        <w:spacing w:lineRule="auto" w:line="24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</w:r>
    </w:p>
    <w:p>
      <w:pPr>
        <w:pStyle w:val="Normal"/>
        <w:spacing w:lineRule="auto" w:line="24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</w:r>
    </w:p>
    <w:p>
      <w:pPr>
        <w:pStyle w:val="Normal"/>
        <w:spacing w:lineRule="auto" w:line="24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</w:r>
    </w:p>
    <w:p>
      <w:pPr>
        <w:pStyle w:val="Normal"/>
        <w:spacing w:lineRule="auto" w:line="24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č. 2</w:t>
      </w:r>
    </w:p>
    <w:tbl>
      <w:tblPr>
        <w:tblW w:w="10665" w:type="dxa"/>
        <w:jc w:val="left"/>
        <w:tblInd w:w="-10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25" w:type="dxa"/>
          <w:bottom w:w="0" w:type="dxa"/>
          <w:right w:w="70" w:type="dxa"/>
        </w:tblCellMar>
        <w:tblLook w:firstRow="1" w:noVBand="0" w:lastRow="0" w:firstColumn="1" w:lastColumn="0" w:noHBand="0" w:val="00a0"/>
      </w:tblPr>
      <w:tblGrid>
        <w:gridCol w:w="1594"/>
        <w:gridCol w:w="837"/>
        <w:gridCol w:w="835"/>
        <w:gridCol w:w="837"/>
        <w:gridCol w:w="835"/>
        <w:gridCol w:w="617"/>
        <w:gridCol w:w="794"/>
        <w:gridCol w:w="720"/>
        <w:gridCol w:w="931"/>
        <w:gridCol w:w="850"/>
        <w:gridCol w:w="668"/>
        <w:gridCol w:w="1146"/>
      </w:tblGrid>
      <w:tr>
        <w:trPr>
          <w:trHeight w:val="1020" w:hRule="atLeast"/>
        </w:trPr>
        <w:tc>
          <w:tcPr>
            <w:tcW w:w="15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Samost. hnuteľné veci a súbory hnut. vecí</w:t>
            </w:r>
          </w:p>
        </w:tc>
        <w:tc>
          <w:tcPr>
            <w:tcW w:w="6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Dopravné prostried-ky</w:t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Pestova-teľské celky trvalých porastov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9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Obst.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dlhodob. hmotného majetku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Poskyt predd. na dlho-dobý hmotný majetok</w:t>
            </w:r>
          </w:p>
        </w:tc>
        <w:tc>
          <w:tcPr>
            <w:tcW w:w="11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>
        <w:trPr>
          <w:trHeight w:val="408" w:hRule="atLeast"/>
        </w:trPr>
        <w:tc>
          <w:tcPr>
            <w:tcW w:w="15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1699179,10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84261,49</w:t>
            </w:r>
          </w:p>
        </w:tc>
        <w:tc>
          <w:tcPr>
            <w:tcW w:w="6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9800,00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20500,0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75827,59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1889568,18</w:t>
            </w:r>
          </w:p>
        </w:tc>
      </w:tr>
      <w:tr>
        <w:trPr>
          <w:trHeight w:val="288" w:hRule="atLeast"/>
        </w:trPr>
        <w:tc>
          <w:tcPr>
            <w:tcW w:w="15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6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9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1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</w:tr>
      <w:tr>
        <w:trPr>
          <w:trHeight w:val="288" w:hRule="atLeast"/>
        </w:trPr>
        <w:tc>
          <w:tcPr>
            <w:tcW w:w="15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>
        <w:trPr>
          <w:trHeight w:val="288" w:hRule="atLeast"/>
        </w:trPr>
        <w:tc>
          <w:tcPr>
            <w:tcW w:w="15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</w:tr>
      <w:tr>
        <w:trPr>
          <w:trHeight w:val="408" w:hRule="atLeast"/>
        </w:trPr>
        <w:tc>
          <w:tcPr>
            <w:tcW w:w="15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1699179,10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84261,49</w:t>
            </w:r>
          </w:p>
        </w:tc>
        <w:tc>
          <w:tcPr>
            <w:tcW w:w="6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9800,00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20500,0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75827,59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1889568,18</w:t>
            </w:r>
          </w:p>
        </w:tc>
      </w:tr>
      <w:tr>
        <w:trPr>
          <w:trHeight w:val="408" w:hRule="atLeast"/>
        </w:trPr>
        <w:tc>
          <w:tcPr>
            <w:tcW w:w="15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95578,60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39357,79</w:t>
            </w:r>
          </w:p>
        </w:tc>
        <w:tc>
          <w:tcPr>
            <w:tcW w:w="6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6125,00</w:t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3843,00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75827,59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220731,98</w:t>
            </w:r>
          </w:p>
        </w:tc>
      </w:tr>
      <w:tr>
        <w:trPr>
          <w:trHeight w:val="288" w:hRule="atLeast"/>
        </w:trPr>
        <w:tc>
          <w:tcPr>
            <w:tcW w:w="15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42479,50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6353,05</w:t>
            </w:r>
          </w:p>
        </w:tc>
        <w:tc>
          <w:tcPr>
            <w:tcW w:w="6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2450,</w:t>
            </w:r>
            <w:r>
              <w:rPr>
                <w:color w:val="000000"/>
                <w:sz w:val="16"/>
                <w:szCs w:val="16"/>
                <w:lang w:eastAsia="sk-SK"/>
              </w:rPr>
              <w:t>00</w:t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1708,</w:t>
            </w:r>
            <w:r>
              <w:rPr>
                <w:color w:val="000000"/>
                <w:sz w:val="16"/>
                <w:szCs w:val="16"/>
                <w:lang w:eastAsia="sk-SK"/>
              </w:rPr>
              <w:t>00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9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52990,55</w:t>
            </w:r>
          </w:p>
        </w:tc>
      </w:tr>
      <w:tr>
        <w:trPr>
          <w:trHeight w:val="288" w:hRule="atLeast"/>
        </w:trPr>
        <w:tc>
          <w:tcPr>
            <w:tcW w:w="15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15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138058,10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45710,84</w:t>
            </w:r>
          </w:p>
        </w:tc>
        <w:tc>
          <w:tcPr>
            <w:tcW w:w="6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8575,00</w:t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5551,00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75827,59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273722,53</w:t>
            </w:r>
          </w:p>
        </w:tc>
      </w:tr>
      <w:tr>
        <w:trPr>
          <w:trHeight w:val="408" w:hRule="atLeast"/>
        </w:trPr>
        <w:tc>
          <w:tcPr>
            <w:tcW w:w="15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15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15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15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10664" w:type="dxa"/>
            <w:gridSpan w:val="1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>
        <w:trPr>
          <w:trHeight w:val="408" w:hRule="atLeast"/>
        </w:trPr>
        <w:tc>
          <w:tcPr>
            <w:tcW w:w="15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95578,60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39357,79</w:t>
            </w:r>
          </w:p>
        </w:tc>
        <w:tc>
          <w:tcPr>
            <w:tcW w:w="6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6125,00</w:t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3843,00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75827,59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220731,98</w:t>
            </w:r>
          </w:p>
        </w:tc>
      </w:tr>
      <w:tr>
        <w:trPr>
          <w:trHeight w:val="408" w:hRule="atLeast"/>
        </w:trPr>
        <w:tc>
          <w:tcPr>
            <w:tcW w:w="15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138058,10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45710,84</w:t>
            </w:r>
          </w:p>
        </w:tc>
        <w:tc>
          <w:tcPr>
            <w:tcW w:w="6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8575,00</w:t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5551,00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75827,59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273722,53</w:t>
            </w:r>
          </w:p>
        </w:tc>
      </w:tr>
      <w:tr>
        <w:trPr>
          <w:trHeight w:val="288" w:hRule="atLeast"/>
        </w:trPr>
        <w:tc>
          <w:tcPr>
            <w:tcW w:w="15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6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9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11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</w:tr>
    </w:tbl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Prehľad dlhodobého majetku, na ktorý je zriadené záložné právo a dlhodobého majetku, pri ktorom má účtovná jednotka obmedzené právo s ním nakladať:- netýka sa </w:t>
      </w:r>
    </w:p>
    <w:tbl>
      <w:tblPr>
        <w:tblW w:w="10300" w:type="dxa"/>
        <w:jc w:val="left"/>
        <w:tblInd w:w="-14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035"/>
        <w:gridCol w:w="4264"/>
      </w:tblGrid>
      <w:tr>
        <w:trPr>
          <w:trHeight w:val="284" w:hRule="atLeast"/>
        </w:trPr>
        <w:tc>
          <w:tcPr>
            <w:tcW w:w="60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Prehľad dlhodobého majetku</w:t>
            </w:r>
          </w:p>
        </w:tc>
        <w:tc>
          <w:tcPr>
            <w:tcW w:w="4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Výška majetku</w:t>
            </w:r>
          </w:p>
        </w:tc>
      </w:tr>
      <w:tr>
        <w:trPr>
          <w:trHeight w:val="284" w:hRule="atLeast"/>
        </w:trPr>
        <w:tc>
          <w:tcPr>
            <w:tcW w:w="60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4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Údaje o spôsobe a výške poistenia dlhodobého nehmotného majetku a dlhodobého hmotného majetku.-netýka sa </w:t>
      </w:r>
    </w:p>
    <w:tbl>
      <w:tblPr>
        <w:tblW w:w="10300" w:type="dxa"/>
        <w:jc w:val="left"/>
        <w:tblInd w:w="-14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341"/>
        <w:gridCol w:w="2979"/>
        <w:gridCol w:w="2980"/>
      </w:tblGrid>
      <w:tr>
        <w:trPr>
          <w:trHeight w:val="284" w:hRule="atLeast"/>
        </w:trPr>
        <w:tc>
          <w:tcPr>
            <w:tcW w:w="4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Dlhodobý majetok</w:t>
            </w:r>
          </w:p>
        </w:tc>
        <w:tc>
          <w:tcPr>
            <w:tcW w:w="2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Spôsob poistenia</w:t>
            </w:r>
          </w:p>
        </w:tc>
        <w:tc>
          <w:tcPr>
            <w:tcW w:w="2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Výška poistenia</w:t>
            </w:r>
          </w:p>
        </w:tc>
      </w:tr>
      <w:tr>
        <w:trPr>
          <w:trHeight w:val="284" w:hRule="atLeast"/>
        </w:trPr>
        <w:tc>
          <w:tcPr>
            <w:tcW w:w="4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Tabuľka k čl. III ods. 4  o zmenách jednotlivých položiek dlhodobého finančného majetku:-netýka sa </w:t>
      </w:r>
    </w:p>
    <w:tbl>
      <w:tblPr>
        <w:tblW w:w="5000" w:type="pct"/>
        <w:jc w:val="left"/>
        <w:tblInd w:w="-10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25" w:type="dxa"/>
          <w:bottom w:w="0" w:type="dxa"/>
          <w:right w:w="70" w:type="dxa"/>
        </w:tblCellMar>
        <w:tblLook w:firstRow="1" w:noVBand="0" w:lastRow="0" w:firstColumn="1" w:lastColumn="0" w:noHBand="0" w:val="00a0"/>
      </w:tblPr>
      <w:tblGrid>
        <w:gridCol w:w="2207"/>
        <w:gridCol w:w="964"/>
        <w:gridCol w:w="1002"/>
        <w:gridCol w:w="966"/>
        <w:gridCol w:w="966"/>
        <w:gridCol w:w="966"/>
        <w:gridCol w:w="967"/>
        <w:gridCol w:w="966"/>
        <w:gridCol w:w="973"/>
      </w:tblGrid>
      <w:tr>
        <w:trPr>
          <w:trHeight w:val="1632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1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>
        <w:trPr>
          <w:trHeight w:val="288" w:hRule="atLeast"/>
        </w:trPr>
        <w:tc>
          <w:tcPr>
            <w:tcW w:w="9977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>
        <w:trPr>
          <w:trHeight w:val="40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9977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>
        <w:trPr>
          <w:trHeight w:val="40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9977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>
        <w:trPr>
          <w:trHeight w:val="40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Tabuľka k čl. III ods. 4  o štruktúre dlhodobého finančného majetku –netýka sa </w:t>
      </w:r>
    </w:p>
    <w:tbl>
      <w:tblPr>
        <w:tblW w:w="5000" w:type="pct"/>
        <w:jc w:val="left"/>
        <w:tblInd w:w="-10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25" w:type="dxa"/>
          <w:bottom w:w="0" w:type="dxa"/>
          <w:right w:w="70" w:type="dxa"/>
        </w:tblCellMar>
        <w:tblLook w:firstRow="1" w:noVBand="0" w:lastRow="0" w:firstColumn="1" w:lastColumn="0" w:noHBand="0" w:val="00a0"/>
      </w:tblPr>
      <w:tblGrid>
        <w:gridCol w:w="1836"/>
        <w:gridCol w:w="956"/>
        <w:gridCol w:w="1095"/>
        <w:gridCol w:w="1506"/>
        <w:gridCol w:w="1488"/>
        <w:gridCol w:w="1526"/>
        <w:gridCol w:w="1570"/>
      </w:tblGrid>
      <w:tr>
        <w:trPr>
          <w:trHeight w:val="922" w:hRule="atLeast"/>
        </w:trPr>
        <w:tc>
          <w:tcPr>
            <w:tcW w:w="1836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956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299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309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>
        <w:trPr>
          <w:trHeight w:val="694" w:hRule="atLeast"/>
        </w:trPr>
        <w:tc>
          <w:tcPr>
            <w:tcW w:w="1836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956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15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15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8" w:hRule="atLeast"/>
        </w:trPr>
        <w:tc>
          <w:tcPr>
            <w:tcW w:w="1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Informácia o výške tvorby, zníženia a zúčtovania opravných položiek k dlhodobému finančnému majetku a opis dôvodu ich tvorby, zníženia a zúčtovania</w:t>
      </w:r>
      <w:r>
        <w:rPr>
          <w:b/>
          <w:bCs/>
          <w:sz w:val="18"/>
          <w:szCs w:val="18"/>
        </w:rPr>
        <w:t>. netýka sa</w:t>
      </w:r>
      <w:r>
        <w:rPr>
          <w:sz w:val="18"/>
          <w:szCs w:val="18"/>
        </w:rPr>
        <w:t xml:space="preserve"> </w:t>
      </w:r>
    </w:p>
    <w:tbl>
      <w:tblPr>
        <w:tblW w:w="10299" w:type="dxa"/>
        <w:jc w:val="left"/>
        <w:tblInd w:w="-14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1599"/>
        <w:gridCol w:w="1361"/>
        <w:gridCol w:w="1362"/>
        <w:gridCol w:w="1358"/>
        <w:gridCol w:w="1366"/>
        <w:gridCol w:w="1366"/>
        <w:gridCol w:w="1886"/>
      </w:tblGrid>
      <w:tr>
        <w:trPr>
          <w:trHeight w:val="284" w:hRule="atLeast"/>
        </w:trPr>
        <w:tc>
          <w:tcPr>
            <w:tcW w:w="15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13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Zníženie opravnej položky</w:t>
            </w:r>
          </w:p>
        </w:tc>
        <w:tc>
          <w:tcPr>
            <w:tcW w:w="13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Zúčtovanie  opravnej položky</w:t>
            </w:r>
          </w:p>
        </w:tc>
        <w:tc>
          <w:tcPr>
            <w:tcW w:w="13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8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dôvodu ich tvorby, zníženia a zúčtovania</w:t>
            </w:r>
          </w:p>
        </w:tc>
      </w:tr>
      <w:tr>
        <w:trPr>
          <w:trHeight w:val="284" w:hRule="atLeast"/>
        </w:trPr>
        <w:tc>
          <w:tcPr>
            <w:tcW w:w="15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8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 významných položkách krátkodobého finančného majetku a  o ocenení krátkodobého finančného majetku  reálnou hodnotou ku dňu, ku ktorému sa zostavuje účtovná závierka, pričom sa uvádza vplyv takéhoto ocenenia na výsledok hospodárenia účtovnej jednotky.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6  o položkách krátkodobého finančného majetku</w:t>
      </w:r>
    </w:p>
    <w:p>
      <w:pPr>
        <w:pStyle w:val="Normal"/>
        <w:spacing w:lineRule="auto" w:line="240" w:before="0" w:after="120"/>
        <w:rPr/>
      </w:pPr>
      <w:r>
        <w:rPr>
          <w:b/>
          <w:bCs/>
          <w:i/>
          <w:iCs/>
          <w:sz w:val="18"/>
          <w:szCs w:val="18"/>
        </w:rPr>
        <w:t>Tabuľka č. 1</w:t>
      </w:r>
    </w:p>
    <w:tbl>
      <w:tblPr>
        <w:tblW w:w="10300" w:type="dxa"/>
        <w:jc w:val="left"/>
        <w:tblInd w:w="-14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299"/>
        <w:gridCol w:w="3492"/>
        <w:gridCol w:w="3509"/>
      </w:tblGrid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3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 konci 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Pokladnica</w:t>
            </w:r>
          </w:p>
        </w:tc>
        <w:tc>
          <w:tcPr>
            <w:tcW w:w="3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2302,02</w:t>
            </w:r>
          </w:p>
        </w:tc>
        <w:tc>
          <w:tcPr>
            <w:tcW w:w="3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2088,27</w:t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Ceniny</w:t>
            </w:r>
          </w:p>
        </w:tc>
        <w:tc>
          <w:tcPr>
            <w:tcW w:w="3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1005,32</w:t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Bežné bankové účty</w:t>
            </w:r>
          </w:p>
        </w:tc>
        <w:tc>
          <w:tcPr>
            <w:tcW w:w="3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6568,42</w:t>
            </w:r>
          </w:p>
        </w:tc>
        <w:tc>
          <w:tcPr>
            <w:tcW w:w="3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highlight w:val="yellow"/>
              </w:rPr>
            </w:pPr>
            <w:r>
              <w:rPr>
                <w:sz w:val="16"/>
                <w:szCs w:val="16"/>
                <w:highlight w:val="yellow"/>
              </w:rPr>
              <w:t>21358,42</w:t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3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Peniaze na ceste</w:t>
            </w:r>
          </w:p>
        </w:tc>
        <w:tc>
          <w:tcPr>
            <w:tcW w:w="3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-43,79</w:t>
            </w:r>
          </w:p>
        </w:tc>
        <w:tc>
          <w:tcPr>
            <w:tcW w:w="3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/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8826,65</w:t>
            </w:r>
          </w:p>
        </w:tc>
        <w:tc>
          <w:tcPr>
            <w:tcW w:w="3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24452,01</w:t>
            </w:r>
          </w:p>
        </w:tc>
      </w:tr>
    </w:tbl>
    <w:p>
      <w:pPr>
        <w:pStyle w:val="Normal"/>
        <w:spacing w:lineRule="auto" w:line="240" w:before="0" w:after="0"/>
        <w:rPr>
          <w:i/>
          <w:i/>
          <w:iCs/>
          <w:sz w:val="18"/>
          <w:szCs w:val="18"/>
        </w:rPr>
      </w:pPr>
      <w:r>
        <w:rPr>
          <w:i/>
          <w:iCs/>
          <w:sz w:val="18"/>
          <w:szCs w:val="18"/>
        </w:rPr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Tabuľka č. 2-netýka sa </w:t>
      </w:r>
    </w:p>
    <w:tbl>
      <w:tblPr>
        <w:tblW w:w="10156" w:type="dxa"/>
        <w:jc w:val="left"/>
        <w:tblInd w:w="-14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237"/>
        <w:gridCol w:w="1731"/>
        <w:gridCol w:w="1725"/>
        <w:gridCol w:w="1722"/>
        <w:gridCol w:w="1741"/>
      </w:tblGrid>
      <w:tr>
        <w:trPr>
          <w:trHeight w:val="284" w:hRule="atLeast"/>
        </w:trPr>
        <w:tc>
          <w:tcPr>
            <w:tcW w:w="32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Úbytky</w:t>
            </w:r>
          </w:p>
        </w:tc>
        <w:tc>
          <w:tcPr>
            <w:tcW w:w="17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32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2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2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2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2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2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7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 w:before="0" w:after="0"/>
        <w:rPr>
          <w:i/>
          <w:i/>
          <w:iCs/>
          <w:sz w:val="18"/>
          <w:szCs w:val="18"/>
        </w:rPr>
      </w:pPr>
      <w:r>
        <w:rPr>
          <w:i/>
          <w:iCs/>
          <w:sz w:val="18"/>
          <w:szCs w:val="18"/>
        </w:rPr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Tabuľka č. 3-netýka sa </w:t>
      </w:r>
    </w:p>
    <w:tbl>
      <w:tblPr>
        <w:tblW w:w="10301" w:type="dxa"/>
        <w:jc w:val="left"/>
        <w:tblInd w:w="-14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299"/>
        <w:gridCol w:w="2327"/>
        <w:gridCol w:w="2340"/>
        <w:gridCol w:w="2334"/>
      </w:tblGrid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Zvýšenie/ zníženie hodnoty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Krátkodobý finančný  majetok spolu</w:t>
            </w:r>
          </w:p>
        </w:tc>
        <w:tc>
          <w:tcPr>
            <w:tcW w:w="23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i/>
          <w:i/>
          <w:iCs/>
          <w:sz w:val="18"/>
          <w:szCs w:val="18"/>
        </w:rPr>
      </w:pPr>
      <w:r>
        <w:rPr>
          <w:i/>
          <w:iCs/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Tabuľka k čl. III ods. 7  o vývoji opravných položiek k zásobám –netýka sa </w:t>
      </w:r>
    </w:p>
    <w:tbl>
      <w:tblPr>
        <w:tblW w:w="5000" w:type="pct"/>
        <w:jc w:val="left"/>
        <w:tblInd w:w="-14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234"/>
        <w:gridCol w:w="1548"/>
        <w:gridCol w:w="1550"/>
        <w:gridCol w:w="1548"/>
        <w:gridCol w:w="1549"/>
        <w:gridCol w:w="1548"/>
      </w:tblGrid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Druh zásob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Zníženie opravnej položky</w:t>
            </w:r>
          </w:p>
        </w:tc>
        <w:tc>
          <w:tcPr>
            <w:tcW w:w="15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Zúčtovanie  opravnej položky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Zvieratá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Tovar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5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Zásoby spolu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5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b/>
          <w:b/>
          <w:bCs/>
          <w:sz w:val="18"/>
          <w:szCs w:val="18"/>
        </w:rPr>
      </w:pPr>
      <w:r>
        <w:rPr>
          <w:sz w:val="18"/>
          <w:szCs w:val="18"/>
        </w:rPr>
        <w:t>Opis významných pohľadávok v nadväznosti na položky súvahy a v členení na pohľadávky za hlavnú činnosť a podnikateľskú činnosť.-</w:t>
      </w:r>
      <w:r>
        <w:rPr>
          <w:b/>
          <w:bCs/>
          <w:sz w:val="18"/>
          <w:szCs w:val="18"/>
        </w:rPr>
        <w:t xml:space="preserve">netýka sa </w:t>
      </w:r>
    </w:p>
    <w:tbl>
      <w:tblPr>
        <w:tblW w:w="5000" w:type="pct"/>
        <w:jc w:val="left"/>
        <w:tblInd w:w="-14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992"/>
        <w:gridCol w:w="4989"/>
        <w:gridCol w:w="1997"/>
      </w:tblGrid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Významné pohľadávky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Opis 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Tabuľka k čl. III ods. 9  o vývoji opravných položiek k pohľadávkam-netýka sa </w:t>
      </w:r>
    </w:p>
    <w:tbl>
      <w:tblPr>
        <w:tblW w:w="5000" w:type="pct"/>
        <w:jc w:val="left"/>
        <w:tblInd w:w="-14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412"/>
        <w:gridCol w:w="1515"/>
        <w:gridCol w:w="1514"/>
        <w:gridCol w:w="1512"/>
        <w:gridCol w:w="1515"/>
        <w:gridCol w:w="1509"/>
      </w:tblGrid>
      <w:tr>
        <w:trPr>
          <w:trHeight w:val="608" w:hRule="atLeast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Druh pohľadávok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Zníženie opravnej položky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Zúčtovanie  opravnej položky</w:t>
            </w: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pohľadávky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Iné pohľadávky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 pohľadávok do lehoty splatnosti a po lehote splatnosti.</w:t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Tabuľka k čl. III ods. 10  o pohľadávkach do lehoty splatnosti a po lehote splatnosti –netýka sa </w:t>
      </w:r>
    </w:p>
    <w:tbl>
      <w:tblPr>
        <w:tblW w:w="5000" w:type="pct"/>
        <w:jc w:val="left"/>
        <w:tblInd w:w="-14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991"/>
        <w:gridCol w:w="2992"/>
        <w:gridCol w:w="2995"/>
      </w:tblGrid>
      <w:tr>
        <w:trPr>
          <w:trHeight w:val="284" w:hRule="atLeast"/>
        </w:trPr>
        <w:tc>
          <w:tcPr>
            <w:tcW w:w="3991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598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>
        <w:trPr>
          <w:trHeight w:val="451" w:hRule="atLeast"/>
        </w:trPr>
        <w:tc>
          <w:tcPr>
            <w:tcW w:w="399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804,57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2623,20</w:t>
            </w:r>
          </w:p>
        </w:tc>
      </w:tr>
      <w:tr>
        <w:trPr>
          <w:trHeight w:val="284" w:hRule="atLeast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40" w:hRule="atLeast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804,57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2623,20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významných položiek časového rozlíšenia nákladov budúcich období a príjmov budúcich období.</w:t>
      </w:r>
    </w:p>
    <w:tbl>
      <w:tblPr>
        <w:tblW w:w="5000" w:type="pct"/>
        <w:jc w:val="left"/>
        <w:tblInd w:w="-14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992"/>
        <w:gridCol w:w="4989"/>
        <w:gridCol w:w="1997"/>
      </w:tblGrid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numPr>
                <w:ilvl w:val="0"/>
                <w:numId w:val="7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časové rozlíšenie nákladov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Telefon,domena,poistenie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915,64</w:t>
            </w:r>
          </w:p>
        </w:tc>
      </w:tr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numPr>
                <w:ilvl w:val="0"/>
                <w:numId w:val="7"/>
              </w:numPr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príjmy budúcich období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 xml:space="preserve">Opis a výška zmien vlastných zdrojov krytia neobežného majetku a obežného majetku podľa položiek súvahy za bežné účtovné obdobie, a to </w:t>
      </w:r>
    </w:p>
    <w:p>
      <w:pPr>
        <w:pStyle w:val="Normal"/>
        <w:numPr>
          <w:ilvl w:val="0"/>
          <w:numId w:val="8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>
      <w:pPr>
        <w:pStyle w:val="Normal"/>
        <w:numPr>
          <w:ilvl w:val="0"/>
          <w:numId w:val="8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opis jednotlivých druhov fondov, ktoré tvorí účtovná jednotka, stav na začiatku bežného účtovného obdobia, prírastky, úbytky, presuny a zostatok na konci bežného účtovného obdobia. </w:t>
      </w:r>
    </w:p>
    <w:p>
      <w:pPr>
        <w:pStyle w:val="Normal"/>
        <w:spacing w:lineRule="auto" w:line="240" w:before="0" w:after="0"/>
        <w:jc w:val="left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</w:r>
      <w:r>
        <w:br w:type="page"/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12 o zmenách vlastných zdrojov krytia neobežného majetku a obežného majetku</w:t>
      </w:r>
      <w:r>
        <w:rPr>
          <w:i/>
          <w:iCs/>
          <w:sz w:val="18"/>
          <w:szCs w:val="18"/>
        </w:rPr>
        <w:t xml:space="preserve">    </w:t>
      </w:r>
    </w:p>
    <w:tbl>
      <w:tblPr>
        <w:tblW w:w="4450" w:type="pct"/>
        <w:jc w:val="left"/>
        <w:tblInd w:w="-14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550"/>
        <w:gridCol w:w="1063"/>
        <w:gridCol w:w="1062"/>
        <w:gridCol w:w="1065"/>
        <w:gridCol w:w="1066"/>
        <w:gridCol w:w="1073"/>
      </w:tblGrid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Prírastky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(+)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Úbytky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(-)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Presuny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(+, -)</w:t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8879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</w:rPr>
              <w:t>Imanie a fondy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imanie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 toho: </w:t>
            </w:r>
          </w:p>
          <w:p>
            <w:pPr>
              <w:pStyle w:val="Normal"/>
              <w:numPr>
                <w:ilvl w:val="0"/>
                <w:numId w:val="9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numPr>
                <w:ilvl w:val="0"/>
                <w:numId w:val="9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vklady zakladateľov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numPr>
                <w:ilvl w:val="0"/>
                <w:numId w:val="9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prioritný majetok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31719,75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31719,75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 reprodukcie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8879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zo zisku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Rezervný fond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zo zisku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fondy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-281973,21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-274684,47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-281973,21</w:t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-274684,47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-7288,74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32355,18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-7288,74</w:t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32355,18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-242964,72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-242329,29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-242964,72</w:t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-210609,54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ind w:left="357" w:hanging="357"/>
        <w:rPr>
          <w:sz w:val="18"/>
          <w:szCs w:val="18"/>
        </w:rPr>
      </w:pPr>
      <w:r>
        <w:rPr>
          <w:sz w:val="18"/>
          <w:szCs w:val="18"/>
        </w:rPr>
        <w:t>Informácia o rozdelení účtovného zisku alebo vysporiadaní účtovnej straty vykázanej v minulých účtovných obdobiach.</w:t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13 o rozdelení účtovného zisku alebo vysporiadaní účtovnej straty</w:t>
      </w:r>
    </w:p>
    <w:tbl>
      <w:tblPr>
        <w:tblW w:w="5000" w:type="pct"/>
        <w:jc w:val="left"/>
        <w:tblInd w:w="-14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5653"/>
        <w:gridCol w:w="4324"/>
      </w:tblGrid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TopHeader"/>
              <w:rPr/>
            </w:pPr>
            <w:r>
              <w:rPr>
                <w:sz w:val="16"/>
                <w:szCs w:val="16"/>
              </w:rPr>
              <w:t>Názov položky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Bezprostredne predchádzajúce účtovné obdobie</w:t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997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6"/>
                <w:szCs w:val="16"/>
              </w:rPr>
              <w:t>Prídel do f</w:t>
            </w:r>
            <w:r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6"/>
                <w:szCs w:val="16"/>
              </w:rPr>
              <w:t>Prevod  do n</w:t>
            </w:r>
            <w:r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0"/>
                <w:sz w:val="16"/>
                <w:szCs w:val="16"/>
              </w:rPr>
              <w:t>-7288,74</w:t>
            </w:r>
          </w:p>
        </w:tc>
      </w:tr>
      <w:tr>
        <w:trPr>
          <w:trHeight w:val="284" w:hRule="atLeast"/>
        </w:trPr>
        <w:tc>
          <w:tcPr>
            <w:tcW w:w="997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6"/>
                <w:szCs w:val="16"/>
              </w:rPr>
              <w:t>Prevod do n</w:t>
            </w:r>
            <w:r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</w:rPr>
              <w:t>-7288,74</w:t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</w:tbl>
    <w:p>
      <w:pPr>
        <w:pStyle w:val="Normal"/>
        <w:numPr>
          <w:ilvl w:val="0"/>
          <w:numId w:val="5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Opis a výška cudzích zdrojov, a to</w:t>
      </w:r>
    </w:p>
    <w:p>
      <w:pPr>
        <w:pStyle w:val="Normal"/>
        <w:numPr>
          <w:ilvl w:val="0"/>
          <w:numId w:val="10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</w:t>
      </w:r>
    </w:p>
    <w:p>
      <w:pPr>
        <w:pStyle w:val="Normal"/>
        <w:spacing w:lineRule="auto" w:line="240" w:before="0" w:after="120"/>
        <w:ind w:left="360" w:hanging="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14 písm. a) o  tvorbe a použití rezerv</w:t>
      </w:r>
    </w:p>
    <w:tbl>
      <w:tblPr>
        <w:tblW w:w="5000" w:type="pct"/>
        <w:jc w:val="left"/>
        <w:tblInd w:w="-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924"/>
        <w:gridCol w:w="1412"/>
        <w:gridCol w:w="1411"/>
        <w:gridCol w:w="1411"/>
        <w:gridCol w:w="1411"/>
        <w:gridCol w:w="1408"/>
      </w:tblGrid>
      <w:tr>
        <w:trPr>
          <w:trHeight w:val="284" w:hRule="atLeast"/>
        </w:trPr>
        <w:tc>
          <w:tcPr>
            <w:tcW w:w="29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Druh rezervy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Tvorba rezerv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Použitie rezerv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Zrušenie alebo zníženie rezerv</w:t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29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9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9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Zákonné rezervy spolu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  <w:tr>
        <w:trPr>
          <w:trHeight w:val="479" w:hRule="atLeast"/>
        </w:trPr>
        <w:tc>
          <w:tcPr>
            <w:tcW w:w="29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9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Rezerva na nevyč.dovolenky 20</w:t>
            </w:r>
            <w:r>
              <w:rPr>
                <w:sz w:val="16"/>
                <w:szCs w:val="16"/>
              </w:rPr>
              <w:t>21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3945,37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7141,16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3945,37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7141,16</w:t>
            </w:r>
          </w:p>
        </w:tc>
      </w:tr>
      <w:tr>
        <w:trPr>
          <w:trHeight w:val="284" w:hRule="atLeast"/>
        </w:trPr>
        <w:tc>
          <w:tcPr>
            <w:tcW w:w="29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Ostatné rezervy spolu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9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Rezervy spolu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3945,37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7141,16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3945,37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7141,16</w:t>
            </w:r>
          </w:p>
        </w:tc>
      </w:tr>
    </w:tbl>
    <w:p>
      <w:pPr>
        <w:pStyle w:val="Normal"/>
        <w:numPr>
          <w:ilvl w:val="0"/>
          <w:numId w:val="10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údaje o významných položkách na účtoch 325 - Ostatné záväzky a 379 – Iné záväzky; uvádza sa začiatočný stav, prírastky, úbytky a konečný zostatok podľa jednotlivých druhov záväzkov,-</w:t>
      </w:r>
      <w:r>
        <w:rPr>
          <w:b/>
          <w:bCs/>
          <w:sz w:val="18"/>
          <w:szCs w:val="18"/>
        </w:rPr>
        <w:t>netýka sa</w:t>
      </w:r>
      <w:r>
        <w:rPr>
          <w:sz w:val="18"/>
          <w:szCs w:val="18"/>
        </w:rPr>
        <w:t xml:space="preserve"> </w:t>
      </w:r>
    </w:p>
    <w:tbl>
      <w:tblPr>
        <w:tblW w:w="10382" w:type="dxa"/>
        <w:jc w:val="left"/>
        <w:tblInd w:w="-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173"/>
        <w:gridCol w:w="1550"/>
        <w:gridCol w:w="1550"/>
        <w:gridCol w:w="1550"/>
        <w:gridCol w:w="1559"/>
      </w:tblGrid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Konečný zostatok</w:t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numPr>
          <w:ilvl w:val="0"/>
          <w:numId w:val="10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jc w:val="left"/>
        <w:tblInd w:w="-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991"/>
        <w:gridCol w:w="2992"/>
        <w:gridCol w:w="2995"/>
      </w:tblGrid>
      <w:tr>
        <w:trPr>
          <w:trHeight w:val="284" w:hRule="atLeast"/>
        </w:trPr>
        <w:tc>
          <w:tcPr>
            <w:tcW w:w="3991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598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>
        <w:trPr>
          <w:trHeight w:val="284" w:hRule="atLeast"/>
        </w:trPr>
        <w:tc>
          <w:tcPr>
            <w:tcW w:w="399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do lehoty splatnosti</w:t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113909,90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120102,37</w:t>
            </w:r>
          </w:p>
        </w:tc>
      </w:tr>
      <w:tr>
        <w:trPr>
          <w:trHeight w:val="284" w:hRule="atLeast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Záväzky spolu</w:t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113909,90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120102,37</w:t>
            </w:r>
          </w:p>
        </w:tc>
      </w:tr>
    </w:tbl>
    <w:p>
      <w:pPr>
        <w:pStyle w:val="Normal"/>
        <w:spacing w:lineRule="auto" w:line="240" w:before="0" w:after="0"/>
        <w:ind w:left="363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 xml:space="preserve">prehľad o výške záväzkov podľa zostatkovej doby splatnosti v členení podľa položiek súvahy </w:t>
      </w:r>
    </w:p>
    <w:p>
      <w:pPr>
        <w:pStyle w:val="Normal"/>
        <w:numPr>
          <w:ilvl w:val="2"/>
          <w:numId w:val="4"/>
        </w:numPr>
        <w:spacing w:lineRule="auto" w:line="240" w:before="0" w:after="0"/>
        <w:ind w:left="1080" w:hanging="357"/>
        <w:rPr>
          <w:sz w:val="18"/>
          <w:szCs w:val="18"/>
        </w:rPr>
      </w:pPr>
      <w:r>
        <w:rPr>
          <w:sz w:val="18"/>
          <w:szCs w:val="18"/>
        </w:rPr>
        <w:t>do jedného roka vrátane,</w:t>
      </w:r>
    </w:p>
    <w:p>
      <w:pPr>
        <w:pStyle w:val="Normal"/>
        <w:numPr>
          <w:ilvl w:val="2"/>
          <w:numId w:val="4"/>
        </w:numPr>
        <w:spacing w:lineRule="auto" w:line="240" w:before="0" w:after="0"/>
        <w:ind w:left="1080" w:hanging="357"/>
        <w:rPr>
          <w:sz w:val="18"/>
          <w:szCs w:val="18"/>
        </w:rPr>
      </w:pPr>
      <w:r>
        <w:rPr>
          <w:sz w:val="18"/>
          <w:szCs w:val="18"/>
        </w:rPr>
        <w:t>od jedného roka do piatich rokov vrátane,</w:t>
      </w:r>
    </w:p>
    <w:p>
      <w:pPr>
        <w:pStyle w:val="Normal"/>
        <w:numPr>
          <w:ilvl w:val="2"/>
          <w:numId w:val="4"/>
        </w:numPr>
        <w:spacing w:lineRule="auto" w:line="240" w:before="0" w:after="0"/>
        <w:ind w:left="1077" w:hanging="357"/>
        <w:rPr>
          <w:sz w:val="18"/>
          <w:szCs w:val="18"/>
        </w:rPr>
      </w:pPr>
      <w:r>
        <w:rPr>
          <w:sz w:val="18"/>
          <w:szCs w:val="18"/>
        </w:rPr>
        <w:t>viac ako päť rokov</w:t>
      </w:r>
    </w:p>
    <w:p>
      <w:pPr>
        <w:pStyle w:val="Normal"/>
        <w:spacing w:lineRule="auto" w:line="240" w:before="0" w:after="0"/>
        <w:ind w:left="72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120"/>
        <w:ind w:left="360" w:hanging="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14 písm. c) a d) o záväzkoch</w:t>
      </w:r>
    </w:p>
    <w:tbl>
      <w:tblPr>
        <w:tblW w:w="5000" w:type="pct"/>
        <w:jc w:val="left"/>
        <w:tblInd w:w="-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981"/>
        <w:gridCol w:w="2496"/>
        <w:gridCol w:w="2501"/>
      </w:tblGrid>
      <w:tr>
        <w:trPr>
          <w:trHeight w:val="284" w:hRule="atLeast"/>
        </w:trPr>
        <w:tc>
          <w:tcPr>
            <w:tcW w:w="4981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Druh záväzkov</w:t>
            </w:r>
          </w:p>
        </w:tc>
        <w:tc>
          <w:tcPr>
            <w:tcW w:w="499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>
        <w:trPr>
          <w:trHeight w:val="284" w:hRule="atLeast"/>
        </w:trPr>
        <w:tc>
          <w:tcPr>
            <w:tcW w:w="498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4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2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284" w:hRule="atLeast"/>
        </w:trPr>
        <w:tc>
          <w:tcPr>
            <w:tcW w:w="4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31285,69</w:t>
            </w:r>
          </w:p>
        </w:tc>
        <w:tc>
          <w:tcPr>
            <w:tcW w:w="2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37478,16</w:t>
            </w:r>
          </w:p>
        </w:tc>
      </w:tr>
      <w:tr>
        <w:trPr>
          <w:trHeight w:val="284" w:hRule="atLeast"/>
        </w:trPr>
        <w:tc>
          <w:tcPr>
            <w:tcW w:w="4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37478,16</w:t>
            </w:r>
          </w:p>
        </w:tc>
        <w:tc>
          <w:tcPr>
            <w:tcW w:w="2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37478,16</w:t>
            </w:r>
          </w:p>
        </w:tc>
      </w:tr>
      <w:tr>
        <w:trPr>
          <w:trHeight w:val="284" w:hRule="atLeast"/>
        </w:trPr>
        <w:tc>
          <w:tcPr>
            <w:tcW w:w="4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82624,21</w:t>
            </w:r>
          </w:p>
        </w:tc>
        <w:tc>
          <w:tcPr>
            <w:tcW w:w="2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82624,21</w:t>
            </w:r>
          </w:p>
        </w:tc>
      </w:tr>
      <w:tr>
        <w:trPr>
          <w:trHeight w:val="284" w:hRule="atLeast"/>
        </w:trPr>
        <w:tc>
          <w:tcPr>
            <w:tcW w:w="4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82624,21</w:t>
            </w:r>
          </w:p>
        </w:tc>
        <w:tc>
          <w:tcPr>
            <w:tcW w:w="2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82624,21</w:t>
            </w:r>
          </w:p>
        </w:tc>
      </w:tr>
      <w:tr>
        <w:trPr>
          <w:trHeight w:val="284" w:hRule="atLeast"/>
        </w:trPr>
        <w:tc>
          <w:tcPr>
            <w:tcW w:w="4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Krátkodobé a dlhodobé záväzky spolu</w:t>
            </w: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113909,90</w:t>
            </w:r>
          </w:p>
        </w:tc>
        <w:tc>
          <w:tcPr>
            <w:tcW w:w="2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120102,37</w:t>
            </w:r>
          </w:p>
        </w:tc>
      </w:tr>
    </w:tbl>
    <w:p>
      <w:pPr>
        <w:pStyle w:val="Normal"/>
        <w:numPr>
          <w:ilvl w:val="0"/>
          <w:numId w:val="10"/>
        </w:numPr>
        <w:spacing w:lineRule="auto" w:line="240"/>
        <w:rPr/>
      </w:pPr>
      <w:r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>
      <w:pPr>
        <w:pStyle w:val="Normal"/>
        <w:spacing w:lineRule="auto" w:line="240" w:before="0" w:after="120"/>
        <w:ind w:left="360" w:hanging="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14 písm. e) o vývoji sociálneho fondu</w:t>
      </w:r>
    </w:p>
    <w:tbl>
      <w:tblPr>
        <w:tblW w:w="5000" w:type="pct"/>
        <w:jc w:val="left"/>
        <w:tblInd w:w="-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721"/>
        <w:gridCol w:w="3147"/>
        <w:gridCol w:w="3110"/>
      </w:tblGrid>
      <w:tr>
        <w:trPr>
          <w:trHeight w:val="284" w:hRule="atLeast"/>
        </w:trPr>
        <w:tc>
          <w:tcPr>
            <w:tcW w:w="37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Sociálny fond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3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>
        <w:trPr>
          <w:trHeight w:val="284" w:hRule="atLeast"/>
        </w:trPr>
        <w:tc>
          <w:tcPr>
            <w:tcW w:w="37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k prvému dňu účtovného obdobia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3136,25</w:t>
            </w:r>
          </w:p>
        </w:tc>
        <w:tc>
          <w:tcPr>
            <w:tcW w:w="3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2159,47</w:t>
            </w:r>
          </w:p>
        </w:tc>
      </w:tr>
      <w:tr>
        <w:trPr>
          <w:trHeight w:val="284" w:hRule="atLeast"/>
        </w:trPr>
        <w:tc>
          <w:tcPr>
            <w:tcW w:w="37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Tvorba na ťarchu nákladov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1077,38</w:t>
            </w:r>
          </w:p>
        </w:tc>
        <w:tc>
          <w:tcPr>
            <w:tcW w:w="3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1031,78</w:t>
            </w:r>
          </w:p>
        </w:tc>
      </w:tr>
      <w:tr>
        <w:trPr>
          <w:trHeight w:val="419" w:hRule="atLeast"/>
        </w:trPr>
        <w:tc>
          <w:tcPr>
            <w:tcW w:w="37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Tvorba zo zisku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3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7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Čerpanie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818,00</w:t>
            </w:r>
          </w:p>
        </w:tc>
        <w:tc>
          <w:tcPr>
            <w:tcW w:w="3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55,00</w:t>
            </w:r>
          </w:p>
        </w:tc>
      </w:tr>
      <w:tr>
        <w:trPr>
          <w:trHeight w:val="284" w:hRule="atLeast"/>
        </w:trPr>
        <w:tc>
          <w:tcPr>
            <w:tcW w:w="37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3395,63</w:t>
            </w:r>
          </w:p>
        </w:tc>
        <w:tc>
          <w:tcPr>
            <w:tcW w:w="3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3136,25</w:t>
            </w:r>
          </w:p>
        </w:tc>
      </w:tr>
    </w:tbl>
    <w:p>
      <w:pPr>
        <w:pStyle w:val="Normal"/>
        <w:numPr>
          <w:ilvl w:val="0"/>
          <w:numId w:val="10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>
      <w:pPr>
        <w:pStyle w:val="Normal"/>
        <w:spacing w:lineRule="auto" w:line="240" w:before="0" w:after="120"/>
        <w:rPr/>
      </w:pPr>
      <w:r>
        <w:rPr>
          <w:b/>
          <w:bCs/>
          <w:i/>
          <w:iCs/>
          <w:sz w:val="18"/>
          <w:szCs w:val="18"/>
        </w:rPr>
        <w:t>Tabuľka k čl. III ods. 14 písm. f) o bankových úveroch, pôžičkách a návratných finančných výpomociach</w:t>
      </w:r>
    </w:p>
    <w:tbl>
      <w:tblPr>
        <w:tblW w:w="5000" w:type="pct"/>
        <w:jc w:val="left"/>
        <w:tblInd w:w="-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797"/>
        <w:gridCol w:w="596"/>
        <w:gridCol w:w="1310"/>
        <w:gridCol w:w="1310"/>
        <w:gridCol w:w="1312"/>
        <w:gridCol w:w="1312"/>
        <w:gridCol w:w="1340"/>
      </w:tblGrid>
      <w:tr>
        <w:trPr>
          <w:trHeight w:val="284" w:hRule="atLeast"/>
        </w:trPr>
        <w:tc>
          <w:tcPr>
            <w:tcW w:w="27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Druh cudzieho zdroja</w:t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Výška úroku v %</w:t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Splatnosť</w:t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Forma zabezpečenia</w:t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27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27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Pôžička</w:t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Eur</w:t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/>
            </w:r>
          </w:p>
        </w:tc>
      </w:tr>
      <w:tr>
        <w:trPr>
          <w:trHeight w:val="284" w:hRule="atLeast"/>
        </w:trPr>
        <w:tc>
          <w:tcPr>
            <w:tcW w:w="27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27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Dlhodobý bankový úver</w:t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Eur</w:t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334028,48</w:t>
            </w:r>
          </w:p>
        </w:tc>
      </w:tr>
      <w:tr>
        <w:trPr>
          <w:trHeight w:val="284" w:hRule="atLeast"/>
        </w:trPr>
        <w:tc>
          <w:tcPr>
            <w:tcW w:w="27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334028,48</w:t>
            </w:r>
          </w:p>
        </w:tc>
      </w:tr>
    </w:tbl>
    <w:p>
      <w:pPr>
        <w:pStyle w:val="Normal"/>
        <w:numPr>
          <w:ilvl w:val="0"/>
          <w:numId w:val="10"/>
        </w:numPr>
        <w:spacing w:lineRule="auto" w:line="240"/>
        <w:rPr>
          <w:b/>
          <w:b/>
          <w:bCs/>
          <w:sz w:val="18"/>
          <w:szCs w:val="18"/>
        </w:rPr>
      </w:pPr>
      <w:r>
        <w:rPr>
          <w:sz w:val="18"/>
          <w:szCs w:val="18"/>
        </w:rPr>
        <w:t xml:space="preserve">prehľad o významných položkách časového rozlíšenia výdavkov budúcich období.- </w:t>
      </w:r>
      <w:r>
        <w:rPr>
          <w:b/>
          <w:bCs/>
          <w:sz w:val="18"/>
          <w:szCs w:val="18"/>
        </w:rPr>
        <w:t xml:space="preserve">netýka sa </w:t>
      </w:r>
    </w:p>
    <w:tbl>
      <w:tblPr>
        <w:tblW w:w="5000" w:type="pct"/>
        <w:jc w:val="left"/>
        <w:tblInd w:w="-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992"/>
        <w:gridCol w:w="4989"/>
        <w:gridCol w:w="1997"/>
      </w:tblGrid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Významné položky časového rozlíšenia výdavkov budúcich období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Opis 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 w:before="0" w:after="0"/>
        <w:ind w:left="3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60" w:hanging="357"/>
        <w:rPr>
          <w:sz w:val="18"/>
          <w:szCs w:val="18"/>
        </w:rPr>
      </w:pPr>
      <w:r>
        <w:rPr>
          <w:sz w:val="18"/>
          <w:szCs w:val="18"/>
        </w:rPr>
        <w:t>Prehľad o významných položkách výnosov budúcich období v členení najmä na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zostatkovú hodnotu bezodplatne nadobudnutého dlhodobého majetku,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zostatkovú hodnotu dlhodobého majetku obstaraného z dotácie,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zostatok nepoužitej dotácie alebo grantu,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zostatok nepoužitej časti podielu zaplatenej dane,</w:t>
      </w:r>
    </w:p>
    <w:p>
      <w:pPr>
        <w:pStyle w:val="Normal"/>
        <w:numPr>
          <w:ilvl w:val="0"/>
          <w:numId w:val="11"/>
        </w:numPr>
        <w:spacing w:lineRule="auto" w:line="240" w:before="0" w:after="120"/>
        <w:ind w:left="714" w:hanging="357"/>
        <w:rPr>
          <w:sz w:val="18"/>
          <w:szCs w:val="18"/>
        </w:rPr>
      </w:pPr>
      <w:r>
        <w:rPr>
          <w:sz w:val="18"/>
          <w:szCs w:val="18"/>
        </w:rPr>
        <w:t>zostatkovú hodnotu dlhodobého majetku obstaraného z podielu zaplatenej dane.</w:t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15 o významných položkách výnosov budúcich období</w:t>
      </w:r>
    </w:p>
    <w:tbl>
      <w:tblPr>
        <w:tblW w:w="10382" w:type="dxa"/>
        <w:jc w:val="left"/>
        <w:tblInd w:w="-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173"/>
        <w:gridCol w:w="1550"/>
        <w:gridCol w:w="1550"/>
        <w:gridCol w:w="1550"/>
        <w:gridCol w:w="1559"/>
      </w:tblGrid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1457085,37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74694,43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1382390,94</w:t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</w:rPr>
              <w:t>0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Normal"/>
        <w:numPr>
          <w:ilvl w:val="0"/>
          <w:numId w:val="5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Údaje o majetku prenajatom formou finančného prenájmu, a to</w:t>
      </w:r>
    </w:p>
    <w:p>
      <w:pPr>
        <w:pStyle w:val="Normal"/>
        <w:numPr>
          <w:ilvl w:val="0"/>
          <w:numId w:val="12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000" w:type="pct"/>
        <w:jc w:val="left"/>
        <w:tblInd w:w="-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988"/>
        <w:gridCol w:w="4989"/>
      </w:tblGrid>
      <w:tr>
        <w:trPr>
          <w:trHeight w:val="284" w:hRule="atLeast"/>
        </w:trPr>
        <w:tc>
          <w:tcPr>
            <w:tcW w:w="4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 istiny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Finančný náklad</w:t>
            </w:r>
          </w:p>
        </w:tc>
      </w:tr>
      <w:tr>
        <w:trPr>
          <w:trHeight w:val="284" w:hRule="atLeast"/>
        </w:trPr>
        <w:tc>
          <w:tcPr>
            <w:tcW w:w="4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ind w:left="360" w:hanging="0"/>
        <w:jc w:val="center"/>
        <w:rPr>
          <w:sz w:val="18"/>
          <w:szCs w:val="18"/>
        </w:rPr>
      </w:pPr>
      <w:r>
        <w:rPr>
          <w:sz w:val="18"/>
          <w:szCs w:val="18"/>
        </w:rPr>
        <w:t xml:space="preserve">Netýka sa </w:t>
      </w:r>
    </w:p>
    <w:p>
      <w:pPr>
        <w:pStyle w:val="Normal"/>
        <w:numPr>
          <w:ilvl w:val="0"/>
          <w:numId w:val="12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 xml:space="preserve">suma istiny a finančného nákladu podľa doby splatnosti </w:t>
      </w:r>
    </w:p>
    <w:p>
      <w:pPr>
        <w:pStyle w:val="Normal"/>
        <w:numPr>
          <w:ilvl w:val="0"/>
          <w:numId w:val="13"/>
        </w:numPr>
        <w:spacing w:lineRule="auto" w:line="240" w:before="0" w:after="0"/>
        <w:ind w:left="1068" w:hanging="357"/>
        <w:rPr>
          <w:sz w:val="18"/>
          <w:szCs w:val="18"/>
        </w:rPr>
      </w:pPr>
      <w:r>
        <w:rPr>
          <w:sz w:val="18"/>
          <w:szCs w:val="18"/>
        </w:rPr>
        <w:t>do jedného roka vrátane,</w:t>
      </w:r>
    </w:p>
    <w:p>
      <w:pPr>
        <w:pStyle w:val="Normal"/>
        <w:numPr>
          <w:ilvl w:val="0"/>
          <w:numId w:val="13"/>
        </w:numPr>
        <w:spacing w:lineRule="auto" w:line="240" w:before="0" w:after="0"/>
        <w:ind w:left="1068" w:hanging="357"/>
        <w:rPr>
          <w:sz w:val="18"/>
          <w:szCs w:val="18"/>
        </w:rPr>
      </w:pPr>
      <w:r>
        <w:rPr>
          <w:sz w:val="18"/>
          <w:szCs w:val="18"/>
        </w:rPr>
        <w:t>od jedného roka do piatich rokov vrátane,</w:t>
      </w:r>
    </w:p>
    <w:p>
      <w:pPr>
        <w:pStyle w:val="Normal"/>
        <w:numPr>
          <w:ilvl w:val="0"/>
          <w:numId w:val="1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viac ako päť rokov.</w:t>
      </w:r>
    </w:p>
    <w:p>
      <w:pPr>
        <w:pStyle w:val="Normal"/>
        <w:spacing w:lineRule="auto" w:line="240" w:before="0" w:after="0"/>
        <w:jc w:val="left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Tabuľka k čl. III ods. 16 o majetku prenajatom formou finančného prenájmu-netýka sa </w:t>
      </w:r>
    </w:p>
    <w:tbl>
      <w:tblPr>
        <w:tblW w:w="10382" w:type="dxa"/>
        <w:jc w:val="left"/>
        <w:tblInd w:w="-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173"/>
        <w:gridCol w:w="1550"/>
        <w:gridCol w:w="1550"/>
        <w:gridCol w:w="1550"/>
        <w:gridCol w:w="1559"/>
      </w:tblGrid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Záväzok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Istina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Finančný náklad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</w:rPr>
      </w:pPr>
      <w:r>
        <w:rPr>
          <w:b/>
          <w:bCs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</w:rPr>
      </w:pPr>
      <w:r>
        <w:rPr>
          <w:b/>
          <w:bCs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</w:rPr>
      </w:pPr>
      <w:r>
        <w:rPr>
          <w:b/>
          <w:bCs/>
        </w:rPr>
        <w:t>Čl. IV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</w:rPr>
      </w:pPr>
      <w:r>
        <w:rPr>
          <w:b/>
          <w:bCs/>
        </w:rPr>
        <w:t>Informácie, ktoré dopĺňajú a vysvetľujú údaje vo výkaze ziskov a strát</w:t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Prehľad tržieb za vlastné výkony a tovar s uvedením ich opisu a vyčíslením hodnoty tržieb podľa jednotlivých hlavných druhov výrobkov,  služieb hlavnej činnosti a podnikateľskej činnosti účtovnej jednotky.</w:t>
      </w:r>
    </w:p>
    <w:tbl>
      <w:tblPr>
        <w:tblW w:w="5000" w:type="pct"/>
        <w:jc w:val="right"/>
        <w:tblInd w:w="0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top w:w="0" w:type="dxa"/>
          <w:left w:w="-7" w:type="dxa"/>
          <w:bottom w:w="0" w:type="dxa"/>
          <w:right w:w="30" w:type="dxa"/>
        </w:tblCellMar>
        <w:tblLook w:firstRow="0" w:noVBand="0" w:lastRow="0" w:firstColumn="0" w:lastColumn="0" w:noHBand="0" w:val="0000"/>
      </w:tblPr>
      <w:tblGrid>
        <w:gridCol w:w="4026"/>
        <w:gridCol w:w="2974"/>
        <w:gridCol w:w="2978"/>
      </w:tblGrid>
      <w:tr>
        <w:trPr>
          <w:trHeight w:val="284" w:hRule="atLeast"/>
        </w:trPr>
        <w:tc>
          <w:tcPr>
            <w:tcW w:w="402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adpis3"/>
              <w:spacing w:before="0" w:after="0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cs="Arial Narrow" w:ascii="Arial Narrow" w:hAnsi="Arial Narrow"/>
                <w:sz w:val="16"/>
                <w:szCs w:val="16"/>
              </w:rPr>
              <w:t>Prehľad tržieb za vlastné výkony a tovar</w:t>
            </w:r>
          </w:p>
        </w:tc>
        <w:tc>
          <w:tcPr>
            <w:tcW w:w="297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2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Podnikateľská činnosť</w:t>
            </w:r>
          </w:p>
        </w:tc>
      </w:tr>
      <w:tr>
        <w:trPr>
          <w:trHeight w:val="284" w:hRule="atLeast"/>
        </w:trPr>
        <w:tc>
          <w:tcPr>
            <w:tcW w:w="402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  <w:tc>
          <w:tcPr>
            <w:tcW w:w="297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</w:rPr>
              <w:t>13629,45</w:t>
            </w:r>
          </w:p>
        </w:tc>
        <w:tc>
          <w:tcPr>
            <w:tcW w:w="2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187999,45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 xml:space="preserve">Opis a vyčíslenie hodnoty významných položiek prijatých darov, osobitných výnosov, zákonných poplatkov a iných ostatných výnosov. </w:t>
      </w:r>
    </w:p>
    <w:tbl>
      <w:tblPr>
        <w:tblW w:w="4900" w:type="pct"/>
        <w:jc w:val="left"/>
        <w:tblInd w:w="-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sponzorské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10687,06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tbl>
      <w:tblPr>
        <w:tblW w:w="4900" w:type="pct"/>
        <w:jc w:val="left"/>
        <w:tblInd w:w="-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Ostatné dotácie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155649,43</w:t>
            </w:r>
            <w:r>
              <w:rPr>
                <w:sz w:val="16"/>
                <w:szCs w:val="16"/>
              </w:rPr>
              <w:t>8</w:t>
            </w:r>
          </w:p>
        </w:tc>
      </w:tr>
    </w:tbl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Prehľad  dotácií a grantov, ktoré účtovná jednotka prijala v priebehu bežného účtovného obdobia.</w:t>
      </w:r>
    </w:p>
    <w:tbl>
      <w:tblPr>
        <w:tblW w:w="4900" w:type="pct"/>
        <w:jc w:val="left"/>
        <w:tblInd w:w="-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Prehľad dotácií a grantov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Dotácia BSK+MIN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73512,18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Dotácia MK+UPSVaR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203414,37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b/>
          <w:b/>
          <w:bCs/>
          <w:sz w:val="18"/>
          <w:szCs w:val="18"/>
        </w:rPr>
      </w:pPr>
      <w:r>
        <w:rPr>
          <w:sz w:val="18"/>
          <w:szCs w:val="18"/>
        </w:rPr>
        <w:t xml:space="preserve">Opis a suma významných položiek finančných výnosov; uvádza sa aj celková suma kurzových ziskov, pričom  osobitne sa uvádza hodnota kurzových ziskov účtovaná ku dňu, ku ktorému sa zostavuje účtovná závierka.- </w:t>
      </w:r>
      <w:r>
        <w:rPr>
          <w:b/>
          <w:bCs/>
          <w:sz w:val="18"/>
          <w:szCs w:val="18"/>
        </w:rPr>
        <w:t xml:space="preserve">netýka sa </w:t>
      </w:r>
    </w:p>
    <w:tbl>
      <w:tblPr>
        <w:tblW w:w="4900" w:type="pct"/>
        <w:jc w:val="left"/>
        <w:tblInd w:w="-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numPr>
                <w:ilvl w:val="0"/>
                <w:numId w:val="16"/>
              </w:numPr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numPr>
                <w:ilvl w:val="0"/>
                <w:numId w:val="16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numPr>
                <w:ilvl w:val="0"/>
                <w:numId w:val="16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 xml:space="preserve">Opis a vyčíslenie hodnoty významných položiek nákladov, nákladov na ostatné služby, osobitných nákladov a iných ostatných nákladov. </w:t>
      </w:r>
    </w:p>
    <w:tbl>
      <w:tblPr>
        <w:tblW w:w="4900" w:type="pct"/>
        <w:jc w:val="left"/>
        <w:tblInd w:w="-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významných nákladov, nákladov na ostatné služby, osobitné náklady a iné ostatné náklady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Náklady na režiu,</w:t>
            </w:r>
            <w:r>
              <w:rPr>
                <w:sz w:val="16"/>
                <w:szCs w:val="16"/>
              </w:rPr>
              <w:t>tovar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73121,32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Spotreba energie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17264,37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údržba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1720,27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účto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9463,00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telefon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2762,46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Reklama,inzercia,tlač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22665,53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služby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8353,85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Osobné náklady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1000,00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členské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2530,51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tbl>
      <w:tblPr>
        <w:tblW w:w="4900" w:type="pct"/>
        <w:jc w:val="left"/>
        <w:tblInd w:w="-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Odpis majetku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52990,55</w:t>
            </w:r>
          </w:p>
        </w:tc>
      </w:tr>
    </w:tbl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Prehľad o účele a výške použitia podielu zaplatenej dane za bežné účtovné obdobie.</w:t>
      </w:r>
    </w:p>
    <w:p>
      <w:pPr>
        <w:pStyle w:val="Normal"/>
        <w:spacing w:lineRule="auto" w:line="240" w:before="0" w:after="120"/>
        <w:rPr>
          <w:b/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 xml:space="preserve">Tabuľka k čl. IV  ods. 6 o účele a výške použitia podielu zaplatenej dane    </w:t>
      </w:r>
    </w:p>
    <w:tbl>
      <w:tblPr>
        <w:tblW w:w="4900" w:type="pct"/>
        <w:jc w:val="left"/>
        <w:tblInd w:w="-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805"/>
        <w:gridCol w:w="2726"/>
        <w:gridCol w:w="0"/>
        <w:gridCol w:w="2247"/>
      </w:tblGrid>
      <w:tr>
        <w:trPr>
          <w:trHeight w:val="284" w:hRule="atLeast"/>
        </w:trPr>
        <w:tc>
          <w:tcPr>
            <w:tcW w:w="48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Účel použitia podielu zaplatenej dane</w:t>
            </w:r>
          </w:p>
        </w:tc>
        <w:tc>
          <w:tcPr>
            <w:tcW w:w="27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22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Použitá suma bežného účtovného obdobia</w:t>
            </w:r>
          </w:p>
        </w:tc>
      </w:tr>
      <w:tr>
        <w:trPr>
          <w:trHeight w:val="284" w:hRule="atLeast"/>
        </w:trPr>
        <w:tc>
          <w:tcPr>
            <w:tcW w:w="48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/>
            </w:r>
          </w:p>
        </w:tc>
        <w:tc>
          <w:tcPr>
            <w:tcW w:w="27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/>
            </w:r>
          </w:p>
        </w:tc>
        <w:tc>
          <w:tcPr>
            <w:tcW w:w="22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8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7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2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8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7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2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753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224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/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 xml:space="preserve">Opis a suma významných položiek finančných nákladov; uvádza sa aj celková suma kurzových strát, pričom osobitne sa uvádza hodnota kurzových strát účtovaná ku dňu, ku ktorému sa zostavuje účtovná závierka.-netýka sa </w:t>
      </w:r>
    </w:p>
    <w:tbl>
      <w:tblPr>
        <w:tblW w:w="4900" w:type="pct"/>
        <w:jc w:val="left"/>
        <w:tblInd w:w="-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numPr>
                <w:ilvl w:val="0"/>
                <w:numId w:val="16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numPr>
                <w:ilvl w:val="0"/>
                <w:numId w:val="16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numPr>
                <w:ilvl w:val="0"/>
                <w:numId w:val="16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V účtovnej jednotke, ktorá má povinnosť overenia účtovnej závierky audítorom, sa uvedie vymedzenie a suma nákladov za účtovné obdobie v členení na náklady za</w:t>
      </w:r>
    </w:p>
    <w:p>
      <w:pPr>
        <w:pStyle w:val="Normal"/>
        <w:numPr>
          <w:ilvl w:val="0"/>
          <w:numId w:val="15"/>
        </w:numPr>
        <w:spacing w:lineRule="auto" w:line="240" w:before="0" w:after="0"/>
        <w:ind w:left="560" w:hanging="357"/>
        <w:rPr>
          <w:sz w:val="18"/>
          <w:szCs w:val="18"/>
        </w:rPr>
      </w:pPr>
      <w:r>
        <w:rPr>
          <w:sz w:val="18"/>
          <w:szCs w:val="18"/>
        </w:rPr>
        <w:t>overenie účtovnej závierky,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Tabuľka k čl. IV  ods. 8 o nákladoch vynaložených v súvislosti s auditom účtovnej závierky- netýka sa </w:t>
      </w:r>
    </w:p>
    <w:tbl>
      <w:tblPr>
        <w:tblW w:w="4900" w:type="pct"/>
        <w:jc w:val="left"/>
        <w:tblInd w:w="-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609"/>
        <w:gridCol w:w="3168"/>
      </w:tblGrid>
      <w:tr>
        <w:trPr>
          <w:trHeight w:val="284" w:hRule="atLeast"/>
        </w:trPr>
        <w:tc>
          <w:tcPr>
            <w:tcW w:w="66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Jednotlivé druhy nákladov za</w:t>
            </w:r>
          </w:p>
        </w:tc>
        <w:tc>
          <w:tcPr>
            <w:tcW w:w="31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6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31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66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1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7"/>
        </w:numPr>
        <w:spacing w:lineRule="auto" w:line="240" w:before="0" w:after="120"/>
        <w:ind w:left="360" w:hanging="357"/>
        <w:rPr>
          <w:sz w:val="16"/>
          <w:szCs w:val="16"/>
        </w:rPr>
      </w:pPr>
      <w:r>
        <w:rPr>
          <w:sz w:val="16"/>
          <w:szCs w:val="16"/>
        </w:rPr>
        <w:t>Prehľad nehnuteľných kultúrnych pamiatok, ktoré sú v správe alebo vo vlastníctve účtovnej jednotky.</w:t>
      </w:r>
    </w:p>
    <w:p>
      <w:pPr>
        <w:pStyle w:val="Normal"/>
        <w:numPr>
          <w:ilvl w:val="0"/>
          <w:numId w:val="17"/>
        </w:numPr>
        <w:spacing w:lineRule="auto" w:line="240" w:before="0" w:after="120"/>
        <w:ind w:left="360" w:hanging="357"/>
        <w:rPr/>
      </w:pPr>
      <w:r>
        <w:rPr>
          <w:sz w:val="16"/>
          <w:szCs w:val="16"/>
        </w:rPr>
        <w:t>Informácie o významných skutočnostiach, ktoré nastali medzi dňom, ku ktorému sa zostavuje účtovná závierka a dňom jej zostavenia.-</w:t>
      </w:r>
      <w:r>
        <w:rPr>
          <w:b/>
          <w:bCs/>
          <w:sz w:val="16"/>
          <w:szCs w:val="16"/>
        </w:rPr>
        <w:t>žiadne nenastali</w:t>
      </w:r>
    </w:p>
    <w:sectPr>
      <w:footerReference w:type="default" r:id="rId2"/>
      <w:type w:val="nextPage"/>
      <w:pgSz w:w="11906" w:h="16838"/>
      <w:pgMar w:left="964" w:right="964" w:header="0" w:top="1304" w:footer="454" w:bottom="1021" w:gutter="0"/>
      <w:pgNumType w:start="7" w:fmt="decimal"/>
      <w:formProt w:val="false"/>
      <w:textDirection w:val="lrTb"/>
      <w:docGrid w:type="default" w:linePitch="272" w:charSpace="20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Calibri">
    <w:charset w:val="ee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spacing w:before="120" w:after="120"/>
      <w:jc w:val="right"/>
      <w:rPr/>
    </w:pPr>
    <w:r>
      <w:rPr/>
      <w:fldChar w:fldCharType="begin"/>
    </w:r>
    <w:r>
      <w:instrText> PAGE </w:instrText>
    </w:r>
    <w:r>
      <w:fldChar w:fldCharType="separate"/>
    </w:r>
    <w:r>
      <w:t>7</w:t>
    </w:r>
    <w:r>
      <w:fldChar w:fldCharType="end"/>
    </w:r>
  </w:p>
  <w:p>
    <w:pPr>
      <w:pStyle w:val="Pta"/>
      <w:tabs>
        <w:tab w:val="center" w:pos="4536" w:leader="none"/>
        <w:tab w:val="right" w:pos="9072" w:leader="none"/>
      </w:tabs>
      <w:spacing w:before="120" w:after="120"/>
      <w:rPr/>
    </w:pPr>
    <w:r>
      <w:rPr/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upperRoman"/>
      <w:suff w:val="nothing"/>
      <w:lvlText w:val="Čl. %1."/>
      <w:lvlJc w:val="center"/>
      <w:pPr>
        <w:ind w:left="0" w:hanging="0"/>
      </w:pPr>
      <w:rPr>
        <w:sz w:val="24"/>
        <w:i w:val="false"/>
        <w:b/>
        <w:szCs w:val="24"/>
        <w:iCs w:val="false"/>
        <w:bCs/>
        <w:rFonts w:cs="Arial"/>
      </w:r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2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i w:val="false"/>
        <w:b/>
        <w:iCs w:val="false"/>
        <w:bCs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sz w:val="16"/>
        <w:i w:val="false"/>
        <w:b w:val="false"/>
        <w:iCs w:val="false"/>
        <w:bCs w:val="false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sz w:val="18"/>
        <w:i w:val="false"/>
        <w:b w:val="false"/>
        <w:iCs w:val="false"/>
        <w:bCs w:val="false"/>
      </w:rPr>
    </w:lvl>
    <w:lvl w:ilvl="3">
      <w:start w:val="1"/>
      <w:numFmt w:val="none"/>
      <w:suff w:val="nothing"/>
      <w:lvlText w:val=""/>
      <w:lvlJc w:val="left"/>
      <w:pPr>
        <w:ind w:left="1440" w:hanging="360"/>
      </w:pPr>
    </w:lvl>
    <w:lvl w:ilvl="4">
      <w:start w:val="1"/>
      <w:numFmt w:val="none"/>
      <w:suff w:val="nothing"/>
      <w:lvlText w:val=""/>
      <w:lvlJc w:val="left"/>
      <w:pPr>
        <w:ind w:left="1800" w:hanging="360"/>
      </w:pPr>
    </w:lvl>
    <w:lvl w:ilvl="5">
      <w:start w:val="1"/>
      <w:numFmt w:val="none"/>
      <w:suff w:val="nothing"/>
      <w:lvlText w:val=""/>
      <w:lvlJc w:val="left"/>
      <w:pPr>
        <w:ind w:left="2160" w:hanging="360"/>
      </w:pPr>
    </w:lvl>
    <w:lvl w:ilvl="6">
      <w:start w:val="1"/>
      <w:numFmt w:val="none"/>
      <w:suff w:val="nothing"/>
      <w:lvlText w:val=""/>
      <w:lvlJc w:val="left"/>
      <w:pPr>
        <w:ind w:left="2520" w:hanging="360"/>
      </w:pPr>
    </w:lvl>
    <w:lvl w:ilvl="7">
      <w:start w:val="1"/>
      <w:numFmt w:val="none"/>
      <w:suff w:val="nothing"/>
      <w:lvlText w:val=""/>
      <w:lvlJc w:val="left"/>
      <w:pPr>
        <w:ind w:left="2880" w:hanging="360"/>
      </w:pPr>
    </w:lvl>
    <w:lvl w:ilvl="8">
      <w:start w:val="1"/>
      <w:numFmt w:val="none"/>
      <w:suff w:val="nothing"/>
      <w:lvlText w:val=""/>
      <w:lvlJc w:val="left"/>
      <w:pPr>
        <w:ind w:left="3240" w:hanging="360"/>
      </w:pPr>
    </w:lvl>
  </w:abstractNum>
  <w:abstractNum w:abstractNumId="5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  <w:sz w:val="16"/>
        <w:b/>
        <w:rFonts w:cs="Symbol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  <w:rFonts w:cs="Wingdings"/>
      </w:rPr>
    </w:lvl>
  </w:abstractNum>
  <w:abstractNum w:abstractNumId="8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  <w:sz w:val="16"/>
        <w:rFonts w:cs="Symbol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  <w:rFonts w:cs="Wingdings"/>
      </w:rPr>
    </w:lvl>
  </w:abstractNum>
  <w:abstractNum w:abstractNumId="10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lvl w:ilvl="0">
      <w:start w:val="1"/>
      <w:numFmt w:val="decimal"/>
      <w:lvlText w:val="%1."/>
      <w:lvlJc w:val="left"/>
      <w:pPr>
        <w:ind w:left="1068" w:hanging="360"/>
      </w:pPr>
    </w:lvl>
    <w:lvl w:ilvl="1">
      <w:start w:val="1"/>
      <w:numFmt w:val="lowerLetter"/>
      <w:lvlText w:val="%2."/>
      <w:lvlJc w:val="left"/>
      <w:pPr>
        <w:ind w:left="1788" w:hanging="360"/>
      </w:pPr>
    </w:lvl>
    <w:lvl w:ilvl="2">
      <w:start w:val="1"/>
      <w:numFmt w:val="lowerRoman"/>
      <w:lvlText w:val="%3."/>
      <w:lvlJc w:val="right"/>
      <w:pPr>
        <w:ind w:left="2508" w:hanging="180"/>
      </w:pPr>
    </w:lvl>
    <w:lvl w:ilvl="3">
      <w:start w:val="1"/>
      <w:numFmt w:val="decimal"/>
      <w:lvlText w:val="%4."/>
      <w:lvlJc w:val="left"/>
      <w:pPr>
        <w:ind w:left="3228" w:hanging="360"/>
      </w:pPr>
    </w:lvl>
    <w:lvl w:ilvl="4">
      <w:start w:val="1"/>
      <w:numFmt w:val="lowerLetter"/>
      <w:lvlText w:val="%5."/>
      <w:lvlJc w:val="left"/>
      <w:pPr>
        <w:ind w:left="3948" w:hanging="360"/>
      </w:pPr>
    </w:lvl>
    <w:lvl w:ilvl="5">
      <w:start w:val="1"/>
      <w:numFmt w:val="lowerRoman"/>
      <w:lvlText w:val="%6."/>
      <w:lvlJc w:val="right"/>
      <w:pPr>
        <w:ind w:left="4668" w:hanging="180"/>
      </w:pPr>
    </w:lvl>
    <w:lvl w:ilvl="6">
      <w:start w:val="1"/>
      <w:numFmt w:val="decimal"/>
      <w:lvlText w:val="%7."/>
      <w:lvlJc w:val="left"/>
      <w:pPr>
        <w:ind w:left="5388" w:hanging="360"/>
      </w:pPr>
    </w:lvl>
    <w:lvl w:ilvl="7">
      <w:start w:val="1"/>
      <w:numFmt w:val="lowerLetter"/>
      <w:lvlText w:val="%8."/>
      <w:lvlJc w:val="left"/>
      <w:pPr>
        <w:ind w:left="6108" w:hanging="360"/>
      </w:pPr>
    </w:lvl>
    <w:lvl w:ilvl="8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lvl w:ilvl="0">
      <w:start w:val="1"/>
      <w:numFmt w:val="lowerLetter"/>
      <w:lvlText w:val="%1)"/>
      <w:lvlJc w:val="left"/>
      <w:pPr>
        <w:ind w:left="5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  <w:sz w:val="16"/>
        <w:rFonts w:cs="Symbol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  <w:rFonts w:cs="Wingdings"/>
      </w:rPr>
    </w:lvl>
  </w:abstractNum>
  <w:abstractNum w:abstractNumId="17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  <w:num w:numId="16">
    <w:abstractNumId w:val="16"/>
  </w:num>
  <w:num w:numId="17">
    <w:abstractNumId w:val="17"/>
  </w:num>
</w:numbering>
</file>

<file path=word/settings.xml><?xml version="1.0" encoding="utf-8"?>
<w:settings xmlns:w="http://schemas.openxmlformats.org/wordprocessingml/2006/main">
  <w:zoom w:percent="100"/>
  <w:embedSystemFonts/>
  <w:defaultTabStop w:val="708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szCs w:val="22"/>
        <w:lang w:val="sk-SK" w:eastAsia="sk-SK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uiPriority="10" w:semiHidden="0" w:unhideWhenUsed="0" w:qFormat="1"/>
    <w:lsdException w:name="Default Paragraph Font" w:unhideWhenUsed="0"/>
    <w:lsdException w:name="Body Text" w:unhideWhenUsed="0"/>
    <w:lsdException w:name="Subtitle" w:uiPriority="11" w:semiHidden="0" w:unhideWhenUsed="0" w:qFormat="1"/>
    <w:lsdException w:name="Hyperlink" w:unhideWhenUsed="0"/>
    <w:lsdException w:name="Strong" w:semiHidden="0" w:unhideWhenUsed="0" w:qFormat="1"/>
    <w:lsdException w:name="Emphasis" w:uiPriority="20" w:semiHidden="0" w:unhideWhenUsed="0" w:qFormat="1"/>
    <w:lsdException w:name="Normal (Web)" w:unhideWhenUsed="0"/>
    <w:lsdException w:name="Balloon Text" w:unhideWhenUsed="0"/>
    <w:lsdException w:name="Table Grid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691dcc"/>
    <w:pPr>
      <w:widowControl/>
      <w:bidi w:val="0"/>
      <w:spacing w:lineRule="auto" w:line="360" w:before="120" w:after="120"/>
      <w:jc w:val="both"/>
    </w:pPr>
    <w:rPr>
      <w:rFonts w:ascii="Arial Narrow" w:hAnsi="Arial Narrow" w:eastAsia="Times New Roman" w:cs="Arial Narrow"/>
      <w:color w:val="00000A"/>
      <w:sz w:val="20"/>
      <w:szCs w:val="20"/>
      <w:lang w:val="sk-SK" w:eastAsia="cs-CZ" w:bidi="ar-SA"/>
    </w:rPr>
  </w:style>
  <w:style w:type="paragraph" w:styleId="Nadpis1">
    <w:name w:val="Heading 1"/>
    <w:basedOn w:val="Normal"/>
    <w:link w:val="Nadpis1Char"/>
    <w:uiPriority w:val="99"/>
    <w:qFormat/>
    <w:rsid w:val="00d440d5"/>
    <w:pPr>
      <w:keepNext/>
      <w:numPr>
        <w:ilvl w:val="0"/>
        <w:numId w:val="1"/>
      </w:numPr>
      <w:spacing w:lineRule="auto" w:line="240"/>
      <w:jc w:val="center"/>
      <w:outlineLvl w:val="0"/>
      <w:outlineLvl w:val="0"/>
    </w:pPr>
    <w:rPr>
      <w:rFonts w:ascii="Cambria" w:hAnsi="Cambria" w:cs="Cambria"/>
      <w:b/>
      <w:bCs/>
      <w:sz w:val="32"/>
      <w:szCs w:val="32"/>
    </w:rPr>
  </w:style>
  <w:style w:type="paragraph" w:styleId="Nadpis2">
    <w:name w:val="Heading 2"/>
    <w:basedOn w:val="Normal"/>
    <w:link w:val="Nadpis2Char"/>
    <w:uiPriority w:val="99"/>
    <w:qFormat/>
    <w:rsid w:val="00d440d5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al"/>
    <w:link w:val="Nadpis3Char"/>
    <w:uiPriority w:val="99"/>
    <w:qFormat/>
    <w:rsid w:val="00945816"/>
    <w:pPr>
      <w:keepNext/>
      <w:spacing w:lineRule="auto" w:line="240" w:before="240" w:after="60"/>
      <w:jc w:val="left"/>
      <w:outlineLvl w:val="2"/>
    </w:pPr>
    <w:rPr>
      <w:rFonts w:ascii="Arial" w:hAnsi="Arial" w:cs="Arial"/>
      <w:b/>
      <w:bCs/>
      <w:sz w:val="26"/>
      <w:szCs w:val="26"/>
      <w:lang w:val="cs-CZ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rsid w:val="003a4222"/>
    <w:rPr>
      <w:rFonts w:ascii="Cambria" w:hAnsi="Cambria" w:cs="Cambria"/>
      <w:b/>
      <w:bCs/>
      <w:sz w:val="32"/>
      <w:szCs w:val="32"/>
      <w:lang w:eastAsia="cs-CZ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rsid w:val="003a4222"/>
    <w:rPr>
      <w:rFonts w:ascii="Cambria" w:hAnsi="Cambria" w:cs="Cambria"/>
      <w:b/>
      <w:bCs/>
      <w:i/>
      <w:iCs/>
      <w:sz w:val="28"/>
      <w:szCs w:val="28"/>
      <w:lang w:eastAsia="cs-CZ"/>
    </w:rPr>
  </w:style>
  <w:style w:type="character" w:styleId="Nadpis3Char" w:customStyle="1">
    <w:name w:val="Nadpis 3 Char"/>
    <w:basedOn w:val="DefaultParagraphFont"/>
    <w:link w:val="Nadpis3"/>
    <w:uiPriority w:val="99"/>
    <w:qFormat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character" w:styleId="TltlnzovChar115ptAntiqueOliveNiejeTun" w:customStyle="1">
    <w:name w:val="Štýl Štýl § názov Char + 115 pt + Antique Olive Nie je Tučné"/>
    <w:uiPriority w:val="99"/>
    <w:qFormat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character" w:styleId="PtaChar" w:customStyle="1">
    <w:name w:val="Päta Char"/>
    <w:basedOn w:val="DefaultParagraphFont"/>
    <w:link w:val="Pta"/>
    <w:uiPriority w:val="99"/>
    <w:qFormat/>
    <w:rsid w:val="003a4222"/>
    <w:rPr>
      <w:rFonts w:ascii="Arial" w:hAnsi="Arial" w:cs="Arial"/>
      <w:sz w:val="24"/>
      <w:szCs w:val="24"/>
      <w:lang w:eastAsia="cs-CZ"/>
    </w:rPr>
  </w:style>
  <w:style w:type="character" w:styleId="Pagenumber">
    <w:name w:val="page number"/>
    <w:basedOn w:val="DefaultParagraphFont"/>
    <w:uiPriority w:val="99"/>
    <w:qFormat/>
    <w:rsid w:val="0072048d"/>
    <w:rPr/>
  </w:style>
  <w:style w:type="character" w:styleId="Strong">
    <w:name w:val="Strong"/>
    <w:basedOn w:val="DefaultParagraphFont"/>
    <w:uiPriority w:val="99"/>
    <w:qFormat/>
    <w:rsid w:val="00db3c2d"/>
    <w:rPr>
      <w:b/>
      <w:bCs/>
    </w:rPr>
  </w:style>
  <w:style w:type="character" w:styleId="ZkladntextChar" w:customStyle="1">
    <w:name w:val="Základný text Char"/>
    <w:basedOn w:val="DefaultParagraphFont"/>
    <w:link w:val="Zkladntext"/>
    <w:uiPriority w:val="99"/>
    <w:qFormat/>
    <w:rsid w:val="00497323"/>
    <w:rPr>
      <w:rFonts w:ascii="Arial" w:hAnsi="Arial" w:cs="Arial"/>
      <w:sz w:val="24"/>
      <w:szCs w:val="24"/>
      <w:lang w:val="de-DE" w:eastAsia="cs-CZ"/>
    </w:rPr>
  </w:style>
  <w:style w:type="character" w:styleId="HlavikaChar" w:customStyle="1">
    <w:name w:val="Hlavička Char"/>
    <w:basedOn w:val="DefaultParagraphFont"/>
    <w:link w:val="Hlavika"/>
    <w:uiPriority w:val="99"/>
    <w:qFormat/>
    <w:rsid w:val="00804636"/>
    <w:rPr>
      <w:rFonts w:ascii="Arial Narrow" w:hAnsi="Arial Narrow" w:cs="Arial Narrow"/>
      <w:sz w:val="24"/>
      <w:szCs w:val="24"/>
      <w:lang w:eastAsia="cs-CZ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1058f5"/>
    <w:rPr>
      <w:rFonts w:ascii="Tahoma" w:hAnsi="Tahoma" w:cs="Tahoma"/>
      <w:sz w:val="16"/>
      <w:szCs w:val="16"/>
      <w:lang w:eastAsia="cs-CZ"/>
    </w:rPr>
  </w:style>
  <w:style w:type="character" w:styleId="Internetovodkaz">
    <w:name w:val="Internetový odkaz"/>
    <w:basedOn w:val="DefaultParagraphFont"/>
    <w:uiPriority w:val="99"/>
    <w:rsid w:val="0049724f"/>
    <w:rPr>
      <w:color w:val="0000FF"/>
      <w:u w:val="single"/>
    </w:rPr>
  </w:style>
  <w:style w:type="character" w:styleId="Style21" w:customStyle="1">
    <w:name w:val="style2"/>
    <w:basedOn w:val="DefaultParagraphFont"/>
    <w:uiPriority w:val="99"/>
    <w:qFormat/>
    <w:rsid w:val="0049724f"/>
    <w:rPr/>
  </w:style>
  <w:style w:type="character" w:styleId="ListLabel1">
    <w:name w:val="ListLabel 1"/>
    <w:qFormat/>
    <w:rPr>
      <w:rFonts w:cs="Arial"/>
      <w:b/>
      <w:bCs/>
      <w:i w:val="false"/>
      <w:iCs w:val="false"/>
      <w:sz w:val="24"/>
      <w:szCs w:val="24"/>
    </w:rPr>
  </w:style>
  <w:style w:type="character" w:styleId="ListLabel2">
    <w:name w:val="ListLabel 2"/>
    <w:qFormat/>
    <w:rPr>
      <w:b w:val="false"/>
      <w:bCs w:val="false"/>
      <w:i w:val="false"/>
      <w:iCs w:val="false"/>
    </w:rPr>
  </w:style>
  <w:style w:type="character" w:styleId="ListLabel3">
    <w:name w:val="ListLabel 3"/>
    <w:qFormat/>
    <w:rPr>
      <w:rFonts w:cs="Arial"/>
      <w:b/>
      <w:bCs/>
      <w:i w:val="false"/>
      <w:iCs w:val="false"/>
      <w:sz w:val="24"/>
      <w:szCs w:val="24"/>
    </w:rPr>
  </w:style>
  <w:style w:type="character" w:styleId="ListLabel4">
    <w:name w:val="ListLabel 4"/>
    <w:qFormat/>
    <w:rPr>
      <w:b w:val="false"/>
      <w:bCs w:val="false"/>
      <w:i w:val="false"/>
      <w:iCs w:val="false"/>
    </w:rPr>
  </w:style>
  <w:style w:type="character" w:styleId="ListLabel5">
    <w:name w:val="ListLabel 5"/>
    <w:qFormat/>
    <w:rPr>
      <w:b/>
      <w:bCs/>
      <w:i w:val="false"/>
      <w:iCs w:val="false"/>
    </w:rPr>
  </w:style>
  <w:style w:type="character" w:styleId="ListLabel6">
    <w:name w:val="ListLabel 6"/>
    <w:qFormat/>
    <w:rPr>
      <w:rFonts w:cs="Arial Narrow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/>
      <w:vertAlign w:val="baseline"/>
    </w:rPr>
  </w:style>
  <w:style w:type="character" w:styleId="ListLabel7">
    <w:name w:val="ListLabel 7"/>
    <w:qFormat/>
    <w:rPr>
      <w:rFonts w:cs="Arial Narrow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/>
      <w:vertAlign w:val="baseline"/>
    </w:rPr>
  </w:style>
  <w:style w:type="character" w:styleId="ListLabel8">
    <w:name w:val="ListLabel 8"/>
    <w:qFormat/>
    <w:rPr>
      <w:b/>
      <w:bCs/>
      <w:i w:val="false"/>
      <w:iCs w:val="false"/>
    </w:rPr>
  </w:style>
  <w:style w:type="character" w:styleId="ListLabel9">
    <w:name w:val="ListLabel 9"/>
    <w:qFormat/>
    <w:rPr>
      <w:b w:val="false"/>
      <w:bCs w:val="false"/>
      <w:i w:val="false"/>
      <w:iCs w:val="false"/>
      <w:sz w:val="16"/>
    </w:rPr>
  </w:style>
  <w:style w:type="character" w:styleId="ListLabel10">
    <w:name w:val="ListLabel 10"/>
    <w:qFormat/>
    <w:rPr>
      <w:b w:val="false"/>
      <w:bCs w:val="false"/>
      <w:i w:val="false"/>
      <w:iCs w:val="false"/>
      <w:sz w:val="18"/>
    </w:rPr>
  </w:style>
  <w:style w:type="character" w:styleId="ListLabel11">
    <w:name w:val="ListLabel 11"/>
    <w:qFormat/>
    <w:rPr>
      <w:rFonts w:cs="Symbol"/>
      <w:b/>
      <w:sz w:val="16"/>
    </w:rPr>
  </w:style>
  <w:style w:type="character" w:styleId="ListLabel12">
    <w:name w:val="ListLabel 12"/>
    <w:qFormat/>
    <w:rPr>
      <w:rFonts w:cs="Courier New"/>
    </w:rPr>
  </w:style>
  <w:style w:type="character" w:styleId="ListLabel13">
    <w:name w:val="ListLabel 13"/>
    <w:qFormat/>
    <w:rPr>
      <w:rFonts w:cs="Wingdings"/>
    </w:rPr>
  </w:style>
  <w:style w:type="character" w:styleId="ListLabel14">
    <w:name w:val="ListLabel 14"/>
    <w:qFormat/>
    <w:rPr>
      <w:rFonts w:cs="Symbol"/>
    </w:rPr>
  </w:style>
  <w:style w:type="character" w:styleId="ListLabel15">
    <w:name w:val="ListLabel 15"/>
    <w:qFormat/>
    <w:rPr>
      <w:rFonts w:cs="Courier New"/>
    </w:rPr>
  </w:style>
  <w:style w:type="character" w:styleId="ListLabel16">
    <w:name w:val="ListLabel 16"/>
    <w:qFormat/>
    <w:rPr>
      <w:rFonts w:cs="Wingdings"/>
    </w:rPr>
  </w:style>
  <w:style w:type="character" w:styleId="ListLabel17">
    <w:name w:val="ListLabel 17"/>
    <w:qFormat/>
    <w:rPr>
      <w:rFonts w:cs="Symbol"/>
    </w:rPr>
  </w:style>
  <w:style w:type="character" w:styleId="ListLabel18">
    <w:name w:val="ListLabel 18"/>
    <w:qFormat/>
    <w:rPr>
      <w:rFonts w:cs="Courier New"/>
    </w:rPr>
  </w:style>
  <w:style w:type="character" w:styleId="ListLabel19">
    <w:name w:val="ListLabel 19"/>
    <w:qFormat/>
    <w:rPr>
      <w:rFonts w:cs="Wingdings"/>
    </w:rPr>
  </w:style>
  <w:style w:type="character" w:styleId="ListLabel20">
    <w:name w:val="ListLabel 20"/>
    <w:qFormat/>
    <w:rPr>
      <w:rFonts w:cs="Symbol"/>
      <w:sz w:val="16"/>
    </w:rPr>
  </w:style>
  <w:style w:type="character" w:styleId="ListLabel21">
    <w:name w:val="ListLabel 21"/>
    <w:qFormat/>
    <w:rPr>
      <w:rFonts w:cs="Courier New"/>
    </w:rPr>
  </w:style>
  <w:style w:type="character" w:styleId="ListLabel22">
    <w:name w:val="ListLabel 22"/>
    <w:qFormat/>
    <w:rPr>
      <w:rFonts w:cs="Wingdings"/>
    </w:rPr>
  </w:style>
  <w:style w:type="character" w:styleId="ListLabel23">
    <w:name w:val="ListLabel 23"/>
    <w:qFormat/>
    <w:rPr>
      <w:rFonts w:cs="Symbol"/>
    </w:rPr>
  </w:style>
  <w:style w:type="character" w:styleId="ListLabel24">
    <w:name w:val="ListLabel 24"/>
    <w:qFormat/>
    <w:rPr>
      <w:rFonts w:cs="Courier New"/>
    </w:rPr>
  </w:style>
  <w:style w:type="character" w:styleId="ListLabel25">
    <w:name w:val="ListLabel 25"/>
    <w:qFormat/>
    <w:rPr>
      <w:rFonts w:cs="Wingdings"/>
    </w:rPr>
  </w:style>
  <w:style w:type="character" w:styleId="ListLabel26">
    <w:name w:val="ListLabel 26"/>
    <w:qFormat/>
    <w:rPr>
      <w:rFonts w:cs="Symbol"/>
    </w:rPr>
  </w:style>
  <w:style w:type="character" w:styleId="ListLabel27">
    <w:name w:val="ListLabel 27"/>
    <w:qFormat/>
    <w:rPr>
      <w:rFonts w:cs="Courier New"/>
    </w:rPr>
  </w:style>
  <w:style w:type="character" w:styleId="ListLabel28">
    <w:name w:val="ListLabel 28"/>
    <w:qFormat/>
    <w:rPr>
      <w:rFonts w:cs="Wingdings"/>
    </w:rPr>
  </w:style>
  <w:style w:type="character" w:styleId="ListLabel29">
    <w:name w:val="ListLabel 29"/>
    <w:qFormat/>
    <w:rPr>
      <w:rFonts w:cs="Symbol"/>
      <w:sz w:val="16"/>
    </w:rPr>
  </w:style>
  <w:style w:type="character" w:styleId="ListLabel30">
    <w:name w:val="ListLabel 30"/>
    <w:qFormat/>
    <w:rPr>
      <w:rFonts w:cs="Courier New"/>
    </w:rPr>
  </w:style>
  <w:style w:type="character" w:styleId="ListLabel31">
    <w:name w:val="ListLabel 31"/>
    <w:qFormat/>
    <w:rPr>
      <w:rFonts w:cs="Wingdings"/>
    </w:rPr>
  </w:style>
  <w:style w:type="character" w:styleId="ListLabel32">
    <w:name w:val="ListLabel 32"/>
    <w:qFormat/>
    <w:rPr>
      <w:rFonts w:cs="Symbol"/>
    </w:rPr>
  </w:style>
  <w:style w:type="character" w:styleId="ListLabel33">
    <w:name w:val="ListLabel 33"/>
    <w:qFormat/>
    <w:rPr>
      <w:rFonts w:cs="Courier New"/>
    </w:rPr>
  </w:style>
  <w:style w:type="character" w:styleId="ListLabel34">
    <w:name w:val="ListLabel 34"/>
    <w:qFormat/>
    <w:rPr>
      <w:rFonts w:cs="Wingdings"/>
    </w:rPr>
  </w:style>
  <w:style w:type="character" w:styleId="ListLabel35">
    <w:name w:val="ListLabel 35"/>
    <w:qFormat/>
    <w:rPr>
      <w:rFonts w:cs="Symbol"/>
    </w:rPr>
  </w:style>
  <w:style w:type="character" w:styleId="ListLabel36">
    <w:name w:val="ListLabel 36"/>
    <w:qFormat/>
    <w:rPr>
      <w:rFonts w:cs="Courier New"/>
    </w:rPr>
  </w:style>
  <w:style w:type="character" w:styleId="ListLabel37">
    <w:name w:val="ListLabel 37"/>
    <w:qFormat/>
    <w:rPr>
      <w:rFonts w:cs="Wingdings"/>
    </w:rPr>
  </w:style>
  <w:style w:type="character" w:styleId="ListLabel38">
    <w:name w:val="ListLabel 38"/>
    <w:qFormat/>
    <w:rPr>
      <w:rFonts w:cs="Arial Narrow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/>
      <w:vertAlign w:val="baseline"/>
    </w:rPr>
  </w:style>
  <w:style w:type="character" w:styleId="ListLabel39">
    <w:name w:val="ListLabel 39"/>
    <w:qFormat/>
    <w:rPr>
      <w:rFonts w:cs="Symbol"/>
      <w:sz w:val="20"/>
      <w:szCs w:val="20"/>
    </w:rPr>
  </w:style>
  <w:style w:type="character" w:styleId="ListLabel40">
    <w:name w:val="ListLabel 40"/>
    <w:qFormat/>
    <w:rPr>
      <w:rFonts w:cs="Courier New"/>
      <w:sz w:val="20"/>
      <w:szCs w:val="20"/>
    </w:rPr>
  </w:style>
  <w:style w:type="character" w:styleId="ListLabel41">
    <w:name w:val="ListLabel 41"/>
    <w:qFormat/>
    <w:rPr>
      <w:rFonts w:cs="Wingdings"/>
      <w:sz w:val="20"/>
      <w:szCs w:val="20"/>
    </w:rPr>
  </w:style>
  <w:style w:type="character" w:styleId="ListLabel42">
    <w:name w:val="ListLabel 42"/>
    <w:qFormat/>
    <w:rPr>
      <w:rFonts w:cs="Wingdings"/>
      <w:sz w:val="20"/>
      <w:szCs w:val="20"/>
    </w:rPr>
  </w:style>
  <w:style w:type="character" w:styleId="ListLabel43">
    <w:name w:val="ListLabel 43"/>
    <w:qFormat/>
    <w:rPr>
      <w:rFonts w:cs="Wingdings"/>
      <w:sz w:val="20"/>
      <w:szCs w:val="20"/>
    </w:rPr>
  </w:style>
  <w:style w:type="character" w:styleId="ListLabel44">
    <w:name w:val="ListLabel 44"/>
    <w:qFormat/>
    <w:rPr>
      <w:rFonts w:cs="Wingdings"/>
      <w:sz w:val="20"/>
      <w:szCs w:val="20"/>
    </w:rPr>
  </w:style>
  <w:style w:type="character" w:styleId="ListLabel45">
    <w:name w:val="ListLabel 45"/>
    <w:qFormat/>
    <w:rPr>
      <w:rFonts w:cs="Wingdings"/>
      <w:sz w:val="20"/>
      <w:szCs w:val="20"/>
    </w:rPr>
  </w:style>
  <w:style w:type="character" w:styleId="ListLabel46">
    <w:name w:val="ListLabel 46"/>
    <w:qFormat/>
    <w:rPr>
      <w:rFonts w:cs="Wingdings"/>
      <w:sz w:val="20"/>
      <w:szCs w:val="20"/>
    </w:rPr>
  </w:style>
  <w:style w:type="character" w:styleId="ListLabel47">
    <w:name w:val="ListLabel 47"/>
    <w:qFormat/>
    <w:rPr>
      <w:rFonts w:cs="Wingdings"/>
      <w:sz w:val="20"/>
      <w:szCs w:val="20"/>
    </w:rPr>
  </w:style>
  <w:style w:type="character" w:styleId="ListLabel48">
    <w:name w:val="ListLabel 48"/>
    <w:qFormat/>
    <w:rPr>
      <w:rFonts w:cs="Symbol"/>
      <w:sz w:val="20"/>
      <w:szCs w:val="20"/>
    </w:rPr>
  </w:style>
  <w:style w:type="character" w:styleId="ListLabel49">
    <w:name w:val="ListLabel 49"/>
    <w:qFormat/>
    <w:rPr>
      <w:rFonts w:cs="Courier New"/>
      <w:sz w:val="20"/>
      <w:szCs w:val="20"/>
    </w:rPr>
  </w:style>
  <w:style w:type="character" w:styleId="ListLabel50">
    <w:name w:val="ListLabel 50"/>
    <w:qFormat/>
    <w:rPr>
      <w:rFonts w:cs="Wingdings"/>
      <w:sz w:val="20"/>
      <w:szCs w:val="20"/>
    </w:rPr>
  </w:style>
  <w:style w:type="character" w:styleId="ListLabel51">
    <w:name w:val="ListLabel 51"/>
    <w:qFormat/>
    <w:rPr>
      <w:rFonts w:cs="Wingdings"/>
      <w:sz w:val="20"/>
      <w:szCs w:val="20"/>
    </w:rPr>
  </w:style>
  <w:style w:type="character" w:styleId="ListLabel52">
    <w:name w:val="ListLabel 52"/>
    <w:qFormat/>
    <w:rPr>
      <w:rFonts w:cs="Wingdings"/>
      <w:sz w:val="20"/>
      <w:szCs w:val="20"/>
    </w:rPr>
  </w:style>
  <w:style w:type="character" w:styleId="ListLabel53">
    <w:name w:val="ListLabel 53"/>
    <w:qFormat/>
    <w:rPr>
      <w:rFonts w:cs="Wingdings"/>
      <w:sz w:val="20"/>
      <w:szCs w:val="20"/>
    </w:rPr>
  </w:style>
  <w:style w:type="character" w:styleId="ListLabel54">
    <w:name w:val="ListLabel 54"/>
    <w:qFormat/>
    <w:rPr>
      <w:rFonts w:cs="Wingdings"/>
      <w:sz w:val="20"/>
      <w:szCs w:val="20"/>
    </w:rPr>
  </w:style>
  <w:style w:type="character" w:styleId="ListLabel55">
    <w:name w:val="ListLabel 55"/>
    <w:qFormat/>
    <w:rPr>
      <w:rFonts w:cs="Wingdings"/>
      <w:sz w:val="20"/>
      <w:szCs w:val="20"/>
    </w:rPr>
  </w:style>
  <w:style w:type="character" w:styleId="ListLabel56">
    <w:name w:val="ListLabel 56"/>
    <w:qFormat/>
    <w:rPr>
      <w:rFonts w:cs="Wingdings"/>
      <w:sz w:val="20"/>
      <w:szCs w:val="20"/>
    </w:rPr>
  </w:style>
  <w:style w:type="character" w:styleId="ListLabel57">
    <w:name w:val="ListLabel 57"/>
    <w:qFormat/>
    <w:rPr>
      <w:rFonts w:cs="Arial"/>
      <w:b/>
      <w:bCs/>
      <w:i w:val="false"/>
      <w:iCs w:val="false"/>
      <w:sz w:val="24"/>
      <w:szCs w:val="24"/>
    </w:rPr>
  </w:style>
  <w:style w:type="character" w:styleId="ListLabel58">
    <w:name w:val="ListLabel 58"/>
    <w:qFormat/>
    <w:rPr>
      <w:b/>
      <w:bCs/>
      <w:i w:val="false"/>
      <w:iCs w:val="false"/>
    </w:rPr>
  </w:style>
  <w:style w:type="character" w:styleId="ListLabel59">
    <w:name w:val="ListLabel 59"/>
    <w:qFormat/>
    <w:rPr>
      <w:b w:val="false"/>
      <w:bCs w:val="false"/>
      <w:i w:val="false"/>
      <w:iCs w:val="false"/>
      <w:sz w:val="16"/>
    </w:rPr>
  </w:style>
  <w:style w:type="character" w:styleId="ListLabel60">
    <w:name w:val="ListLabel 60"/>
    <w:qFormat/>
    <w:rPr>
      <w:b w:val="false"/>
      <w:bCs w:val="false"/>
      <w:i w:val="false"/>
      <w:iCs w:val="false"/>
      <w:sz w:val="18"/>
    </w:rPr>
  </w:style>
  <w:style w:type="character" w:styleId="ListLabel61">
    <w:name w:val="ListLabel 61"/>
    <w:qFormat/>
    <w:rPr>
      <w:rFonts w:cs="Symbol"/>
      <w:b/>
      <w:sz w:val="16"/>
    </w:rPr>
  </w:style>
  <w:style w:type="character" w:styleId="ListLabel62">
    <w:name w:val="ListLabel 62"/>
    <w:qFormat/>
    <w:rPr>
      <w:rFonts w:cs="Courier New"/>
    </w:rPr>
  </w:style>
  <w:style w:type="character" w:styleId="ListLabel63">
    <w:name w:val="ListLabel 63"/>
    <w:qFormat/>
    <w:rPr>
      <w:rFonts w:cs="Wingdings"/>
    </w:rPr>
  </w:style>
  <w:style w:type="character" w:styleId="ListLabel64">
    <w:name w:val="ListLabel 64"/>
    <w:qFormat/>
    <w:rPr>
      <w:rFonts w:cs="Symbol"/>
    </w:rPr>
  </w:style>
  <w:style w:type="character" w:styleId="ListLabel65">
    <w:name w:val="ListLabel 65"/>
    <w:qFormat/>
    <w:rPr>
      <w:rFonts w:cs="Courier New"/>
    </w:rPr>
  </w:style>
  <w:style w:type="character" w:styleId="ListLabel66">
    <w:name w:val="ListLabel 66"/>
    <w:qFormat/>
    <w:rPr>
      <w:rFonts w:cs="Wingdings"/>
    </w:rPr>
  </w:style>
  <w:style w:type="character" w:styleId="ListLabel67">
    <w:name w:val="ListLabel 67"/>
    <w:qFormat/>
    <w:rPr>
      <w:rFonts w:cs="Symbol"/>
    </w:rPr>
  </w:style>
  <w:style w:type="character" w:styleId="ListLabel68">
    <w:name w:val="ListLabel 68"/>
    <w:qFormat/>
    <w:rPr>
      <w:rFonts w:cs="Courier New"/>
    </w:rPr>
  </w:style>
  <w:style w:type="character" w:styleId="ListLabel69">
    <w:name w:val="ListLabel 69"/>
    <w:qFormat/>
    <w:rPr>
      <w:rFonts w:cs="Wingdings"/>
    </w:rPr>
  </w:style>
  <w:style w:type="character" w:styleId="ListLabel70">
    <w:name w:val="ListLabel 70"/>
    <w:qFormat/>
    <w:rPr>
      <w:rFonts w:cs="Symbol"/>
      <w:sz w:val="16"/>
    </w:rPr>
  </w:style>
  <w:style w:type="character" w:styleId="ListLabel71">
    <w:name w:val="ListLabel 71"/>
    <w:qFormat/>
    <w:rPr>
      <w:rFonts w:cs="Courier New"/>
    </w:rPr>
  </w:style>
  <w:style w:type="character" w:styleId="ListLabel72">
    <w:name w:val="ListLabel 72"/>
    <w:qFormat/>
    <w:rPr>
      <w:rFonts w:cs="Wingdings"/>
    </w:rPr>
  </w:style>
  <w:style w:type="character" w:styleId="ListLabel73">
    <w:name w:val="ListLabel 73"/>
    <w:qFormat/>
    <w:rPr>
      <w:rFonts w:cs="Symbol"/>
    </w:rPr>
  </w:style>
  <w:style w:type="character" w:styleId="ListLabel74">
    <w:name w:val="ListLabel 74"/>
    <w:qFormat/>
    <w:rPr>
      <w:rFonts w:cs="Courier New"/>
    </w:rPr>
  </w:style>
  <w:style w:type="character" w:styleId="ListLabel75">
    <w:name w:val="ListLabel 75"/>
    <w:qFormat/>
    <w:rPr>
      <w:rFonts w:cs="Wingdings"/>
    </w:rPr>
  </w:style>
  <w:style w:type="character" w:styleId="ListLabel76">
    <w:name w:val="ListLabel 76"/>
    <w:qFormat/>
    <w:rPr>
      <w:rFonts w:cs="Symbol"/>
    </w:rPr>
  </w:style>
  <w:style w:type="character" w:styleId="ListLabel77">
    <w:name w:val="ListLabel 77"/>
    <w:qFormat/>
    <w:rPr>
      <w:rFonts w:cs="Courier New"/>
    </w:rPr>
  </w:style>
  <w:style w:type="character" w:styleId="ListLabel78">
    <w:name w:val="ListLabel 78"/>
    <w:qFormat/>
    <w:rPr>
      <w:rFonts w:cs="Wingdings"/>
    </w:rPr>
  </w:style>
  <w:style w:type="character" w:styleId="ListLabel79">
    <w:name w:val="ListLabel 79"/>
    <w:qFormat/>
    <w:rPr>
      <w:rFonts w:cs="Symbol"/>
      <w:sz w:val="16"/>
    </w:rPr>
  </w:style>
  <w:style w:type="character" w:styleId="ListLabel80">
    <w:name w:val="ListLabel 80"/>
    <w:qFormat/>
    <w:rPr>
      <w:rFonts w:cs="Courier New"/>
    </w:rPr>
  </w:style>
  <w:style w:type="character" w:styleId="ListLabel81">
    <w:name w:val="ListLabel 81"/>
    <w:qFormat/>
    <w:rPr>
      <w:rFonts w:cs="Wingdings"/>
    </w:rPr>
  </w:style>
  <w:style w:type="character" w:styleId="ListLabel82">
    <w:name w:val="ListLabel 82"/>
    <w:qFormat/>
    <w:rPr>
      <w:rFonts w:cs="Symbol"/>
    </w:rPr>
  </w:style>
  <w:style w:type="character" w:styleId="ListLabel83">
    <w:name w:val="ListLabel 83"/>
    <w:qFormat/>
    <w:rPr>
      <w:rFonts w:cs="Courier New"/>
    </w:rPr>
  </w:style>
  <w:style w:type="character" w:styleId="ListLabel84">
    <w:name w:val="ListLabel 84"/>
    <w:qFormat/>
    <w:rPr>
      <w:rFonts w:cs="Wingdings"/>
    </w:rPr>
  </w:style>
  <w:style w:type="character" w:styleId="ListLabel85">
    <w:name w:val="ListLabel 85"/>
    <w:qFormat/>
    <w:rPr>
      <w:rFonts w:cs="Symbol"/>
    </w:rPr>
  </w:style>
  <w:style w:type="character" w:styleId="ListLabel86">
    <w:name w:val="ListLabel 86"/>
    <w:qFormat/>
    <w:rPr>
      <w:rFonts w:cs="Courier New"/>
    </w:rPr>
  </w:style>
  <w:style w:type="character" w:styleId="ListLabel87">
    <w:name w:val="ListLabel 87"/>
    <w:qFormat/>
    <w:rPr>
      <w:rFonts w:cs="Wingdings"/>
    </w:rPr>
  </w:style>
  <w:style w:type="character" w:styleId="ListLabel88">
    <w:name w:val="ListLabel 88"/>
    <w:qFormat/>
    <w:rPr>
      <w:rFonts w:cs="Arial"/>
      <w:b/>
      <w:bCs/>
      <w:i w:val="false"/>
      <w:iCs w:val="false"/>
      <w:sz w:val="24"/>
      <w:szCs w:val="24"/>
    </w:rPr>
  </w:style>
  <w:style w:type="character" w:styleId="ListLabel89">
    <w:name w:val="ListLabel 89"/>
    <w:qFormat/>
    <w:rPr>
      <w:b/>
      <w:bCs/>
      <w:i w:val="false"/>
      <w:iCs w:val="false"/>
    </w:rPr>
  </w:style>
  <w:style w:type="character" w:styleId="ListLabel90">
    <w:name w:val="ListLabel 90"/>
    <w:qFormat/>
    <w:rPr>
      <w:b w:val="false"/>
      <w:bCs w:val="false"/>
      <w:i w:val="false"/>
      <w:iCs w:val="false"/>
      <w:sz w:val="16"/>
    </w:rPr>
  </w:style>
  <w:style w:type="character" w:styleId="ListLabel91">
    <w:name w:val="ListLabel 91"/>
    <w:qFormat/>
    <w:rPr>
      <w:b w:val="false"/>
      <w:bCs w:val="false"/>
      <w:i w:val="false"/>
      <w:iCs w:val="false"/>
      <w:sz w:val="18"/>
    </w:rPr>
  </w:style>
  <w:style w:type="character" w:styleId="ListLabel92">
    <w:name w:val="ListLabel 92"/>
    <w:qFormat/>
    <w:rPr>
      <w:rFonts w:cs="Symbol"/>
      <w:b/>
      <w:sz w:val="16"/>
    </w:rPr>
  </w:style>
  <w:style w:type="character" w:styleId="ListLabel93">
    <w:name w:val="ListLabel 93"/>
    <w:qFormat/>
    <w:rPr>
      <w:rFonts w:cs="Courier New"/>
    </w:rPr>
  </w:style>
  <w:style w:type="character" w:styleId="ListLabel94">
    <w:name w:val="ListLabel 94"/>
    <w:qFormat/>
    <w:rPr>
      <w:rFonts w:cs="Wingdings"/>
    </w:rPr>
  </w:style>
  <w:style w:type="character" w:styleId="ListLabel95">
    <w:name w:val="ListLabel 95"/>
    <w:qFormat/>
    <w:rPr>
      <w:rFonts w:cs="Symbol"/>
    </w:rPr>
  </w:style>
  <w:style w:type="character" w:styleId="ListLabel96">
    <w:name w:val="ListLabel 96"/>
    <w:qFormat/>
    <w:rPr>
      <w:rFonts w:cs="Courier New"/>
    </w:rPr>
  </w:style>
  <w:style w:type="character" w:styleId="ListLabel97">
    <w:name w:val="ListLabel 97"/>
    <w:qFormat/>
    <w:rPr>
      <w:rFonts w:cs="Wingdings"/>
    </w:rPr>
  </w:style>
  <w:style w:type="character" w:styleId="ListLabel98">
    <w:name w:val="ListLabel 98"/>
    <w:qFormat/>
    <w:rPr>
      <w:rFonts w:cs="Symbol"/>
    </w:rPr>
  </w:style>
  <w:style w:type="character" w:styleId="ListLabel99">
    <w:name w:val="ListLabel 99"/>
    <w:qFormat/>
    <w:rPr>
      <w:rFonts w:cs="Courier New"/>
    </w:rPr>
  </w:style>
  <w:style w:type="character" w:styleId="ListLabel100">
    <w:name w:val="ListLabel 100"/>
    <w:qFormat/>
    <w:rPr>
      <w:rFonts w:cs="Wingdings"/>
    </w:rPr>
  </w:style>
  <w:style w:type="character" w:styleId="ListLabel101">
    <w:name w:val="ListLabel 101"/>
    <w:qFormat/>
    <w:rPr>
      <w:rFonts w:cs="Symbol"/>
      <w:sz w:val="16"/>
    </w:rPr>
  </w:style>
  <w:style w:type="character" w:styleId="ListLabel102">
    <w:name w:val="ListLabel 102"/>
    <w:qFormat/>
    <w:rPr>
      <w:rFonts w:cs="Courier New"/>
    </w:rPr>
  </w:style>
  <w:style w:type="character" w:styleId="ListLabel103">
    <w:name w:val="ListLabel 103"/>
    <w:qFormat/>
    <w:rPr>
      <w:rFonts w:cs="Wingdings"/>
    </w:rPr>
  </w:style>
  <w:style w:type="character" w:styleId="ListLabel104">
    <w:name w:val="ListLabel 104"/>
    <w:qFormat/>
    <w:rPr>
      <w:rFonts w:cs="Symbol"/>
    </w:rPr>
  </w:style>
  <w:style w:type="character" w:styleId="ListLabel105">
    <w:name w:val="ListLabel 105"/>
    <w:qFormat/>
    <w:rPr>
      <w:rFonts w:cs="Courier New"/>
    </w:rPr>
  </w:style>
  <w:style w:type="character" w:styleId="ListLabel106">
    <w:name w:val="ListLabel 106"/>
    <w:qFormat/>
    <w:rPr>
      <w:rFonts w:cs="Wingdings"/>
    </w:rPr>
  </w:style>
  <w:style w:type="character" w:styleId="ListLabel107">
    <w:name w:val="ListLabel 107"/>
    <w:qFormat/>
    <w:rPr>
      <w:rFonts w:cs="Symbol"/>
    </w:rPr>
  </w:style>
  <w:style w:type="character" w:styleId="ListLabel108">
    <w:name w:val="ListLabel 108"/>
    <w:qFormat/>
    <w:rPr>
      <w:rFonts w:cs="Courier New"/>
    </w:rPr>
  </w:style>
  <w:style w:type="character" w:styleId="ListLabel109">
    <w:name w:val="ListLabel 109"/>
    <w:qFormat/>
    <w:rPr>
      <w:rFonts w:cs="Wingdings"/>
    </w:rPr>
  </w:style>
  <w:style w:type="character" w:styleId="ListLabel110">
    <w:name w:val="ListLabel 110"/>
    <w:qFormat/>
    <w:rPr>
      <w:rFonts w:cs="Symbol"/>
      <w:sz w:val="16"/>
    </w:rPr>
  </w:style>
  <w:style w:type="character" w:styleId="ListLabel111">
    <w:name w:val="ListLabel 111"/>
    <w:qFormat/>
    <w:rPr>
      <w:rFonts w:cs="Courier New"/>
    </w:rPr>
  </w:style>
  <w:style w:type="character" w:styleId="ListLabel112">
    <w:name w:val="ListLabel 112"/>
    <w:qFormat/>
    <w:rPr>
      <w:rFonts w:cs="Wingdings"/>
    </w:rPr>
  </w:style>
  <w:style w:type="character" w:styleId="ListLabel113">
    <w:name w:val="ListLabel 113"/>
    <w:qFormat/>
    <w:rPr>
      <w:rFonts w:cs="Symbol"/>
    </w:rPr>
  </w:style>
  <w:style w:type="character" w:styleId="ListLabel114">
    <w:name w:val="ListLabel 114"/>
    <w:qFormat/>
    <w:rPr>
      <w:rFonts w:cs="Courier New"/>
    </w:rPr>
  </w:style>
  <w:style w:type="character" w:styleId="ListLabel115">
    <w:name w:val="ListLabel 115"/>
    <w:qFormat/>
    <w:rPr>
      <w:rFonts w:cs="Wingdings"/>
    </w:rPr>
  </w:style>
  <w:style w:type="character" w:styleId="ListLabel116">
    <w:name w:val="ListLabel 116"/>
    <w:qFormat/>
    <w:rPr>
      <w:rFonts w:cs="Symbol"/>
    </w:rPr>
  </w:style>
  <w:style w:type="character" w:styleId="ListLabel117">
    <w:name w:val="ListLabel 117"/>
    <w:qFormat/>
    <w:rPr>
      <w:rFonts w:cs="Courier New"/>
    </w:rPr>
  </w:style>
  <w:style w:type="character" w:styleId="ListLabel118">
    <w:name w:val="ListLabel 118"/>
    <w:qFormat/>
    <w:rPr>
      <w:rFonts w:cs="Wingdings"/>
    </w:rPr>
  </w:style>
  <w:style w:type="character" w:styleId="ListLabel119">
    <w:name w:val="ListLabel 119"/>
    <w:qFormat/>
    <w:rPr>
      <w:rFonts w:cs="Arial"/>
      <w:b/>
      <w:bCs/>
      <w:i w:val="false"/>
      <w:iCs w:val="false"/>
      <w:sz w:val="24"/>
      <w:szCs w:val="24"/>
    </w:rPr>
  </w:style>
  <w:style w:type="character" w:styleId="ListLabel120">
    <w:name w:val="ListLabel 120"/>
    <w:qFormat/>
    <w:rPr>
      <w:b/>
      <w:bCs/>
      <w:i w:val="false"/>
      <w:iCs w:val="false"/>
    </w:rPr>
  </w:style>
  <w:style w:type="character" w:styleId="ListLabel121">
    <w:name w:val="ListLabel 121"/>
    <w:qFormat/>
    <w:rPr>
      <w:b w:val="false"/>
      <w:bCs w:val="false"/>
      <w:i w:val="false"/>
      <w:iCs w:val="false"/>
      <w:sz w:val="16"/>
    </w:rPr>
  </w:style>
  <w:style w:type="character" w:styleId="ListLabel122">
    <w:name w:val="ListLabel 122"/>
    <w:qFormat/>
    <w:rPr>
      <w:b w:val="false"/>
      <w:bCs w:val="false"/>
      <w:i w:val="false"/>
      <w:iCs w:val="false"/>
      <w:sz w:val="18"/>
    </w:rPr>
  </w:style>
  <w:style w:type="character" w:styleId="ListLabel123">
    <w:name w:val="ListLabel 123"/>
    <w:qFormat/>
    <w:rPr>
      <w:rFonts w:cs="Symbol"/>
      <w:b/>
      <w:sz w:val="16"/>
    </w:rPr>
  </w:style>
  <w:style w:type="character" w:styleId="ListLabel124">
    <w:name w:val="ListLabel 124"/>
    <w:qFormat/>
    <w:rPr>
      <w:rFonts w:cs="Courier New"/>
    </w:rPr>
  </w:style>
  <w:style w:type="character" w:styleId="ListLabel125">
    <w:name w:val="ListLabel 125"/>
    <w:qFormat/>
    <w:rPr>
      <w:rFonts w:cs="Wingdings"/>
    </w:rPr>
  </w:style>
  <w:style w:type="character" w:styleId="ListLabel126">
    <w:name w:val="ListLabel 126"/>
    <w:qFormat/>
    <w:rPr>
      <w:rFonts w:cs="Symbol"/>
    </w:rPr>
  </w:style>
  <w:style w:type="character" w:styleId="ListLabel127">
    <w:name w:val="ListLabel 127"/>
    <w:qFormat/>
    <w:rPr>
      <w:rFonts w:cs="Courier New"/>
    </w:rPr>
  </w:style>
  <w:style w:type="character" w:styleId="ListLabel128">
    <w:name w:val="ListLabel 128"/>
    <w:qFormat/>
    <w:rPr>
      <w:rFonts w:cs="Wingdings"/>
    </w:rPr>
  </w:style>
  <w:style w:type="character" w:styleId="ListLabel129">
    <w:name w:val="ListLabel 129"/>
    <w:qFormat/>
    <w:rPr>
      <w:rFonts w:cs="Symbol"/>
    </w:rPr>
  </w:style>
  <w:style w:type="character" w:styleId="ListLabel130">
    <w:name w:val="ListLabel 130"/>
    <w:qFormat/>
    <w:rPr>
      <w:rFonts w:cs="Courier New"/>
    </w:rPr>
  </w:style>
  <w:style w:type="character" w:styleId="ListLabel131">
    <w:name w:val="ListLabel 131"/>
    <w:qFormat/>
    <w:rPr>
      <w:rFonts w:cs="Wingdings"/>
    </w:rPr>
  </w:style>
  <w:style w:type="character" w:styleId="ListLabel132">
    <w:name w:val="ListLabel 132"/>
    <w:qFormat/>
    <w:rPr>
      <w:rFonts w:cs="Symbol"/>
      <w:sz w:val="16"/>
    </w:rPr>
  </w:style>
  <w:style w:type="character" w:styleId="ListLabel133">
    <w:name w:val="ListLabel 133"/>
    <w:qFormat/>
    <w:rPr>
      <w:rFonts w:cs="Courier New"/>
    </w:rPr>
  </w:style>
  <w:style w:type="character" w:styleId="ListLabel134">
    <w:name w:val="ListLabel 134"/>
    <w:qFormat/>
    <w:rPr>
      <w:rFonts w:cs="Wingdings"/>
    </w:rPr>
  </w:style>
  <w:style w:type="character" w:styleId="ListLabel135">
    <w:name w:val="ListLabel 135"/>
    <w:qFormat/>
    <w:rPr>
      <w:rFonts w:cs="Symbol"/>
    </w:rPr>
  </w:style>
  <w:style w:type="character" w:styleId="ListLabel136">
    <w:name w:val="ListLabel 136"/>
    <w:qFormat/>
    <w:rPr>
      <w:rFonts w:cs="Courier New"/>
    </w:rPr>
  </w:style>
  <w:style w:type="character" w:styleId="ListLabel137">
    <w:name w:val="ListLabel 137"/>
    <w:qFormat/>
    <w:rPr>
      <w:rFonts w:cs="Wingdings"/>
    </w:rPr>
  </w:style>
  <w:style w:type="character" w:styleId="ListLabel138">
    <w:name w:val="ListLabel 138"/>
    <w:qFormat/>
    <w:rPr>
      <w:rFonts w:cs="Symbol"/>
    </w:rPr>
  </w:style>
  <w:style w:type="character" w:styleId="ListLabel139">
    <w:name w:val="ListLabel 139"/>
    <w:qFormat/>
    <w:rPr>
      <w:rFonts w:cs="Courier New"/>
    </w:rPr>
  </w:style>
  <w:style w:type="character" w:styleId="ListLabel140">
    <w:name w:val="ListLabel 140"/>
    <w:qFormat/>
    <w:rPr>
      <w:rFonts w:cs="Wingdings"/>
    </w:rPr>
  </w:style>
  <w:style w:type="character" w:styleId="ListLabel141">
    <w:name w:val="ListLabel 141"/>
    <w:qFormat/>
    <w:rPr>
      <w:rFonts w:cs="Symbol"/>
      <w:sz w:val="16"/>
    </w:rPr>
  </w:style>
  <w:style w:type="character" w:styleId="ListLabel142">
    <w:name w:val="ListLabel 142"/>
    <w:qFormat/>
    <w:rPr>
      <w:rFonts w:cs="Courier New"/>
    </w:rPr>
  </w:style>
  <w:style w:type="character" w:styleId="ListLabel143">
    <w:name w:val="ListLabel 143"/>
    <w:qFormat/>
    <w:rPr>
      <w:rFonts w:cs="Wingdings"/>
    </w:rPr>
  </w:style>
  <w:style w:type="character" w:styleId="ListLabel144">
    <w:name w:val="ListLabel 144"/>
    <w:qFormat/>
    <w:rPr>
      <w:rFonts w:cs="Symbol"/>
    </w:rPr>
  </w:style>
  <w:style w:type="character" w:styleId="ListLabel145">
    <w:name w:val="ListLabel 145"/>
    <w:qFormat/>
    <w:rPr>
      <w:rFonts w:cs="Courier New"/>
    </w:rPr>
  </w:style>
  <w:style w:type="character" w:styleId="ListLabel146">
    <w:name w:val="ListLabel 146"/>
    <w:qFormat/>
    <w:rPr>
      <w:rFonts w:cs="Wingdings"/>
    </w:rPr>
  </w:style>
  <w:style w:type="character" w:styleId="ListLabel147">
    <w:name w:val="ListLabel 147"/>
    <w:qFormat/>
    <w:rPr>
      <w:rFonts w:cs="Symbol"/>
    </w:rPr>
  </w:style>
  <w:style w:type="character" w:styleId="ListLabel148">
    <w:name w:val="ListLabel 148"/>
    <w:qFormat/>
    <w:rPr>
      <w:rFonts w:cs="Courier New"/>
    </w:rPr>
  </w:style>
  <w:style w:type="character" w:styleId="ListLabel149">
    <w:name w:val="ListLabel 149"/>
    <w:qFormat/>
    <w:rPr>
      <w:rFonts w:cs="Wingdings"/>
    </w:rPr>
  </w:style>
  <w:style w:type="character" w:styleId="ListLabel150">
    <w:name w:val="ListLabel 150"/>
    <w:qFormat/>
    <w:rPr>
      <w:rFonts w:cs="Arial"/>
      <w:b/>
      <w:bCs/>
      <w:i w:val="false"/>
      <w:iCs w:val="false"/>
      <w:sz w:val="24"/>
      <w:szCs w:val="24"/>
    </w:rPr>
  </w:style>
  <w:style w:type="character" w:styleId="ListLabel151">
    <w:name w:val="ListLabel 151"/>
    <w:qFormat/>
    <w:rPr>
      <w:b/>
      <w:bCs/>
      <w:i w:val="false"/>
      <w:iCs w:val="false"/>
    </w:rPr>
  </w:style>
  <w:style w:type="character" w:styleId="ListLabel152">
    <w:name w:val="ListLabel 152"/>
    <w:qFormat/>
    <w:rPr>
      <w:b w:val="false"/>
      <w:bCs w:val="false"/>
      <w:i w:val="false"/>
      <w:iCs w:val="false"/>
      <w:sz w:val="16"/>
    </w:rPr>
  </w:style>
  <w:style w:type="character" w:styleId="ListLabel153">
    <w:name w:val="ListLabel 153"/>
    <w:qFormat/>
    <w:rPr>
      <w:b w:val="false"/>
      <w:bCs w:val="false"/>
      <w:i w:val="false"/>
      <w:iCs w:val="false"/>
      <w:sz w:val="18"/>
    </w:rPr>
  </w:style>
  <w:style w:type="character" w:styleId="ListLabel154">
    <w:name w:val="ListLabel 154"/>
    <w:qFormat/>
    <w:rPr>
      <w:rFonts w:cs="Symbol"/>
      <w:b/>
      <w:sz w:val="16"/>
    </w:rPr>
  </w:style>
  <w:style w:type="character" w:styleId="ListLabel155">
    <w:name w:val="ListLabel 155"/>
    <w:qFormat/>
    <w:rPr>
      <w:rFonts w:cs="Courier New"/>
    </w:rPr>
  </w:style>
  <w:style w:type="character" w:styleId="ListLabel156">
    <w:name w:val="ListLabel 156"/>
    <w:qFormat/>
    <w:rPr>
      <w:rFonts w:cs="Wingdings"/>
    </w:rPr>
  </w:style>
  <w:style w:type="character" w:styleId="ListLabel157">
    <w:name w:val="ListLabel 157"/>
    <w:qFormat/>
    <w:rPr>
      <w:rFonts w:cs="Symbol"/>
    </w:rPr>
  </w:style>
  <w:style w:type="character" w:styleId="ListLabel158">
    <w:name w:val="ListLabel 158"/>
    <w:qFormat/>
    <w:rPr>
      <w:rFonts w:cs="Courier New"/>
    </w:rPr>
  </w:style>
  <w:style w:type="character" w:styleId="ListLabel159">
    <w:name w:val="ListLabel 159"/>
    <w:qFormat/>
    <w:rPr>
      <w:rFonts w:cs="Wingdings"/>
    </w:rPr>
  </w:style>
  <w:style w:type="character" w:styleId="ListLabel160">
    <w:name w:val="ListLabel 160"/>
    <w:qFormat/>
    <w:rPr>
      <w:rFonts w:cs="Symbol"/>
    </w:rPr>
  </w:style>
  <w:style w:type="character" w:styleId="ListLabel161">
    <w:name w:val="ListLabel 161"/>
    <w:qFormat/>
    <w:rPr>
      <w:rFonts w:cs="Courier New"/>
    </w:rPr>
  </w:style>
  <w:style w:type="character" w:styleId="ListLabel162">
    <w:name w:val="ListLabel 162"/>
    <w:qFormat/>
    <w:rPr>
      <w:rFonts w:cs="Wingdings"/>
    </w:rPr>
  </w:style>
  <w:style w:type="character" w:styleId="ListLabel163">
    <w:name w:val="ListLabel 163"/>
    <w:qFormat/>
    <w:rPr>
      <w:rFonts w:cs="Symbol"/>
      <w:sz w:val="16"/>
    </w:rPr>
  </w:style>
  <w:style w:type="character" w:styleId="ListLabel164">
    <w:name w:val="ListLabel 164"/>
    <w:qFormat/>
    <w:rPr>
      <w:rFonts w:cs="Courier New"/>
    </w:rPr>
  </w:style>
  <w:style w:type="character" w:styleId="ListLabel165">
    <w:name w:val="ListLabel 165"/>
    <w:qFormat/>
    <w:rPr>
      <w:rFonts w:cs="Wingdings"/>
    </w:rPr>
  </w:style>
  <w:style w:type="character" w:styleId="ListLabel166">
    <w:name w:val="ListLabel 166"/>
    <w:qFormat/>
    <w:rPr>
      <w:rFonts w:cs="Symbol"/>
    </w:rPr>
  </w:style>
  <w:style w:type="character" w:styleId="ListLabel167">
    <w:name w:val="ListLabel 167"/>
    <w:qFormat/>
    <w:rPr>
      <w:rFonts w:cs="Courier New"/>
    </w:rPr>
  </w:style>
  <w:style w:type="character" w:styleId="ListLabel168">
    <w:name w:val="ListLabel 168"/>
    <w:qFormat/>
    <w:rPr>
      <w:rFonts w:cs="Wingdings"/>
    </w:rPr>
  </w:style>
  <w:style w:type="character" w:styleId="ListLabel169">
    <w:name w:val="ListLabel 169"/>
    <w:qFormat/>
    <w:rPr>
      <w:rFonts w:cs="Symbol"/>
    </w:rPr>
  </w:style>
  <w:style w:type="character" w:styleId="ListLabel170">
    <w:name w:val="ListLabel 170"/>
    <w:qFormat/>
    <w:rPr>
      <w:rFonts w:cs="Courier New"/>
    </w:rPr>
  </w:style>
  <w:style w:type="character" w:styleId="ListLabel171">
    <w:name w:val="ListLabel 171"/>
    <w:qFormat/>
    <w:rPr>
      <w:rFonts w:cs="Wingdings"/>
    </w:rPr>
  </w:style>
  <w:style w:type="character" w:styleId="ListLabel172">
    <w:name w:val="ListLabel 172"/>
    <w:qFormat/>
    <w:rPr>
      <w:rFonts w:cs="Symbol"/>
      <w:sz w:val="16"/>
    </w:rPr>
  </w:style>
  <w:style w:type="character" w:styleId="ListLabel173">
    <w:name w:val="ListLabel 173"/>
    <w:qFormat/>
    <w:rPr>
      <w:rFonts w:cs="Courier New"/>
    </w:rPr>
  </w:style>
  <w:style w:type="character" w:styleId="ListLabel174">
    <w:name w:val="ListLabel 174"/>
    <w:qFormat/>
    <w:rPr>
      <w:rFonts w:cs="Wingdings"/>
    </w:rPr>
  </w:style>
  <w:style w:type="character" w:styleId="ListLabel175">
    <w:name w:val="ListLabel 175"/>
    <w:qFormat/>
    <w:rPr>
      <w:rFonts w:cs="Symbol"/>
    </w:rPr>
  </w:style>
  <w:style w:type="character" w:styleId="ListLabel176">
    <w:name w:val="ListLabel 176"/>
    <w:qFormat/>
    <w:rPr>
      <w:rFonts w:cs="Courier New"/>
    </w:rPr>
  </w:style>
  <w:style w:type="character" w:styleId="ListLabel177">
    <w:name w:val="ListLabel 177"/>
    <w:qFormat/>
    <w:rPr>
      <w:rFonts w:cs="Wingdings"/>
    </w:rPr>
  </w:style>
  <w:style w:type="character" w:styleId="ListLabel178">
    <w:name w:val="ListLabel 178"/>
    <w:qFormat/>
    <w:rPr>
      <w:rFonts w:cs="Symbol"/>
    </w:rPr>
  </w:style>
  <w:style w:type="character" w:styleId="ListLabel179">
    <w:name w:val="ListLabel 179"/>
    <w:qFormat/>
    <w:rPr>
      <w:rFonts w:cs="Courier New"/>
    </w:rPr>
  </w:style>
  <w:style w:type="character" w:styleId="ListLabel180">
    <w:name w:val="ListLabel 180"/>
    <w:qFormat/>
    <w:rPr>
      <w:rFonts w:cs="Wingdings"/>
    </w:rPr>
  </w:style>
  <w:style w:type="character" w:styleId="ListLabel181">
    <w:name w:val="ListLabel 181"/>
    <w:qFormat/>
    <w:rPr>
      <w:rFonts w:cs="Arial"/>
      <w:b/>
      <w:bCs/>
      <w:i w:val="false"/>
      <w:iCs w:val="false"/>
      <w:sz w:val="24"/>
      <w:szCs w:val="24"/>
    </w:rPr>
  </w:style>
  <w:style w:type="character" w:styleId="ListLabel182">
    <w:name w:val="ListLabel 182"/>
    <w:qFormat/>
    <w:rPr>
      <w:b/>
      <w:bCs/>
      <w:i w:val="false"/>
      <w:iCs w:val="false"/>
    </w:rPr>
  </w:style>
  <w:style w:type="character" w:styleId="ListLabel183">
    <w:name w:val="ListLabel 183"/>
    <w:qFormat/>
    <w:rPr>
      <w:b w:val="false"/>
      <w:bCs w:val="false"/>
      <w:i w:val="false"/>
      <w:iCs w:val="false"/>
      <w:sz w:val="16"/>
    </w:rPr>
  </w:style>
  <w:style w:type="character" w:styleId="ListLabel184">
    <w:name w:val="ListLabel 184"/>
    <w:qFormat/>
    <w:rPr>
      <w:b w:val="false"/>
      <w:bCs w:val="false"/>
      <w:i w:val="false"/>
      <w:iCs w:val="false"/>
      <w:sz w:val="18"/>
    </w:rPr>
  </w:style>
  <w:style w:type="character" w:styleId="ListLabel185">
    <w:name w:val="ListLabel 185"/>
    <w:qFormat/>
    <w:rPr>
      <w:rFonts w:cs="Symbol"/>
      <w:b/>
      <w:sz w:val="16"/>
    </w:rPr>
  </w:style>
  <w:style w:type="character" w:styleId="ListLabel186">
    <w:name w:val="ListLabel 186"/>
    <w:qFormat/>
    <w:rPr>
      <w:rFonts w:cs="Courier New"/>
    </w:rPr>
  </w:style>
  <w:style w:type="character" w:styleId="ListLabel187">
    <w:name w:val="ListLabel 187"/>
    <w:qFormat/>
    <w:rPr>
      <w:rFonts w:cs="Wingdings"/>
    </w:rPr>
  </w:style>
  <w:style w:type="character" w:styleId="ListLabel188">
    <w:name w:val="ListLabel 188"/>
    <w:qFormat/>
    <w:rPr>
      <w:rFonts w:cs="Symbol"/>
    </w:rPr>
  </w:style>
  <w:style w:type="character" w:styleId="ListLabel189">
    <w:name w:val="ListLabel 189"/>
    <w:qFormat/>
    <w:rPr>
      <w:rFonts w:cs="Courier New"/>
    </w:rPr>
  </w:style>
  <w:style w:type="character" w:styleId="ListLabel190">
    <w:name w:val="ListLabel 190"/>
    <w:qFormat/>
    <w:rPr>
      <w:rFonts w:cs="Wingdings"/>
    </w:rPr>
  </w:style>
  <w:style w:type="character" w:styleId="ListLabel191">
    <w:name w:val="ListLabel 191"/>
    <w:qFormat/>
    <w:rPr>
      <w:rFonts w:cs="Symbol"/>
    </w:rPr>
  </w:style>
  <w:style w:type="character" w:styleId="ListLabel192">
    <w:name w:val="ListLabel 192"/>
    <w:qFormat/>
    <w:rPr>
      <w:rFonts w:cs="Courier New"/>
    </w:rPr>
  </w:style>
  <w:style w:type="character" w:styleId="ListLabel193">
    <w:name w:val="ListLabel 193"/>
    <w:qFormat/>
    <w:rPr>
      <w:rFonts w:cs="Wingdings"/>
    </w:rPr>
  </w:style>
  <w:style w:type="character" w:styleId="ListLabel194">
    <w:name w:val="ListLabel 194"/>
    <w:qFormat/>
    <w:rPr>
      <w:rFonts w:cs="Symbol"/>
      <w:sz w:val="16"/>
    </w:rPr>
  </w:style>
  <w:style w:type="character" w:styleId="ListLabel195">
    <w:name w:val="ListLabel 195"/>
    <w:qFormat/>
    <w:rPr>
      <w:rFonts w:cs="Courier New"/>
    </w:rPr>
  </w:style>
  <w:style w:type="character" w:styleId="ListLabel196">
    <w:name w:val="ListLabel 196"/>
    <w:qFormat/>
    <w:rPr>
      <w:rFonts w:cs="Wingdings"/>
    </w:rPr>
  </w:style>
  <w:style w:type="character" w:styleId="ListLabel197">
    <w:name w:val="ListLabel 197"/>
    <w:qFormat/>
    <w:rPr>
      <w:rFonts w:cs="Symbol"/>
    </w:rPr>
  </w:style>
  <w:style w:type="character" w:styleId="ListLabel198">
    <w:name w:val="ListLabel 198"/>
    <w:qFormat/>
    <w:rPr>
      <w:rFonts w:cs="Courier New"/>
    </w:rPr>
  </w:style>
  <w:style w:type="character" w:styleId="ListLabel199">
    <w:name w:val="ListLabel 199"/>
    <w:qFormat/>
    <w:rPr>
      <w:rFonts w:cs="Wingdings"/>
    </w:rPr>
  </w:style>
  <w:style w:type="character" w:styleId="ListLabel200">
    <w:name w:val="ListLabel 200"/>
    <w:qFormat/>
    <w:rPr>
      <w:rFonts w:cs="Symbol"/>
    </w:rPr>
  </w:style>
  <w:style w:type="character" w:styleId="ListLabel201">
    <w:name w:val="ListLabel 201"/>
    <w:qFormat/>
    <w:rPr>
      <w:rFonts w:cs="Courier New"/>
    </w:rPr>
  </w:style>
  <w:style w:type="character" w:styleId="ListLabel202">
    <w:name w:val="ListLabel 202"/>
    <w:qFormat/>
    <w:rPr>
      <w:rFonts w:cs="Wingdings"/>
    </w:rPr>
  </w:style>
  <w:style w:type="character" w:styleId="ListLabel203">
    <w:name w:val="ListLabel 203"/>
    <w:qFormat/>
    <w:rPr>
      <w:rFonts w:cs="Symbol"/>
      <w:sz w:val="16"/>
    </w:rPr>
  </w:style>
  <w:style w:type="character" w:styleId="ListLabel204">
    <w:name w:val="ListLabel 204"/>
    <w:qFormat/>
    <w:rPr>
      <w:rFonts w:cs="Courier New"/>
    </w:rPr>
  </w:style>
  <w:style w:type="character" w:styleId="ListLabel205">
    <w:name w:val="ListLabel 205"/>
    <w:qFormat/>
    <w:rPr>
      <w:rFonts w:cs="Wingdings"/>
    </w:rPr>
  </w:style>
  <w:style w:type="character" w:styleId="ListLabel206">
    <w:name w:val="ListLabel 206"/>
    <w:qFormat/>
    <w:rPr>
      <w:rFonts w:cs="Symbol"/>
    </w:rPr>
  </w:style>
  <w:style w:type="character" w:styleId="ListLabel207">
    <w:name w:val="ListLabel 207"/>
    <w:qFormat/>
    <w:rPr>
      <w:rFonts w:cs="Courier New"/>
    </w:rPr>
  </w:style>
  <w:style w:type="character" w:styleId="ListLabel208">
    <w:name w:val="ListLabel 208"/>
    <w:qFormat/>
    <w:rPr>
      <w:rFonts w:cs="Wingdings"/>
    </w:rPr>
  </w:style>
  <w:style w:type="character" w:styleId="ListLabel209">
    <w:name w:val="ListLabel 209"/>
    <w:qFormat/>
    <w:rPr>
      <w:rFonts w:cs="Symbol"/>
    </w:rPr>
  </w:style>
  <w:style w:type="character" w:styleId="ListLabel210">
    <w:name w:val="ListLabel 210"/>
    <w:qFormat/>
    <w:rPr>
      <w:rFonts w:cs="Courier New"/>
    </w:rPr>
  </w:style>
  <w:style w:type="character" w:styleId="ListLabel211">
    <w:name w:val="ListLabel 211"/>
    <w:qFormat/>
    <w:rPr>
      <w:rFonts w:cs="Wingdings"/>
    </w:rPr>
  </w:style>
  <w:style w:type="character" w:styleId="ListLabel212">
    <w:name w:val="ListLabel 212"/>
    <w:qFormat/>
    <w:rPr>
      <w:rFonts w:cs="Arial"/>
      <w:b/>
      <w:bCs/>
      <w:i w:val="false"/>
      <w:iCs w:val="false"/>
      <w:sz w:val="24"/>
      <w:szCs w:val="24"/>
    </w:rPr>
  </w:style>
  <w:style w:type="character" w:styleId="ListLabel213">
    <w:name w:val="ListLabel 213"/>
    <w:qFormat/>
    <w:rPr>
      <w:b/>
      <w:bCs/>
      <w:i w:val="false"/>
      <w:iCs w:val="false"/>
    </w:rPr>
  </w:style>
  <w:style w:type="character" w:styleId="ListLabel214">
    <w:name w:val="ListLabel 214"/>
    <w:qFormat/>
    <w:rPr>
      <w:b w:val="false"/>
      <w:bCs w:val="false"/>
      <w:i w:val="false"/>
      <w:iCs w:val="false"/>
      <w:sz w:val="16"/>
    </w:rPr>
  </w:style>
  <w:style w:type="character" w:styleId="ListLabel215">
    <w:name w:val="ListLabel 215"/>
    <w:qFormat/>
    <w:rPr>
      <w:b w:val="false"/>
      <w:bCs w:val="false"/>
      <w:i w:val="false"/>
      <w:iCs w:val="false"/>
      <w:sz w:val="18"/>
    </w:rPr>
  </w:style>
  <w:style w:type="character" w:styleId="ListLabel216">
    <w:name w:val="ListLabel 216"/>
    <w:qFormat/>
    <w:rPr>
      <w:rFonts w:cs="Symbol"/>
      <w:b/>
      <w:sz w:val="16"/>
    </w:rPr>
  </w:style>
  <w:style w:type="character" w:styleId="ListLabel217">
    <w:name w:val="ListLabel 217"/>
    <w:qFormat/>
    <w:rPr>
      <w:rFonts w:cs="Courier New"/>
    </w:rPr>
  </w:style>
  <w:style w:type="character" w:styleId="ListLabel218">
    <w:name w:val="ListLabel 218"/>
    <w:qFormat/>
    <w:rPr>
      <w:rFonts w:cs="Wingdings"/>
    </w:rPr>
  </w:style>
  <w:style w:type="character" w:styleId="ListLabel219">
    <w:name w:val="ListLabel 219"/>
    <w:qFormat/>
    <w:rPr>
      <w:rFonts w:cs="Symbol"/>
    </w:rPr>
  </w:style>
  <w:style w:type="character" w:styleId="ListLabel220">
    <w:name w:val="ListLabel 220"/>
    <w:qFormat/>
    <w:rPr>
      <w:rFonts w:cs="Courier New"/>
    </w:rPr>
  </w:style>
  <w:style w:type="character" w:styleId="ListLabel221">
    <w:name w:val="ListLabel 221"/>
    <w:qFormat/>
    <w:rPr>
      <w:rFonts w:cs="Wingdings"/>
    </w:rPr>
  </w:style>
  <w:style w:type="character" w:styleId="ListLabel222">
    <w:name w:val="ListLabel 222"/>
    <w:qFormat/>
    <w:rPr>
      <w:rFonts w:cs="Symbol"/>
    </w:rPr>
  </w:style>
  <w:style w:type="character" w:styleId="ListLabel223">
    <w:name w:val="ListLabel 223"/>
    <w:qFormat/>
    <w:rPr>
      <w:rFonts w:cs="Courier New"/>
    </w:rPr>
  </w:style>
  <w:style w:type="character" w:styleId="ListLabel224">
    <w:name w:val="ListLabel 224"/>
    <w:qFormat/>
    <w:rPr>
      <w:rFonts w:cs="Wingdings"/>
    </w:rPr>
  </w:style>
  <w:style w:type="character" w:styleId="ListLabel225">
    <w:name w:val="ListLabel 225"/>
    <w:qFormat/>
    <w:rPr>
      <w:rFonts w:cs="Symbol"/>
      <w:sz w:val="16"/>
    </w:rPr>
  </w:style>
  <w:style w:type="character" w:styleId="ListLabel226">
    <w:name w:val="ListLabel 226"/>
    <w:qFormat/>
    <w:rPr>
      <w:rFonts w:cs="Courier New"/>
    </w:rPr>
  </w:style>
  <w:style w:type="character" w:styleId="ListLabel227">
    <w:name w:val="ListLabel 227"/>
    <w:qFormat/>
    <w:rPr>
      <w:rFonts w:cs="Wingdings"/>
    </w:rPr>
  </w:style>
  <w:style w:type="character" w:styleId="ListLabel228">
    <w:name w:val="ListLabel 228"/>
    <w:qFormat/>
    <w:rPr>
      <w:rFonts w:cs="Symbol"/>
    </w:rPr>
  </w:style>
  <w:style w:type="character" w:styleId="ListLabel229">
    <w:name w:val="ListLabel 229"/>
    <w:qFormat/>
    <w:rPr>
      <w:rFonts w:cs="Courier New"/>
    </w:rPr>
  </w:style>
  <w:style w:type="character" w:styleId="ListLabel230">
    <w:name w:val="ListLabel 230"/>
    <w:qFormat/>
    <w:rPr>
      <w:rFonts w:cs="Wingdings"/>
    </w:rPr>
  </w:style>
  <w:style w:type="character" w:styleId="ListLabel231">
    <w:name w:val="ListLabel 231"/>
    <w:qFormat/>
    <w:rPr>
      <w:rFonts w:cs="Symbol"/>
    </w:rPr>
  </w:style>
  <w:style w:type="character" w:styleId="ListLabel232">
    <w:name w:val="ListLabel 232"/>
    <w:qFormat/>
    <w:rPr>
      <w:rFonts w:cs="Courier New"/>
    </w:rPr>
  </w:style>
  <w:style w:type="character" w:styleId="ListLabel233">
    <w:name w:val="ListLabel 233"/>
    <w:qFormat/>
    <w:rPr>
      <w:rFonts w:cs="Wingdings"/>
    </w:rPr>
  </w:style>
  <w:style w:type="character" w:styleId="ListLabel234">
    <w:name w:val="ListLabel 234"/>
    <w:qFormat/>
    <w:rPr>
      <w:rFonts w:cs="Symbol"/>
      <w:sz w:val="16"/>
    </w:rPr>
  </w:style>
  <w:style w:type="character" w:styleId="ListLabel235">
    <w:name w:val="ListLabel 235"/>
    <w:qFormat/>
    <w:rPr>
      <w:rFonts w:cs="Courier New"/>
    </w:rPr>
  </w:style>
  <w:style w:type="character" w:styleId="ListLabel236">
    <w:name w:val="ListLabel 236"/>
    <w:qFormat/>
    <w:rPr>
      <w:rFonts w:cs="Wingdings"/>
    </w:rPr>
  </w:style>
  <w:style w:type="character" w:styleId="ListLabel237">
    <w:name w:val="ListLabel 237"/>
    <w:qFormat/>
    <w:rPr>
      <w:rFonts w:cs="Symbol"/>
    </w:rPr>
  </w:style>
  <w:style w:type="character" w:styleId="ListLabel238">
    <w:name w:val="ListLabel 238"/>
    <w:qFormat/>
    <w:rPr>
      <w:rFonts w:cs="Courier New"/>
    </w:rPr>
  </w:style>
  <w:style w:type="character" w:styleId="ListLabel239">
    <w:name w:val="ListLabel 239"/>
    <w:qFormat/>
    <w:rPr>
      <w:rFonts w:cs="Wingdings"/>
    </w:rPr>
  </w:style>
  <w:style w:type="character" w:styleId="ListLabel240">
    <w:name w:val="ListLabel 240"/>
    <w:qFormat/>
    <w:rPr>
      <w:rFonts w:cs="Symbol"/>
    </w:rPr>
  </w:style>
  <w:style w:type="character" w:styleId="ListLabel241">
    <w:name w:val="ListLabel 241"/>
    <w:qFormat/>
    <w:rPr>
      <w:rFonts w:cs="Courier New"/>
    </w:rPr>
  </w:style>
  <w:style w:type="character" w:styleId="ListLabel242">
    <w:name w:val="ListLabel 242"/>
    <w:qFormat/>
    <w:rPr>
      <w:rFonts w:cs="Wingdings"/>
    </w:rPr>
  </w:style>
  <w:style w:type="character" w:styleId="ListLabel243">
    <w:name w:val="ListLabel 243"/>
    <w:qFormat/>
    <w:rPr>
      <w:rFonts w:cs="Arial"/>
      <w:b/>
      <w:bCs/>
      <w:i w:val="false"/>
      <w:iCs w:val="false"/>
      <w:sz w:val="24"/>
      <w:szCs w:val="24"/>
    </w:rPr>
  </w:style>
  <w:style w:type="character" w:styleId="ListLabel244">
    <w:name w:val="ListLabel 244"/>
    <w:qFormat/>
    <w:rPr>
      <w:b/>
      <w:bCs/>
      <w:i w:val="false"/>
      <w:iCs w:val="false"/>
    </w:rPr>
  </w:style>
  <w:style w:type="character" w:styleId="ListLabel245">
    <w:name w:val="ListLabel 245"/>
    <w:qFormat/>
    <w:rPr>
      <w:b w:val="false"/>
      <w:bCs w:val="false"/>
      <w:i w:val="false"/>
      <w:iCs w:val="false"/>
      <w:sz w:val="16"/>
    </w:rPr>
  </w:style>
  <w:style w:type="character" w:styleId="ListLabel246">
    <w:name w:val="ListLabel 246"/>
    <w:qFormat/>
    <w:rPr>
      <w:b w:val="false"/>
      <w:bCs w:val="false"/>
      <w:i w:val="false"/>
      <w:iCs w:val="false"/>
      <w:sz w:val="18"/>
    </w:rPr>
  </w:style>
  <w:style w:type="character" w:styleId="ListLabel247">
    <w:name w:val="ListLabel 247"/>
    <w:qFormat/>
    <w:rPr>
      <w:rFonts w:cs="Symbol"/>
      <w:b/>
      <w:sz w:val="16"/>
    </w:rPr>
  </w:style>
  <w:style w:type="character" w:styleId="ListLabel248">
    <w:name w:val="ListLabel 248"/>
    <w:qFormat/>
    <w:rPr>
      <w:rFonts w:cs="Courier New"/>
    </w:rPr>
  </w:style>
  <w:style w:type="character" w:styleId="ListLabel249">
    <w:name w:val="ListLabel 249"/>
    <w:qFormat/>
    <w:rPr>
      <w:rFonts w:cs="Wingdings"/>
    </w:rPr>
  </w:style>
  <w:style w:type="character" w:styleId="ListLabel250">
    <w:name w:val="ListLabel 250"/>
    <w:qFormat/>
    <w:rPr>
      <w:rFonts w:cs="Symbol"/>
    </w:rPr>
  </w:style>
  <w:style w:type="character" w:styleId="ListLabel251">
    <w:name w:val="ListLabel 251"/>
    <w:qFormat/>
    <w:rPr>
      <w:rFonts w:cs="Courier New"/>
    </w:rPr>
  </w:style>
  <w:style w:type="character" w:styleId="ListLabel252">
    <w:name w:val="ListLabel 252"/>
    <w:qFormat/>
    <w:rPr>
      <w:rFonts w:cs="Wingdings"/>
    </w:rPr>
  </w:style>
  <w:style w:type="character" w:styleId="ListLabel253">
    <w:name w:val="ListLabel 253"/>
    <w:qFormat/>
    <w:rPr>
      <w:rFonts w:cs="Symbol"/>
    </w:rPr>
  </w:style>
  <w:style w:type="character" w:styleId="ListLabel254">
    <w:name w:val="ListLabel 254"/>
    <w:qFormat/>
    <w:rPr>
      <w:rFonts w:cs="Courier New"/>
    </w:rPr>
  </w:style>
  <w:style w:type="character" w:styleId="ListLabel255">
    <w:name w:val="ListLabel 255"/>
    <w:qFormat/>
    <w:rPr>
      <w:rFonts w:cs="Wingdings"/>
    </w:rPr>
  </w:style>
  <w:style w:type="character" w:styleId="ListLabel256">
    <w:name w:val="ListLabel 256"/>
    <w:qFormat/>
    <w:rPr>
      <w:rFonts w:cs="Symbol"/>
      <w:sz w:val="16"/>
    </w:rPr>
  </w:style>
  <w:style w:type="character" w:styleId="ListLabel257">
    <w:name w:val="ListLabel 257"/>
    <w:qFormat/>
    <w:rPr>
      <w:rFonts w:cs="Courier New"/>
    </w:rPr>
  </w:style>
  <w:style w:type="character" w:styleId="ListLabel258">
    <w:name w:val="ListLabel 258"/>
    <w:qFormat/>
    <w:rPr>
      <w:rFonts w:cs="Wingdings"/>
    </w:rPr>
  </w:style>
  <w:style w:type="character" w:styleId="ListLabel259">
    <w:name w:val="ListLabel 259"/>
    <w:qFormat/>
    <w:rPr>
      <w:rFonts w:cs="Symbol"/>
    </w:rPr>
  </w:style>
  <w:style w:type="character" w:styleId="ListLabel260">
    <w:name w:val="ListLabel 260"/>
    <w:qFormat/>
    <w:rPr>
      <w:rFonts w:cs="Courier New"/>
    </w:rPr>
  </w:style>
  <w:style w:type="character" w:styleId="ListLabel261">
    <w:name w:val="ListLabel 261"/>
    <w:qFormat/>
    <w:rPr>
      <w:rFonts w:cs="Wingdings"/>
    </w:rPr>
  </w:style>
  <w:style w:type="character" w:styleId="ListLabel262">
    <w:name w:val="ListLabel 262"/>
    <w:qFormat/>
    <w:rPr>
      <w:rFonts w:cs="Symbol"/>
    </w:rPr>
  </w:style>
  <w:style w:type="character" w:styleId="ListLabel263">
    <w:name w:val="ListLabel 263"/>
    <w:qFormat/>
    <w:rPr>
      <w:rFonts w:cs="Courier New"/>
    </w:rPr>
  </w:style>
  <w:style w:type="character" w:styleId="ListLabel264">
    <w:name w:val="ListLabel 264"/>
    <w:qFormat/>
    <w:rPr>
      <w:rFonts w:cs="Wingdings"/>
    </w:rPr>
  </w:style>
  <w:style w:type="character" w:styleId="ListLabel265">
    <w:name w:val="ListLabel 265"/>
    <w:qFormat/>
    <w:rPr>
      <w:rFonts w:cs="Symbol"/>
      <w:sz w:val="16"/>
    </w:rPr>
  </w:style>
  <w:style w:type="character" w:styleId="ListLabel266">
    <w:name w:val="ListLabel 266"/>
    <w:qFormat/>
    <w:rPr>
      <w:rFonts w:cs="Courier New"/>
    </w:rPr>
  </w:style>
  <w:style w:type="character" w:styleId="ListLabel267">
    <w:name w:val="ListLabel 267"/>
    <w:qFormat/>
    <w:rPr>
      <w:rFonts w:cs="Wingdings"/>
    </w:rPr>
  </w:style>
  <w:style w:type="character" w:styleId="ListLabel268">
    <w:name w:val="ListLabel 268"/>
    <w:qFormat/>
    <w:rPr>
      <w:rFonts w:cs="Symbol"/>
    </w:rPr>
  </w:style>
  <w:style w:type="character" w:styleId="ListLabel269">
    <w:name w:val="ListLabel 269"/>
    <w:qFormat/>
    <w:rPr>
      <w:rFonts w:cs="Courier New"/>
    </w:rPr>
  </w:style>
  <w:style w:type="character" w:styleId="ListLabel270">
    <w:name w:val="ListLabel 270"/>
    <w:qFormat/>
    <w:rPr>
      <w:rFonts w:cs="Wingdings"/>
    </w:rPr>
  </w:style>
  <w:style w:type="character" w:styleId="ListLabel271">
    <w:name w:val="ListLabel 271"/>
    <w:qFormat/>
    <w:rPr>
      <w:rFonts w:cs="Symbol"/>
    </w:rPr>
  </w:style>
  <w:style w:type="character" w:styleId="ListLabel272">
    <w:name w:val="ListLabel 272"/>
    <w:qFormat/>
    <w:rPr>
      <w:rFonts w:cs="Courier New"/>
    </w:rPr>
  </w:style>
  <w:style w:type="character" w:styleId="ListLabel273">
    <w:name w:val="ListLabel 273"/>
    <w:qFormat/>
    <w:rPr>
      <w:rFonts w:cs="Wingdings"/>
    </w:rPr>
  </w:style>
  <w:style w:type="character" w:styleId="ListLabel274">
    <w:name w:val="ListLabel 274"/>
    <w:qFormat/>
    <w:rPr>
      <w:rFonts w:cs="Arial"/>
      <w:b/>
      <w:bCs/>
      <w:i w:val="false"/>
      <w:iCs w:val="false"/>
      <w:sz w:val="24"/>
      <w:szCs w:val="24"/>
    </w:rPr>
  </w:style>
  <w:style w:type="character" w:styleId="ListLabel275">
    <w:name w:val="ListLabel 275"/>
    <w:qFormat/>
    <w:rPr>
      <w:b/>
      <w:bCs/>
      <w:i w:val="false"/>
      <w:iCs w:val="false"/>
    </w:rPr>
  </w:style>
  <w:style w:type="character" w:styleId="ListLabel276">
    <w:name w:val="ListLabel 276"/>
    <w:qFormat/>
    <w:rPr>
      <w:b w:val="false"/>
      <w:bCs w:val="false"/>
      <w:i w:val="false"/>
      <w:iCs w:val="false"/>
      <w:sz w:val="16"/>
    </w:rPr>
  </w:style>
  <w:style w:type="character" w:styleId="ListLabel277">
    <w:name w:val="ListLabel 277"/>
    <w:qFormat/>
    <w:rPr>
      <w:b w:val="false"/>
      <w:bCs w:val="false"/>
      <w:i w:val="false"/>
      <w:iCs w:val="false"/>
      <w:sz w:val="18"/>
    </w:rPr>
  </w:style>
  <w:style w:type="character" w:styleId="ListLabel278">
    <w:name w:val="ListLabel 278"/>
    <w:qFormat/>
    <w:rPr>
      <w:rFonts w:cs="Symbol"/>
      <w:b/>
      <w:sz w:val="16"/>
    </w:rPr>
  </w:style>
  <w:style w:type="character" w:styleId="ListLabel279">
    <w:name w:val="ListLabel 279"/>
    <w:qFormat/>
    <w:rPr>
      <w:rFonts w:cs="Courier New"/>
    </w:rPr>
  </w:style>
  <w:style w:type="character" w:styleId="ListLabel280">
    <w:name w:val="ListLabel 280"/>
    <w:qFormat/>
    <w:rPr>
      <w:rFonts w:cs="Wingdings"/>
    </w:rPr>
  </w:style>
  <w:style w:type="character" w:styleId="ListLabel281">
    <w:name w:val="ListLabel 281"/>
    <w:qFormat/>
    <w:rPr>
      <w:rFonts w:cs="Symbol"/>
    </w:rPr>
  </w:style>
  <w:style w:type="character" w:styleId="ListLabel282">
    <w:name w:val="ListLabel 282"/>
    <w:qFormat/>
    <w:rPr>
      <w:rFonts w:cs="Courier New"/>
    </w:rPr>
  </w:style>
  <w:style w:type="character" w:styleId="ListLabel283">
    <w:name w:val="ListLabel 283"/>
    <w:qFormat/>
    <w:rPr>
      <w:rFonts w:cs="Wingdings"/>
    </w:rPr>
  </w:style>
  <w:style w:type="character" w:styleId="ListLabel284">
    <w:name w:val="ListLabel 284"/>
    <w:qFormat/>
    <w:rPr>
      <w:rFonts w:cs="Symbol"/>
    </w:rPr>
  </w:style>
  <w:style w:type="character" w:styleId="ListLabel285">
    <w:name w:val="ListLabel 285"/>
    <w:qFormat/>
    <w:rPr>
      <w:rFonts w:cs="Courier New"/>
    </w:rPr>
  </w:style>
  <w:style w:type="character" w:styleId="ListLabel286">
    <w:name w:val="ListLabel 286"/>
    <w:qFormat/>
    <w:rPr>
      <w:rFonts w:cs="Wingdings"/>
    </w:rPr>
  </w:style>
  <w:style w:type="character" w:styleId="ListLabel287">
    <w:name w:val="ListLabel 287"/>
    <w:qFormat/>
    <w:rPr>
      <w:rFonts w:cs="Symbol"/>
      <w:sz w:val="16"/>
    </w:rPr>
  </w:style>
  <w:style w:type="character" w:styleId="ListLabel288">
    <w:name w:val="ListLabel 288"/>
    <w:qFormat/>
    <w:rPr>
      <w:rFonts w:cs="Courier New"/>
    </w:rPr>
  </w:style>
  <w:style w:type="character" w:styleId="ListLabel289">
    <w:name w:val="ListLabel 289"/>
    <w:qFormat/>
    <w:rPr>
      <w:rFonts w:cs="Wingdings"/>
    </w:rPr>
  </w:style>
  <w:style w:type="character" w:styleId="ListLabel290">
    <w:name w:val="ListLabel 290"/>
    <w:qFormat/>
    <w:rPr>
      <w:rFonts w:cs="Symbol"/>
    </w:rPr>
  </w:style>
  <w:style w:type="character" w:styleId="ListLabel291">
    <w:name w:val="ListLabel 291"/>
    <w:qFormat/>
    <w:rPr>
      <w:rFonts w:cs="Courier New"/>
    </w:rPr>
  </w:style>
  <w:style w:type="character" w:styleId="ListLabel292">
    <w:name w:val="ListLabel 292"/>
    <w:qFormat/>
    <w:rPr>
      <w:rFonts w:cs="Wingdings"/>
    </w:rPr>
  </w:style>
  <w:style w:type="character" w:styleId="ListLabel293">
    <w:name w:val="ListLabel 293"/>
    <w:qFormat/>
    <w:rPr>
      <w:rFonts w:cs="Symbol"/>
    </w:rPr>
  </w:style>
  <w:style w:type="character" w:styleId="ListLabel294">
    <w:name w:val="ListLabel 294"/>
    <w:qFormat/>
    <w:rPr>
      <w:rFonts w:cs="Courier New"/>
    </w:rPr>
  </w:style>
  <w:style w:type="character" w:styleId="ListLabel295">
    <w:name w:val="ListLabel 295"/>
    <w:qFormat/>
    <w:rPr>
      <w:rFonts w:cs="Wingdings"/>
    </w:rPr>
  </w:style>
  <w:style w:type="character" w:styleId="ListLabel296">
    <w:name w:val="ListLabel 296"/>
    <w:qFormat/>
    <w:rPr>
      <w:rFonts w:cs="Symbol"/>
      <w:sz w:val="16"/>
    </w:rPr>
  </w:style>
  <w:style w:type="character" w:styleId="ListLabel297">
    <w:name w:val="ListLabel 297"/>
    <w:qFormat/>
    <w:rPr>
      <w:rFonts w:cs="Courier New"/>
    </w:rPr>
  </w:style>
  <w:style w:type="character" w:styleId="ListLabel298">
    <w:name w:val="ListLabel 298"/>
    <w:qFormat/>
    <w:rPr>
      <w:rFonts w:cs="Wingdings"/>
    </w:rPr>
  </w:style>
  <w:style w:type="character" w:styleId="ListLabel299">
    <w:name w:val="ListLabel 299"/>
    <w:qFormat/>
    <w:rPr>
      <w:rFonts w:cs="Symbol"/>
    </w:rPr>
  </w:style>
  <w:style w:type="character" w:styleId="ListLabel300">
    <w:name w:val="ListLabel 300"/>
    <w:qFormat/>
    <w:rPr>
      <w:rFonts w:cs="Courier New"/>
    </w:rPr>
  </w:style>
  <w:style w:type="character" w:styleId="ListLabel301">
    <w:name w:val="ListLabel 301"/>
    <w:qFormat/>
    <w:rPr>
      <w:rFonts w:cs="Wingdings"/>
    </w:rPr>
  </w:style>
  <w:style w:type="character" w:styleId="ListLabel302">
    <w:name w:val="ListLabel 302"/>
    <w:qFormat/>
    <w:rPr>
      <w:rFonts w:cs="Symbol"/>
    </w:rPr>
  </w:style>
  <w:style w:type="character" w:styleId="ListLabel303">
    <w:name w:val="ListLabel 303"/>
    <w:qFormat/>
    <w:rPr>
      <w:rFonts w:cs="Courier New"/>
    </w:rPr>
  </w:style>
  <w:style w:type="character" w:styleId="ListLabel304">
    <w:name w:val="ListLabel 304"/>
    <w:qFormat/>
    <w:rPr>
      <w:rFonts w:cs="Wingdings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rsid w:val="00497323"/>
    <w:pPr>
      <w:spacing w:lineRule="auto" w:line="240" w:before="0" w:after="0"/>
    </w:pPr>
    <w:rPr>
      <w:rFonts w:ascii="Arial" w:hAnsi="Arial" w:cs="Arial"/>
      <w:sz w:val="24"/>
      <w:szCs w:val="24"/>
      <w:lang w:val="de-DE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Tl11ptTuniernaPodaokrajaVavo019cmRiadkova" w:customStyle="1">
    <w:name w:val="Štýl 11 pt Tučné Čierna Podľa okraja Vľavo:  019 cm Riadkova..."/>
    <w:uiPriority w:val="99"/>
    <w:qFormat/>
    <w:rsid w:val="00d71ffb"/>
    <w:pPr>
      <w:widowControl/>
      <w:bidi w:val="0"/>
      <w:spacing w:lineRule="auto" w:line="360"/>
      <w:jc w:val="both"/>
    </w:pPr>
    <w:rPr>
      <w:rFonts w:ascii="Arial" w:hAnsi="Arial" w:eastAsia="Times New Roman" w:cs="Arial"/>
      <w:color w:val="000000"/>
      <w:sz w:val="24"/>
      <w:szCs w:val="24"/>
      <w:lang w:val="sk-SK" w:eastAsia="cs-CZ" w:bidi="ar-SA"/>
    </w:rPr>
  </w:style>
  <w:style w:type="paragraph" w:styleId="TlPodaokrajaVavo019cmRiadkovanie15riadka" w:customStyle="1">
    <w:name w:val="Štýl Podľa okraja Vľavo:  019 cm Riadkovanie:  15 riadka"/>
    <w:basedOn w:val="Normal"/>
    <w:autoRedefine/>
    <w:uiPriority w:val="99"/>
    <w:qFormat/>
    <w:rsid w:val="00d71ffb"/>
    <w:pPr>
      <w:ind w:left="108" w:hanging="0"/>
    </w:pPr>
    <w:rPr/>
  </w:style>
  <w:style w:type="paragraph" w:styleId="Bododvodnenie" w:customStyle="1">
    <w:name w:val="Bod odôvodnenie"/>
    <w:uiPriority w:val="99"/>
    <w:qFormat/>
    <w:rsid w:val="00d440d5"/>
    <w:pPr>
      <w:widowControl/>
      <w:bidi w:val="0"/>
      <w:spacing w:before="120" w:after="120"/>
      <w:jc w:val="left"/>
    </w:pPr>
    <w:rPr>
      <w:rFonts w:ascii="Arial" w:hAnsi="Arial" w:eastAsia="Times New Roman" w:cs="Arial"/>
      <w:b/>
      <w:bCs/>
      <w:color w:val="00000A"/>
      <w:sz w:val="24"/>
      <w:szCs w:val="24"/>
      <w:lang w:val="sk-SK" w:eastAsia="cs-CZ" w:bidi="ar-SA"/>
    </w:rPr>
  </w:style>
  <w:style w:type="paragraph" w:styleId="TlArialPodaokraja" w:customStyle="1">
    <w:name w:val="Štýl Arial Podľa okraja"/>
    <w:autoRedefine/>
    <w:uiPriority w:val="99"/>
    <w:qFormat/>
    <w:rsid w:val="004337d2"/>
    <w:pPr>
      <w:widowControl/>
      <w:bidi w:val="0"/>
      <w:jc w:val="both"/>
    </w:pPr>
    <w:rPr>
      <w:rFonts w:ascii="Arial" w:hAnsi="Arial" w:eastAsia="Times New Roman" w:cs="Arial"/>
      <w:color w:val="00000A"/>
      <w:sz w:val="16"/>
      <w:szCs w:val="16"/>
      <w:lang w:val="sk-SK" w:eastAsia="cs-CZ" w:bidi="ar-SA"/>
    </w:rPr>
  </w:style>
  <w:style w:type="paragraph" w:styleId="Textpoznmky" w:customStyle="1">
    <w:name w:val="Text poznámky"/>
    <w:basedOn w:val="Normal"/>
    <w:autoRedefine/>
    <w:uiPriority w:val="99"/>
    <w:qFormat/>
    <w:rsid w:val="001f67e7"/>
    <w:pPr>
      <w:spacing w:lineRule="auto" w:line="240"/>
    </w:pPr>
    <w:rPr/>
  </w:style>
  <w:style w:type="paragraph" w:styleId="Pta">
    <w:name w:val="Footer"/>
    <w:basedOn w:val="Normal"/>
    <w:link w:val="PtaChar"/>
    <w:uiPriority w:val="99"/>
    <w:rsid w:val="0072048d"/>
    <w:pPr>
      <w:tabs>
        <w:tab w:val="center" w:pos="4536" w:leader="none"/>
        <w:tab w:val="right" w:pos="9072" w:leader="none"/>
      </w:tabs>
    </w:pPr>
    <w:rPr>
      <w:rFonts w:ascii="Arial" w:hAnsi="Arial" w:cs="Arial"/>
      <w:sz w:val="24"/>
      <w:szCs w:val="24"/>
    </w:rPr>
  </w:style>
  <w:style w:type="paragraph" w:styleId="Normlny1" w:customStyle="1">
    <w:name w:val="Normálny1"/>
    <w:uiPriority w:val="99"/>
    <w:qFormat/>
    <w:rsid w:val="00a40be6"/>
    <w:pPr>
      <w:widowControl/>
      <w:bidi w:val="0"/>
      <w:spacing w:lineRule="auto" w:line="360" w:before="120" w:after="120"/>
      <w:ind w:firstLine="709"/>
      <w:jc w:val="both"/>
    </w:pPr>
    <w:rPr>
      <w:rFonts w:ascii="Arial" w:hAnsi="Arial" w:eastAsia="Times New Roman" w:cs="Arial"/>
      <w:color w:val="00000A"/>
      <w:sz w:val="24"/>
      <w:szCs w:val="24"/>
      <w:lang w:val="sk-SK" w:eastAsia="cs-CZ" w:bidi="ar-SA"/>
    </w:rPr>
  </w:style>
  <w:style w:type="paragraph" w:styleId="Textopatrenia" w:customStyle="1">
    <w:name w:val="Text opatrenia"/>
    <w:uiPriority w:val="99"/>
    <w:qFormat/>
    <w:rsid w:val="00503a66"/>
    <w:pPr>
      <w:widowControl/>
      <w:bidi w:val="0"/>
      <w:spacing w:before="120" w:after="120"/>
      <w:jc w:val="both"/>
    </w:pPr>
    <w:rPr>
      <w:rFonts w:ascii="Arial Narrow" w:hAnsi="Arial Narrow" w:eastAsia="Times New Roman" w:cs="Arial Narrow"/>
      <w:color w:val="00000A"/>
      <w:sz w:val="20"/>
      <w:szCs w:val="22"/>
      <w:lang w:val="sk-SK" w:eastAsia="cs-CZ" w:bidi="ar-SA"/>
    </w:rPr>
  </w:style>
  <w:style w:type="paragraph" w:styleId="TopHeader" w:customStyle="1">
    <w:name w:val="Top Header"/>
    <w:basedOn w:val="Normal"/>
    <w:uiPriority w:val="99"/>
    <w:qFormat/>
    <w:rsid w:val="00322d87"/>
    <w:pPr>
      <w:spacing w:lineRule="auto" w:line="240" w:before="0" w:after="0"/>
      <w:jc w:val="center"/>
    </w:pPr>
    <w:rPr>
      <w:b/>
      <w:bCs/>
      <w:sz w:val="22"/>
      <w:szCs w:val="22"/>
      <w:lang w:eastAsia="en-US"/>
    </w:rPr>
  </w:style>
  <w:style w:type="paragraph" w:styleId="ListParagraph">
    <w:name w:val="List Paragraph"/>
    <w:basedOn w:val="Normal"/>
    <w:uiPriority w:val="99"/>
    <w:qFormat/>
    <w:rsid w:val="00497323"/>
    <w:pPr>
      <w:ind w:left="708" w:hanging="0"/>
    </w:pPr>
    <w:rPr/>
  </w:style>
  <w:style w:type="paragraph" w:styleId="Hlavika">
    <w:name w:val="Header"/>
    <w:basedOn w:val="Normal"/>
    <w:link w:val="HlavikaChar"/>
    <w:uiPriority w:val="99"/>
    <w:rsid w:val="00804636"/>
    <w:pPr>
      <w:tabs>
        <w:tab w:val="center" w:pos="4536" w:leader="none"/>
        <w:tab w:val="right" w:pos="9072" w:leader="none"/>
      </w:tabs>
    </w:pPr>
    <w:rPr/>
  </w:style>
  <w:style w:type="paragraph" w:styleId="BalloonText">
    <w:name w:val="Balloon Text"/>
    <w:basedOn w:val="Normal"/>
    <w:link w:val="TextbublinyChar"/>
    <w:uiPriority w:val="99"/>
    <w:semiHidden/>
    <w:qFormat/>
    <w:rsid w:val="001058f5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qFormat/>
    <w:rsid w:val="0049724f"/>
    <w:pPr>
      <w:spacing w:lineRule="auto" w:line="240" w:beforeAutospacing="1" w:afterAutospacing="1"/>
      <w:jc w:val="left"/>
    </w:pPr>
    <w:rPr>
      <w:sz w:val="24"/>
      <w:szCs w:val="24"/>
      <w:lang w:eastAsia="sk-SK"/>
    </w:rPr>
  </w:style>
  <w:style w:type="paragraph" w:styleId="Obsahtabuky">
    <w:name w:val="Obsah tabuľky"/>
    <w:basedOn w:val="Normal"/>
    <w:qFormat/>
    <w:pPr/>
    <w:rPr/>
  </w:style>
  <w:style w:type="paragraph" w:styleId="Nadpistabuky">
    <w:name w:val="Nadpis tabuľky"/>
    <w:basedOn w:val="Obsahtabuky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99"/>
    <w:rsid w:val="00db1285"/>
    <w:rPr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oter" Target="footer1.xm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Application>LibreOffice/5.3.3.2$Windows_X86_64 LibreOffice_project/3d9a8b4b4e538a85e0782bd6c2d430bafe583448</Application>
  <Pages>12</Pages>
  <Words>3516</Words>
  <Characters>20992</Characters>
  <CharactersWithSpaces>24014</CharactersWithSpaces>
  <Paragraphs>1071</Paragraphs>
  <Company>MF-SR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2018-03-12T10:24:00Z</dcterms:created>
  <dc:creator>Vlaďka</dc:creator>
  <dc:description/>
  <dc:language>sk-SK</dc:language>
  <cp:lastModifiedBy/>
  <cp:lastPrinted>2017-03-15T10:39:00Z</cp:lastPrinted>
  <dcterms:modified xsi:type="dcterms:W3CDTF">2022-02-14T13:26:56Z</dcterms:modified>
  <cp:revision>8</cp:revision>
  <dc:subject/>
  <dc:title>Príloha č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MF-SR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