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W w:w="10157" w:type="dxa"/>
        <w:jc w:val="left"/>
        <w:tblInd w:w="-14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6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2961"/>
        <w:gridCol w:w="2567"/>
        <w:gridCol w:w="339"/>
        <w:gridCol w:w="340"/>
        <w:gridCol w:w="341"/>
        <w:gridCol w:w="339"/>
        <w:gridCol w:w="339"/>
        <w:gridCol w:w="340"/>
        <w:gridCol w:w="341"/>
        <w:gridCol w:w="339"/>
        <w:gridCol w:w="567"/>
        <w:gridCol w:w="335"/>
        <w:gridCol w:w="335"/>
        <w:gridCol w:w="335"/>
        <w:gridCol w:w="339"/>
      </w:tblGrid>
      <w:tr>
        <w:trPr/>
        <w:tc>
          <w:tcPr>
            <w:tcW w:w="2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60" w:after="60"/>
              <w:jc w:val="left"/>
              <w:outlineLvl w:val="2"/>
              <w:rPr>
                <w:b/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  <w:lang w:eastAsia="sk-SK"/>
              </w:rPr>
              <w:t>Poznámky (Úč  NUJ 3 – 01)</w:t>
            </w:r>
          </w:p>
        </w:tc>
        <w:tc>
          <w:tcPr>
            <w:tcW w:w="2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60" w:after="60"/>
              <w:jc w:val="left"/>
              <w:outlineLvl w:val="2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IČO </w:t>
            </w:r>
          </w:p>
        </w:tc>
        <w:tc>
          <w:tcPr>
            <w:tcW w:w="3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60" w:after="60"/>
              <w:jc w:val="center"/>
              <w:outlineLvl w:val="2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60" w:after="60"/>
              <w:jc w:val="center"/>
              <w:outlineLvl w:val="2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60" w:after="60"/>
              <w:jc w:val="center"/>
              <w:outlineLvl w:val="2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60" w:after="60"/>
              <w:jc w:val="center"/>
              <w:outlineLvl w:val="2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60" w:after="60"/>
              <w:jc w:val="center"/>
              <w:outlineLvl w:val="2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60" w:after="60"/>
              <w:jc w:val="center"/>
              <w:outlineLvl w:val="2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60" w:after="60"/>
              <w:jc w:val="center"/>
              <w:outlineLvl w:val="2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3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60" w:after="60"/>
              <w:jc w:val="center"/>
              <w:outlineLvl w:val="2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60" w:after="60"/>
              <w:jc w:val="center"/>
              <w:outlineLvl w:val="2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/SID</w:t>
            </w:r>
          </w:p>
        </w:tc>
        <w:tc>
          <w:tcPr>
            <w:tcW w:w="3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60" w:after="60"/>
              <w:jc w:val="center"/>
              <w:outlineLvl w:val="2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tcW w:w="3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60" w:after="60"/>
              <w:jc w:val="center"/>
              <w:outlineLvl w:val="2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tcW w:w="3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60" w:after="60"/>
              <w:jc w:val="center"/>
              <w:outlineLvl w:val="2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tcW w:w="3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60" w:after="60"/>
              <w:jc w:val="center"/>
              <w:outlineLvl w:val="2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</w:p>
        </w:tc>
      </w:tr>
    </w:tbl>
    <w:p>
      <w:pPr>
        <w:pStyle w:val="Normal"/>
        <w:keepNext/>
        <w:numPr>
          <w:ilvl w:val="0"/>
          <w:numId w:val="0"/>
        </w:numPr>
        <w:spacing w:lineRule="auto" w:line="240" w:before="0" w:after="0"/>
        <w:jc w:val="center"/>
        <w:outlineLvl w:val="2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Normal"/>
        <w:keepNext/>
        <w:numPr>
          <w:ilvl w:val="0"/>
          <w:numId w:val="0"/>
        </w:numPr>
        <w:spacing w:lineRule="auto" w:line="240" w:before="0" w:after="0"/>
        <w:jc w:val="center"/>
        <w:outlineLvl w:val="2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Normal"/>
        <w:keepNext/>
        <w:numPr>
          <w:ilvl w:val="0"/>
          <w:numId w:val="0"/>
        </w:numPr>
        <w:spacing w:lineRule="auto" w:line="240" w:before="0" w:after="0"/>
        <w:jc w:val="center"/>
        <w:outlineLvl w:val="2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Čl. I.</w:t>
      </w:r>
    </w:p>
    <w:p>
      <w:pPr>
        <w:pStyle w:val="Normal"/>
        <w:keepNext/>
        <w:numPr>
          <w:ilvl w:val="0"/>
          <w:numId w:val="0"/>
        </w:numPr>
        <w:spacing w:lineRule="auto" w:line="240" w:before="0" w:after="200"/>
        <w:jc w:val="center"/>
        <w:outlineLvl w:val="1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Všeobecné údaje</w:t>
      </w:r>
    </w:p>
    <w:p>
      <w:pPr>
        <w:pStyle w:val="Normal"/>
        <w:numPr>
          <w:ilvl w:val="0"/>
          <w:numId w:val="2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Údaje o zakladateľovi alebo zriaďovateľovi účtovnej jednotky:</w:t>
      </w:r>
    </w:p>
    <w:tbl>
      <w:tblPr>
        <w:tblW w:w="9834" w:type="dxa"/>
        <w:jc w:val="left"/>
        <w:tblInd w:w="-14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6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2866"/>
        <w:gridCol w:w="6967"/>
      </w:tblGrid>
      <w:tr>
        <w:trPr>
          <w:trHeight w:val="284" w:hRule="atLeast"/>
        </w:trPr>
        <w:tc>
          <w:tcPr>
            <w:tcW w:w="286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Údaje o zakladateľovi alebo zriaďovateľovi účtovnej jednotky:</w:t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 a priezvisko fyzickej osoby alebo názov právnickej osoby, ktorá je zakladateľom alebo zriaďovateľom účtovnej jednotky</w:t>
            </w:r>
          </w:p>
        </w:tc>
      </w:tr>
      <w:tr>
        <w:trPr>
          <w:trHeight w:val="284" w:hRule="atLeast"/>
        </w:trPr>
        <w:tc>
          <w:tcPr>
            <w:tcW w:w="2866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Združenie na pomoc ľuďom s mentálnym postihnutím v Slovenskej republike</w:t>
            </w:r>
          </w:p>
        </w:tc>
      </w:tr>
      <w:tr>
        <w:trPr>
          <w:trHeight w:val="284" w:hRule="atLeast"/>
        </w:trPr>
        <w:tc>
          <w:tcPr>
            <w:tcW w:w="2866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2866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</w:tr>
      <w:tr>
        <w:trPr>
          <w:trHeight w:val="178" w:hRule="atLeast"/>
        </w:trPr>
        <w:tc>
          <w:tcPr>
            <w:tcW w:w="28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Dátum</w:t>
            </w:r>
            <w:r>
              <w:rPr>
                <w:sz w:val="16"/>
                <w:szCs w:val="16"/>
              </w:rPr>
              <w:t xml:space="preserve"> založenia alebo zriadenia účtovnej jednotky</w:t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27.04.1990</w:t>
            </w:r>
          </w:p>
        </w:tc>
      </w:tr>
    </w:tbl>
    <w:p>
      <w:pPr>
        <w:pStyle w:val="Normal"/>
        <w:spacing w:lineRule="auto" w:line="240" w:before="0" w:after="0"/>
        <w:ind w:left="360" w:hanging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2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Informácie o členoch štatutárnych orgánov, dozorných orgánov  a iných orgánov účtovnej jednotky; uvádzajú sa mená a priezviská členov štatutárnych orgánov, dozorných orgánov a iných orgánov účtovnej jednotky.</w:t>
      </w:r>
    </w:p>
    <w:tbl>
      <w:tblPr>
        <w:tblW w:w="9802" w:type="dxa"/>
        <w:jc w:val="right"/>
        <w:tblInd w:w="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6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2834"/>
        <w:gridCol w:w="6967"/>
      </w:tblGrid>
      <w:tr>
        <w:trPr>
          <w:trHeight w:val="284" w:hRule="atLeast"/>
        </w:trPr>
        <w:tc>
          <w:tcPr>
            <w:tcW w:w="283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Štatutárne orgány:</w:t>
            </w:r>
          </w:p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(Štatutár, správna rada, predsedníctvo)</w:t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PhDr. Iveta Mišová, štatutárny orgán</w:t>
            </w:r>
          </w:p>
        </w:tc>
      </w:tr>
      <w:tr>
        <w:trPr>
          <w:trHeight w:val="284" w:hRule="atLeast"/>
        </w:trPr>
        <w:tc>
          <w:tcPr>
            <w:tcW w:w="2834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PhDr. Stefi Nováková, predsedníčka</w:t>
            </w:r>
          </w:p>
        </w:tc>
      </w:tr>
      <w:tr>
        <w:trPr>
          <w:trHeight w:val="284" w:hRule="atLeast"/>
        </w:trPr>
        <w:tc>
          <w:tcPr>
            <w:tcW w:w="2834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JUDr. Zuzana Stavrovská, podpredsedníčka</w:t>
            </w:r>
          </w:p>
        </w:tc>
      </w:tr>
      <w:tr>
        <w:trPr>
          <w:trHeight w:val="284" w:hRule="atLeast"/>
        </w:trPr>
        <w:tc>
          <w:tcPr>
            <w:tcW w:w="2834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Mgr. Ľubica Vyberalová, podpredsedníčka</w:t>
            </w:r>
          </w:p>
        </w:tc>
      </w:tr>
      <w:tr>
        <w:trPr>
          <w:trHeight w:val="284" w:hRule="atLeast"/>
        </w:trPr>
        <w:tc>
          <w:tcPr>
            <w:tcW w:w="2834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PhDr. Eva Števková, členka predsedníctva</w:t>
            </w:r>
          </w:p>
        </w:tc>
      </w:tr>
      <w:tr>
        <w:trPr>
          <w:trHeight w:val="284" w:hRule="atLeast"/>
        </w:trPr>
        <w:tc>
          <w:tcPr>
            <w:tcW w:w="2834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Ing.Dagmar Blažeková, členka predsedníctva</w:t>
            </w:r>
          </w:p>
        </w:tc>
      </w:tr>
      <w:tr>
        <w:trPr>
          <w:trHeight w:val="284" w:hRule="atLeast"/>
        </w:trPr>
        <w:tc>
          <w:tcPr>
            <w:tcW w:w="2834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JUDr. Et Bc. Maroš Matiaško, LL.M., člen predsedníctva</w:t>
            </w:r>
          </w:p>
        </w:tc>
      </w:tr>
      <w:tr>
        <w:trPr>
          <w:trHeight w:val="284" w:hRule="atLeast"/>
        </w:trPr>
        <w:tc>
          <w:tcPr>
            <w:tcW w:w="2834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Ing. Dušan Fabián, člen predsedníctva</w:t>
            </w:r>
          </w:p>
        </w:tc>
      </w:tr>
      <w:tr>
        <w:trPr>
          <w:trHeight w:val="284" w:hRule="atLeast"/>
        </w:trPr>
        <w:tc>
          <w:tcPr>
            <w:tcW w:w="2834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Agnes Cséfalvay, členka  predsedníctva</w:t>
            </w:r>
          </w:p>
        </w:tc>
      </w:tr>
      <w:tr>
        <w:trPr>
          <w:trHeight w:val="284" w:hRule="atLeast"/>
        </w:trPr>
        <w:tc>
          <w:tcPr>
            <w:tcW w:w="2834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Richard Drahovský, člen predsedníctva</w:t>
            </w:r>
          </w:p>
        </w:tc>
      </w:tr>
      <w:tr>
        <w:trPr>
          <w:trHeight w:val="284" w:hRule="atLeast"/>
        </w:trPr>
        <w:tc>
          <w:tcPr>
            <w:tcW w:w="283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Dozorný orgán:</w:t>
            </w:r>
          </w:p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(Dozorná rada, revízor)</w:t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Ing. Iveta Hlavenková , predsedníčka revíznej komisie</w:t>
            </w:r>
          </w:p>
        </w:tc>
      </w:tr>
      <w:tr>
        <w:trPr>
          <w:trHeight w:val="284" w:hRule="atLeast"/>
        </w:trPr>
        <w:tc>
          <w:tcPr>
            <w:tcW w:w="2834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Mgr. Ladislav Krajčovič,  člen</w:t>
            </w:r>
            <w:bookmarkStart w:id="0" w:name="_GoBack"/>
            <w:bookmarkEnd w:id="0"/>
            <w:r>
              <w:rPr>
                <w:sz w:val="16"/>
                <w:szCs w:val="16"/>
              </w:rPr>
              <w:t xml:space="preserve"> revíznej komisie</w:t>
            </w:r>
          </w:p>
        </w:tc>
      </w:tr>
      <w:tr>
        <w:trPr>
          <w:trHeight w:val="284" w:hRule="atLeast"/>
        </w:trPr>
        <w:tc>
          <w:tcPr>
            <w:tcW w:w="2834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Mária Csontosová, členka revíznej komisie</w:t>
            </w:r>
          </w:p>
        </w:tc>
      </w:tr>
    </w:tbl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2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Opis činnosti, na účel ktorej bola účtovná jednotka zriadená a opis druhu podnikateľskej činnosti, ak ju účtovná jednotka vykonáva.</w:t>
      </w:r>
    </w:p>
    <w:tbl>
      <w:tblPr>
        <w:tblW w:w="9802" w:type="dxa"/>
        <w:jc w:val="right"/>
        <w:tblInd w:w="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6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2834"/>
        <w:gridCol w:w="6967"/>
      </w:tblGrid>
      <w:tr>
        <w:trPr>
          <w:trHeight w:val="284" w:hRule="atLeast"/>
        </w:trPr>
        <w:tc>
          <w:tcPr>
            <w:tcW w:w="283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Hlavná činnosť:</w:t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Vykonávanie prevencie a poskytovanie sociálneho poradenstva</w:t>
            </w:r>
          </w:p>
        </w:tc>
      </w:tr>
      <w:tr>
        <w:trPr>
          <w:trHeight w:val="284" w:hRule="atLeast"/>
        </w:trPr>
        <w:tc>
          <w:tcPr>
            <w:tcW w:w="2834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Obhajoba práv a záujmov ľudí s mentálnym postihnutím</w:t>
            </w:r>
          </w:p>
        </w:tc>
      </w:tr>
      <w:tr>
        <w:trPr>
          <w:trHeight w:val="284" w:hRule="atLeast"/>
        </w:trPr>
        <w:tc>
          <w:tcPr>
            <w:tcW w:w="2834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Vzdelávacie aktivity, publikačná činnosť</w:t>
            </w:r>
          </w:p>
        </w:tc>
      </w:tr>
      <w:tr>
        <w:trPr>
          <w:trHeight w:val="284" w:hRule="atLeast"/>
        </w:trPr>
        <w:tc>
          <w:tcPr>
            <w:tcW w:w="2834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Voľnočasové aktivity, pobyty</w:t>
            </w:r>
          </w:p>
        </w:tc>
      </w:tr>
      <w:tr>
        <w:trPr>
          <w:trHeight w:val="284" w:hRule="atLeast"/>
        </w:trPr>
        <w:tc>
          <w:tcPr>
            <w:tcW w:w="2834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sz w:val="16"/>
                <w:szCs w:val="16"/>
              </w:rPr>
              <w:t>Inovatívne a modelové projekty Rehabillitačné stredisko</w:t>
            </w:r>
          </w:p>
        </w:tc>
      </w:tr>
      <w:tr>
        <w:trPr>
          <w:trHeight w:val="284" w:hRule="atLeast"/>
        </w:trPr>
        <w:tc>
          <w:tcPr>
            <w:tcW w:w="283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Podnikateľská činnosť:</w:t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Sociálny intergr. podnik</w:t>
            </w:r>
          </w:p>
        </w:tc>
      </w:tr>
      <w:tr>
        <w:trPr>
          <w:trHeight w:val="284" w:hRule="atLeast"/>
        </w:trPr>
        <w:tc>
          <w:tcPr>
            <w:tcW w:w="2834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2834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</w:tbl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2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 xml:space="preserve">erný prepočítaný počet zamestnancov, a z toho počet vedúcich zamestnancov účtovnej jednotky za účtovné obdobie, za ktoré sa zostavuje účtovná závierka (ďalej len „bežné účtovné obdobie“) a za bezprostredne predchádzajúce účtovné obdobie. Počet dobrovoľníkov vyslaných účtovnou jednotkou a počet dobrovoľníkov, ktorí vykonávali dobrovoľnícku činnosť pre účtovnú jednotku počas účtovného obdobia. </w:t>
      </w:r>
    </w:p>
    <w:p>
      <w:pPr>
        <w:pStyle w:val="Normal"/>
        <w:spacing w:lineRule="auto" w:line="240" w:before="0" w:after="120"/>
        <w:ind w:firstLine="360"/>
        <w:rPr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Tabuľka k čl. I ods. 4  o počte zamestnancov a dobrovoľníkov:</w:t>
      </w:r>
    </w:p>
    <w:tbl>
      <w:tblPr>
        <w:tblW w:w="4800" w:type="pct"/>
        <w:jc w:val="left"/>
        <w:tblInd w:w="-14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6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4529"/>
        <w:gridCol w:w="2525"/>
        <w:gridCol w:w="2524"/>
      </w:tblGrid>
      <w:tr>
        <w:trPr>
          <w:trHeight w:val="284" w:hRule="atLeast"/>
        </w:trPr>
        <w:tc>
          <w:tcPr>
            <w:tcW w:w="45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</w:tcPr>
          <w:p>
            <w:pPr>
              <w:pStyle w:val="Textopatrenia"/>
              <w:numPr>
                <w:ilvl w:val="0"/>
                <w:numId w:val="0"/>
              </w:numPr>
              <w:spacing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25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5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Bezprostredne predchádzajúce účtovné obdobie</w:t>
            </w:r>
          </w:p>
        </w:tc>
      </w:tr>
      <w:tr>
        <w:trPr>
          <w:trHeight w:val="284" w:hRule="atLeast"/>
        </w:trPr>
        <w:tc>
          <w:tcPr>
            <w:tcW w:w="45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Priemerný prepočítaný počet zamestnancov</w:t>
            </w:r>
          </w:p>
        </w:tc>
        <w:tc>
          <w:tcPr>
            <w:tcW w:w="25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/>
            </w:pPr>
            <w:r>
              <w:rPr>
                <w:sz w:val="16"/>
                <w:szCs w:val="16"/>
              </w:rPr>
              <w:t>31</w:t>
            </w:r>
          </w:p>
        </w:tc>
        <w:tc>
          <w:tcPr>
            <w:tcW w:w="25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</w:t>
            </w:r>
          </w:p>
        </w:tc>
      </w:tr>
      <w:tr>
        <w:trPr>
          <w:trHeight w:val="284" w:hRule="atLeast"/>
        </w:trPr>
        <w:tc>
          <w:tcPr>
            <w:tcW w:w="45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 toho  počet vedúcich zamestnancov</w:t>
            </w:r>
          </w:p>
        </w:tc>
        <w:tc>
          <w:tcPr>
            <w:tcW w:w="25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5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</w:tr>
      <w:tr>
        <w:trPr>
          <w:trHeight w:val="284" w:hRule="atLeast"/>
        </w:trPr>
        <w:tc>
          <w:tcPr>
            <w:tcW w:w="45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Počet dobrovoľníkov vyslaných účtovnou jednotkou </w:t>
            </w:r>
          </w:p>
        </w:tc>
        <w:tc>
          <w:tcPr>
            <w:tcW w:w="25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25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45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5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25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</w:tbl>
    <w:p>
      <w:pPr>
        <w:pStyle w:val="Normal"/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2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Informácia o organizáciách v zriaďovateľskej pôsobnosti účtovnej jednotky.</w:t>
      </w:r>
    </w:p>
    <w:p>
      <w:pPr>
        <w:pStyle w:val="Normal"/>
        <w:numPr>
          <w:ilvl w:val="0"/>
          <w:numId w:val="2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 xml:space="preserve">Údaje podľa čl. I, III a IV  sa uvádzajú v textovej podobe a tabuľkovej podobe. </w:t>
      </w:r>
    </w:p>
    <w:p>
      <w:pPr>
        <w:pStyle w:val="Normal"/>
        <w:keepNext/>
        <w:numPr>
          <w:ilvl w:val="0"/>
          <w:numId w:val="0"/>
        </w:numPr>
        <w:spacing w:lineRule="auto" w:line="240" w:before="0" w:after="0"/>
        <w:jc w:val="center"/>
        <w:outlineLvl w:val="0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Čl. II</w:t>
      </w:r>
    </w:p>
    <w:p>
      <w:pPr>
        <w:pStyle w:val="Normal"/>
        <w:keepNext/>
        <w:numPr>
          <w:ilvl w:val="0"/>
          <w:numId w:val="0"/>
        </w:numPr>
        <w:spacing w:lineRule="auto" w:line="240" w:before="0" w:after="200"/>
        <w:jc w:val="center"/>
        <w:outlineLvl w:val="1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Informácie o účtovných zásadách a účtovných metódach</w:t>
      </w:r>
    </w:p>
    <w:p>
      <w:pPr>
        <w:pStyle w:val="Normal"/>
        <w:numPr>
          <w:ilvl w:val="0"/>
          <w:numId w:val="3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Informácia, či je účtovná závierka zostavená za splnenia predpokladu, že účtovná jednotka bude nepretržite pokračovať vo svojej činnosti.</w:t>
      </w:r>
    </w:p>
    <w:p>
      <w:pPr>
        <w:pStyle w:val="Normal"/>
        <w:spacing w:lineRule="auto" w:line="240" w:before="0" w:after="120"/>
        <w:ind w:left="360" w:hanging="0"/>
        <w:rPr>
          <w:sz w:val="18"/>
          <w:szCs w:val="18"/>
        </w:rPr>
      </w:pPr>
      <w:r>
        <w:rPr>
          <w:sz w:val="18"/>
          <w:szCs w:val="18"/>
          <w:bdr w:val="single" w:sz="4" w:space="0" w:color="00000A"/>
        </w:rPr>
        <w:t>ÁNO</w:t>
        <w:tab/>
      </w:r>
      <w:r>
        <w:rPr>
          <w:sz w:val="18"/>
          <w:szCs w:val="18"/>
        </w:rPr>
        <w:tab/>
        <w:t xml:space="preserve"> </w:t>
      </w:r>
    </w:p>
    <w:p>
      <w:pPr>
        <w:pStyle w:val="Normal"/>
        <w:numPr>
          <w:ilvl w:val="0"/>
          <w:numId w:val="3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Zmeny účtovných zásad a zmeny účtovných metód s uvedením dôvodu týchto zmien a vyčíslením ich vplyvu na finančnú hodnotu majetku, záväzkov, základného imania a výsledku hospodárenia účtovnej jednotky.</w:t>
      </w:r>
    </w:p>
    <w:tbl>
      <w:tblPr>
        <w:tblW w:w="4800" w:type="pct"/>
        <w:jc w:val="left"/>
        <w:tblInd w:w="-10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3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3193"/>
        <w:gridCol w:w="3193"/>
        <w:gridCol w:w="3192"/>
      </w:tblGrid>
      <w:tr>
        <w:trPr>
          <w:trHeight w:val="284" w:hRule="atLeast"/>
        </w:trPr>
        <w:tc>
          <w:tcPr>
            <w:tcW w:w="31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0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b/>
                <w:b/>
                <w:bCs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b/>
                <w:bCs/>
                <w:sz w:val="16"/>
                <w:szCs w:val="16"/>
                <w:lang w:val="sk-SK"/>
              </w:rPr>
              <w:t>Druh zmeny</w:t>
            </w:r>
          </w:p>
        </w:tc>
        <w:tc>
          <w:tcPr>
            <w:tcW w:w="31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0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b/>
                <w:b/>
                <w:bCs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b/>
                <w:bCs/>
                <w:sz w:val="16"/>
                <w:szCs w:val="16"/>
                <w:lang w:val="sk-SK"/>
              </w:rPr>
              <w:t>Dôvod</w:t>
            </w:r>
          </w:p>
        </w:tc>
        <w:tc>
          <w:tcPr>
            <w:tcW w:w="31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0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b/>
                <w:b/>
                <w:bCs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b/>
                <w:bCs/>
                <w:sz w:val="16"/>
                <w:szCs w:val="16"/>
                <w:lang w:val="sk-SK"/>
              </w:rPr>
              <w:t>Vplyv na hodnotu majetku, záväzkov, základného imania a výsledku hospodárenia</w:t>
            </w:r>
          </w:p>
        </w:tc>
      </w:tr>
      <w:tr>
        <w:trPr>
          <w:trHeight w:val="284" w:hRule="atLeast"/>
        </w:trPr>
        <w:tc>
          <w:tcPr>
            <w:tcW w:w="31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0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sz w:val="16"/>
                <w:szCs w:val="16"/>
                <w:lang w:val="sk-SK"/>
              </w:rPr>
            </w:r>
          </w:p>
        </w:tc>
        <w:tc>
          <w:tcPr>
            <w:tcW w:w="31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0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sz w:val="16"/>
                <w:szCs w:val="16"/>
                <w:lang w:val="sk-SK"/>
              </w:rPr>
            </w:r>
          </w:p>
        </w:tc>
        <w:tc>
          <w:tcPr>
            <w:tcW w:w="31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0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sz w:val="16"/>
                <w:szCs w:val="16"/>
                <w:lang w:val="sk-SK"/>
              </w:rPr>
            </w:r>
          </w:p>
        </w:tc>
      </w:tr>
    </w:tbl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3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Spôsob oceňovania jednotlivých položiek majetku a záväzkov v členení na</w:t>
      </w:r>
    </w:p>
    <w:tbl>
      <w:tblPr>
        <w:tblW w:w="9802" w:type="dxa"/>
        <w:jc w:val="right"/>
        <w:tblInd w:w="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6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6294"/>
        <w:gridCol w:w="3507"/>
      </w:tblGrid>
      <w:tr>
        <w:trPr>
          <w:trHeight w:val="284" w:hRule="atLeas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Majetok a záväzky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Spôsob oceňovania</w:t>
            </w:r>
          </w:p>
        </w:tc>
      </w:tr>
      <w:tr>
        <w:trPr>
          <w:trHeight w:val="284" w:hRule="atLeas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dlhodobý nehmotný majetok obstaraný kúpou 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sz w:val="16"/>
                <w:szCs w:val="16"/>
              </w:rPr>
              <w:t>Obstarávacia cena</w:t>
            </w:r>
          </w:p>
        </w:tc>
      </w:tr>
      <w:tr>
        <w:trPr>
          <w:trHeight w:val="284" w:hRule="atLeas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dlhodobý nehmotný majetok obstaraný vlastnou činnosťou 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sz w:val="16"/>
                <w:szCs w:val="16"/>
              </w:rPr>
              <w:t>nebol</w:t>
            </w:r>
          </w:p>
        </w:tc>
      </w:tr>
      <w:tr>
        <w:trPr>
          <w:trHeight w:val="284" w:hRule="atLeas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dlhodobý nehmotný majetok obstaraný iným spôsobom 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nebol</w:t>
            </w:r>
          </w:p>
        </w:tc>
      </w:tr>
      <w:tr>
        <w:trPr>
          <w:trHeight w:val="284" w:hRule="atLeas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dlhodobý hmotný majetok obstaraný kúpou 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Obstarávacia cena</w:t>
            </w:r>
          </w:p>
        </w:tc>
      </w:tr>
      <w:tr>
        <w:trPr>
          <w:trHeight w:val="284" w:hRule="atLeas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dlhodobý hmotný majetok obstaraný vlastnou činnosťou 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nebol</w:t>
            </w:r>
          </w:p>
        </w:tc>
      </w:tr>
      <w:tr>
        <w:trPr>
          <w:trHeight w:val="284" w:hRule="atLeas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dlhodobý hmotný majetok obstaraný iným spôsobom 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nebol</w:t>
            </w:r>
          </w:p>
        </w:tc>
      </w:tr>
      <w:tr>
        <w:trPr>
          <w:trHeight w:val="284" w:hRule="atLeas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dlhodobý finančný majetok 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nebol</w:t>
            </w:r>
          </w:p>
        </w:tc>
      </w:tr>
      <w:tr>
        <w:trPr>
          <w:trHeight w:val="284" w:hRule="atLeas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zásoby obstarané kúpou 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sz w:val="16"/>
                <w:szCs w:val="16"/>
              </w:rPr>
              <w:t>Menovitá hodnota</w:t>
            </w:r>
          </w:p>
        </w:tc>
      </w:tr>
      <w:tr>
        <w:trPr>
          <w:trHeight w:val="284" w:hRule="atLeas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zásoby vytvorené vlastnou činnosťou 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nebol</w:t>
            </w:r>
          </w:p>
        </w:tc>
      </w:tr>
      <w:tr>
        <w:trPr>
          <w:trHeight w:val="284" w:hRule="atLeas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zásoby obstarané iným spôsobom 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nebol</w:t>
            </w:r>
          </w:p>
        </w:tc>
      </w:tr>
      <w:tr>
        <w:trPr>
          <w:trHeight w:val="284" w:hRule="atLeas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pohľadávky 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Menovitá hodnota</w:t>
            </w:r>
          </w:p>
        </w:tc>
      </w:tr>
      <w:tr>
        <w:trPr>
          <w:trHeight w:val="284" w:hRule="atLeas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krátkodobý finančný majetok 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nebol</w:t>
            </w:r>
          </w:p>
        </w:tc>
      </w:tr>
      <w:tr>
        <w:trPr>
          <w:trHeight w:val="284" w:hRule="atLeas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časové rozlíšenie na strane aktív súvahy 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Menovitá hodnota</w:t>
            </w:r>
          </w:p>
        </w:tc>
      </w:tr>
      <w:tr>
        <w:trPr>
          <w:trHeight w:val="284" w:hRule="atLeas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záväzky, vrátane rezerv, dlhopisov, pôžičiek a úverov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Menovitá hodnota</w:t>
            </w:r>
          </w:p>
        </w:tc>
      </w:tr>
      <w:tr>
        <w:trPr>
          <w:trHeight w:val="284" w:hRule="atLeas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časové rozlíšenie na strane pasív súvahy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Menovitá hodnota</w:t>
            </w:r>
          </w:p>
        </w:tc>
      </w:tr>
      <w:tr>
        <w:trPr>
          <w:trHeight w:val="284" w:hRule="atLeas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deriváty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nebol</w:t>
            </w:r>
          </w:p>
        </w:tc>
      </w:tr>
      <w:tr>
        <w:trPr>
          <w:trHeight w:val="284" w:hRule="atLeas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majetok a záväzky zabezpečené derivátmi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nebol</w:t>
            </w:r>
          </w:p>
        </w:tc>
      </w:tr>
      <w:tr>
        <w:trPr>
          <w:trHeight w:val="284" w:hRule="atLeast"/>
        </w:trPr>
        <w:tc>
          <w:tcPr>
            <w:tcW w:w="6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prenajatý majetok a majetok obstaraný na základe finančného prenájmu</w:t>
            </w:r>
          </w:p>
        </w:tc>
        <w:tc>
          <w:tcPr>
            <w:tcW w:w="35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nebol</w:t>
            </w:r>
          </w:p>
        </w:tc>
      </w:tr>
    </w:tbl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3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 xml:space="preserve">Spôsob zostavenia odpisového plánu pre jednotlivé druhy dlhodobého hmotného majetku  a dlhodobého nehmotného majetku, pričom sa uvádza doba odpisovania, použité sadzby odpisov a odpisové metódy pri určení účtovných odpisov. </w:t>
      </w:r>
    </w:p>
    <w:tbl>
      <w:tblPr>
        <w:tblW w:w="4800" w:type="pct"/>
        <w:jc w:val="left"/>
        <w:tblInd w:w="-10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3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2394"/>
        <w:gridCol w:w="2394"/>
        <w:gridCol w:w="2403"/>
        <w:gridCol w:w="2386"/>
      </w:tblGrid>
      <w:tr>
        <w:trPr>
          <w:trHeight w:val="284" w:hRule="atLeast"/>
        </w:trPr>
        <w:tc>
          <w:tcPr>
            <w:tcW w:w="2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0" w:type="dxa"/>
            </w:tcMar>
            <w:vAlign w:val="center"/>
          </w:tcPr>
          <w:p>
            <w:pPr>
              <w:pStyle w:val="Telotextu"/>
              <w:jc w:val="left"/>
              <w:rPr>
                <w:rFonts w:ascii="Arial Narrow" w:hAnsi="Arial Narrow" w:cs="Arial Narrow"/>
                <w:b/>
                <w:b/>
                <w:bCs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b/>
                <w:bCs/>
                <w:sz w:val="16"/>
                <w:szCs w:val="16"/>
                <w:lang w:val="sk-SK"/>
              </w:rPr>
              <w:t>Druh dlhodobého majetku</w:t>
            </w:r>
          </w:p>
        </w:tc>
        <w:tc>
          <w:tcPr>
            <w:tcW w:w="2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0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b/>
                <w:b/>
                <w:bCs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b/>
                <w:bCs/>
                <w:sz w:val="16"/>
                <w:szCs w:val="16"/>
                <w:lang w:val="sk-SK"/>
              </w:rPr>
              <w:t>Doba odpisovania</w:t>
            </w:r>
          </w:p>
        </w:tc>
        <w:tc>
          <w:tcPr>
            <w:tcW w:w="24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0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b/>
                <w:b/>
                <w:bCs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b/>
                <w:bCs/>
                <w:sz w:val="16"/>
                <w:szCs w:val="16"/>
                <w:lang w:val="sk-SK"/>
              </w:rPr>
              <w:t>Sadzby odpisov</w:t>
            </w:r>
          </w:p>
        </w:tc>
        <w:tc>
          <w:tcPr>
            <w:tcW w:w="23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0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b/>
                <w:b/>
                <w:bCs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b/>
                <w:bCs/>
                <w:sz w:val="16"/>
                <w:szCs w:val="16"/>
                <w:lang w:val="sk-SK"/>
              </w:rPr>
              <w:t>Odpisová metóda</w:t>
            </w:r>
          </w:p>
        </w:tc>
      </w:tr>
      <w:tr>
        <w:trPr>
          <w:trHeight w:val="284" w:hRule="atLeast"/>
        </w:trPr>
        <w:tc>
          <w:tcPr>
            <w:tcW w:w="2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0" w:type="dxa"/>
            </w:tcMar>
            <w:vAlign w:val="center"/>
          </w:tcPr>
          <w:p>
            <w:pPr>
              <w:pStyle w:val="Telotextu"/>
              <w:jc w:val="left"/>
              <w:rPr/>
            </w:pPr>
            <w:r>
              <w:rPr>
                <w:rFonts w:cs="Arial Narrow" w:ascii="Arial Narrow" w:hAnsi="Arial Narrow"/>
                <w:sz w:val="16"/>
                <w:szCs w:val="16"/>
                <w:lang w:val="sk-SK"/>
              </w:rPr>
              <w:t>Vybavenie rešt.+ hotela</w:t>
            </w:r>
          </w:p>
        </w:tc>
        <w:tc>
          <w:tcPr>
            <w:tcW w:w="2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0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sz w:val="16"/>
                <w:szCs w:val="16"/>
                <w:lang w:val="sk-SK"/>
              </w:rPr>
              <w:t>4 roky</w:t>
            </w:r>
          </w:p>
        </w:tc>
        <w:tc>
          <w:tcPr>
            <w:tcW w:w="24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0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sz w:val="16"/>
                <w:szCs w:val="16"/>
                <w:lang w:val="sk-SK"/>
              </w:rPr>
            </w:r>
          </w:p>
        </w:tc>
        <w:tc>
          <w:tcPr>
            <w:tcW w:w="23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0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sz w:val="16"/>
                <w:szCs w:val="16"/>
                <w:lang w:val="sk-SK"/>
              </w:rPr>
              <w:t>rovnomerná</w:t>
            </w:r>
          </w:p>
        </w:tc>
      </w:tr>
      <w:tr>
        <w:trPr>
          <w:trHeight w:val="284" w:hRule="atLeast"/>
        </w:trPr>
        <w:tc>
          <w:tcPr>
            <w:tcW w:w="2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0" w:type="dxa"/>
            </w:tcMar>
            <w:vAlign w:val="center"/>
          </w:tcPr>
          <w:p>
            <w:pPr>
              <w:pStyle w:val="Telotextu"/>
              <w:jc w:val="left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sz w:val="16"/>
                <w:szCs w:val="16"/>
                <w:lang w:val="sk-SK"/>
              </w:rPr>
              <w:t>Stroje</w:t>
            </w:r>
          </w:p>
        </w:tc>
        <w:tc>
          <w:tcPr>
            <w:tcW w:w="2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0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sz w:val="16"/>
                <w:szCs w:val="16"/>
                <w:lang w:val="sk-SK"/>
              </w:rPr>
              <w:t>6 rokov</w:t>
            </w:r>
          </w:p>
        </w:tc>
        <w:tc>
          <w:tcPr>
            <w:tcW w:w="24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0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sz w:val="16"/>
                <w:szCs w:val="16"/>
                <w:lang w:val="sk-SK"/>
              </w:rPr>
            </w:r>
          </w:p>
        </w:tc>
        <w:tc>
          <w:tcPr>
            <w:tcW w:w="23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0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sz w:val="16"/>
                <w:szCs w:val="16"/>
                <w:lang w:val="sk-SK"/>
              </w:rPr>
              <w:t>Rovnomerná</w:t>
            </w:r>
          </w:p>
        </w:tc>
      </w:tr>
    </w:tbl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tbl>
      <w:tblPr>
        <w:tblW w:w="4800" w:type="pct"/>
        <w:jc w:val="left"/>
        <w:tblInd w:w="-10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3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2394"/>
        <w:gridCol w:w="2394"/>
        <w:gridCol w:w="2403"/>
        <w:gridCol w:w="2386"/>
      </w:tblGrid>
      <w:tr>
        <w:trPr>
          <w:trHeight w:val="284" w:hRule="atLeast"/>
        </w:trPr>
        <w:tc>
          <w:tcPr>
            <w:tcW w:w="2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0" w:type="dxa"/>
            </w:tcMar>
            <w:vAlign w:val="center"/>
          </w:tcPr>
          <w:p>
            <w:pPr>
              <w:pStyle w:val="Telotextu"/>
              <w:jc w:val="left"/>
              <w:rPr/>
            </w:pPr>
            <w:r>
              <w:rPr>
                <w:rFonts w:cs="Arial Narrow" w:ascii="Arial Narrow" w:hAnsi="Arial Narrow"/>
                <w:sz w:val="16"/>
                <w:szCs w:val="16"/>
                <w:lang w:val="sk-SK"/>
              </w:rPr>
              <w:t>Dopravné prostriedky</w:t>
            </w:r>
          </w:p>
        </w:tc>
        <w:tc>
          <w:tcPr>
            <w:tcW w:w="2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0" w:type="dxa"/>
            </w:tcMar>
            <w:vAlign w:val="center"/>
          </w:tcPr>
          <w:p>
            <w:pPr>
              <w:pStyle w:val="Telotextu"/>
              <w:jc w:val="center"/>
              <w:rPr/>
            </w:pPr>
            <w:r>
              <w:rPr>
                <w:rFonts w:cs="Arial Narrow" w:ascii="Arial Narrow" w:hAnsi="Arial Narrow"/>
                <w:sz w:val="16"/>
                <w:szCs w:val="16"/>
                <w:lang w:val="sk-SK"/>
              </w:rPr>
              <w:t>4 roky</w:t>
            </w:r>
          </w:p>
        </w:tc>
        <w:tc>
          <w:tcPr>
            <w:tcW w:w="24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0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sz w:val="16"/>
                <w:szCs w:val="16"/>
                <w:lang w:val="sk-SK"/>
              </w:rPr>
            </w:r>
          </w:p>
        </w:tc>
        <w:tc>
          <w:tcPr>
            <w:tcW w:w="23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0" w:type="dxa"/>
            </w:tcMar>
            <w:vAlign w:val="center"/>
          </w:tcPr>
          <w:p>
            <w:pPr>
              <w:pStyle w:val="Telotextu"/>
              <w:jc w:val="center"/>
              <w:rPr/>
            </w:pPr>
            <w:r>
              <w:rPr>
                <w:rFonts w:cs="Arial Narrow" w:ascii="Arial Narrow" w:hAnsi="Arial Narrow"/>
                <w:sz w:val="16"/>
                <w:szCs w:val="16"/>
                <w:lang w:val="sk-SK"/>
              </w:rPr>
              <w:t>rovnomerná</w:t>
            </w:r>
          </w:p>
        </w:tc>
      </w:tr>
      <w:tr>
        <w:trPr>
          <w:trHeight w:val="284" w:hRule="atLeast"/>
        </w:trPr>
        <w:tc>
          <w:tcPr>
            <w:tcW w:w="2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0" w:type="dxa"/>
            </w:tcMar>
            <w:vAlign w:val="center"/>
          </w:tcPr>
          <w:p>
            <w:pPr>
              <w:pStyle w:val="Telotextu"/>
              <w:jc w:val="left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sz w:val="16"/>
                <w:szCs w:val="16"/>
                <w:lang w:val="sk-SK"/>
              </w:rPr>
              <w:t>Stavby</w:t>
            </w:r>
          </w:p>
        </w:tc>
        <w:tc>
          <w:tcPr>
            <w:tcW w:w="2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0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sz w:val="16"/>
                <w:szCs w:val="16"/>
                <w:lang w:val="sk-SK"/>
              </w:rPr>
              <w:t>40 rokov</w:t>
            </w:r>
          </w:p>
        </w:tc>
        <w:tc>
          <w:tcPr>
            <w:tcW w:w="24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0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sz w:val="16"/>
                <w:szCs w:val="16"/>
                <w:lang w:val="sk-SK"/>
              </w:rPr>
            </w:r>
          </w:p>
        </w:tc>
        <w:tc>
          <w:tcPr>
            <w:tcW w:w="23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0" w:type="dxa"/>
            </w:tcMar>
            <w:vAlign w:val="center"/>
          </w:tcPr>
          <w:p>
            <w:pPr>
              <w:pStyle w:val="Normal"/>
              <w:widowControl/>
              <w:bidi w:val="0"/>
              <w:spacing w:lineRule="auto" w:line="360" w:before="120" w:after="120"/>
              <w:jc w:val="both"/>
              <w:rPr/>
            </w:pPr>
            <w:r>
              <w:rPr/>
              <w:t xml:space="preserve">                  </w:t>
            </w:r>
            <w:r>
              <w:rPr/>
              <w:t>rovnomerná</w:t>
            </w:r>
          </w:p>
        </w:tc>
      </w:tr>
    </w:tbl>
    <w:p>
      <w:pPr>
        <w:pStyle w:val="Normal"/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</w:r>
    </w:p>
    <w:tbl>
      <w:tblPr>
        <w:tblW w:w="4800" w:type="pct"/>
        <w:jc w:val="left"/>
        <w:tblInd w:w="-10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3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2394"/>
        <w:gridCol w:w="2394"/>
        <w:gridCol w:w="2403"/>
        <w:gridCol w:w="2386"/>
      </w:tblGrid>
      <w:tr>
        <w:trPr>
          <w:trHeight w:val="284" w:hRule="atLeast"/>
        </w:trPr>
        <w:tc>
          <w:tcPr>
            <w:tcW w:w="2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0" w:type="dxa"/>
            </w:tcMar>
            <w:vAlign w:val="center"/>
          </w:tcPr>
          <w:p>
            <w:pPr>
              <w:pStyle w:val="Telotextu"/>
              <w:jc w:val="left"/>
              <w:rPr/>
            </w:pPr>
            <w:r>
              <w:rPr>
                <w:rFonts w:cs="Arial Narrow" w:ascii="Arial Narrow" w:hAnsi="Arial Narrow"/>
                <w:sz w:val="16"/>
                <w:szCs w:val="16"/>
                <w:lang w:val="sk-SK"/>
              </w:rPr>
              <w:t>Pestovateľské celky</w:t>
            </w:r>
          </w:p>
        </w:tc>
        <w:tc>
          <w:tcPr>
            <w:tcW w:w="2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0" w:type="dxa"/>
            </w:tcMar>
            <w:vAlign w:val="center"/>
          </w:tcPr>
          <w:p>
            <w:pPr>
              <w:pStyle w:val="Telotextu"/>
              <w:jc w:val="center"/>
              <w:rPr/>
            </w:pPr>
            <w:r>
              <w:rPr>
                <w:rFonts w:cs="Arial Narrow" w:ascii="Arial Narrow" w:hAnsi="Arial Narrow"/>
                <w:sz w:val="16"/>
                <w:szCs w:val="16"/>
                <w:lang w:val="sk-SK"/>
              </w:rPr>
              <w:t>12 rokov</w:t>
            </w:r>
          </w:p>
        </w:tc>
        <w:tc>
          <w:tcPr>
            <w:tcW w:w="24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0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sz w:val="16"/>
                <w:szCs w:val="16"/>
                <w:lang w:val="sk-SK"/>
              </w:rPr>
            </w:r>
          </w:p>
        </w:tc>
        <w:tc>
          <w:tcPr>
            <w:tcW w:w="23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0" w:type="dxa"/>
            </w:tcMar>
            <w:vAlign w:val="center"/>
          </w:tcPr>
          <w:p>
            <w:pPr>
              <w:pStyle w:val="Telotextu"/>
              <w:jc w:val="center"/>
              <w:rPr/>
            </w:pPr>
            <w:r>
              <w:rPr>
                <w:rFonts w:cs="Arial Narrow" w:ascii="Arial Narrow" w:hAnsi="Arial Narrow"/>
                <w:sz w:val="16"/>
                <w:szCs w:val="16"/>
                <w:lang w:val="sk-SK"/>
              </w:rPr>
              <w:t>rovnomerná</w:t>
            </w:r>
          </w:p>
        </w:tc>
      </w:tr>
      <w:tr>
        <w:trPr>
          <w:trHeight w:val="284" w:hRule="atLeast"/>
        </w:trPr>
        <w:tc>
          <w:tcPr>
            <w:tcW w:w="2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0" w:type="dxa"/>
            </w:tcMar>
            <w:vAlign w:val="center"/>
          </w:tcPr>
          <w:p>
            <w:pPr>
              <w:pStyle w:val="Telotextu"/>
              <w:jc w:val="left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sz w:val="16"/>
                <w:szCs w:val="16"/>
                <w:lang w:val="sk-SK"/>
              </w:rPr>
              <w:t>Drobný majetok</w:t>
            </w:r>
          </w:p>
        </w:tc>
        <w:tc>
          <w:tcPr>
            <w:tcW w:w="23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0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sz w:val="16"/>
                <w:szCs w:val="16"/>
                <w:lang w:val="sk-SK"/>
              </w:rPr>
              <w:t>2 roky</w:t>
            </w:r>
          </w:p>
        </w:tc>
        <w:tc>
          <w:tcPr>
            <w:tcW w:w="24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0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sz w:val="16"/>
                <w:szCs w:val="16"/>
                <w:lang w:val="sk-SK"/>
              </w:rPr>
            </w:r>
          </w:p>
        </w:tc>
        <w:tc>
          <w:tcPr>
            <w:tcW w:w="23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30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sz w:val="16"/>
                <w:szCs w:val="16"/>
                <w:lang w:val="sk-SK"/>
              </w:rPr>
              <w:t>Rovnomerná</w:t>
            </w:r>
          </w:p>
        </w:tc>
      </w:tr>
    </w:tbl>
    <w:p>
      <w:pPr>
        <w:pStyle w:val="Normal"/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3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 xml:space="preserve">Zásady pre zohľadnenie zníženia hodnoty majetku – účtovná jednotka uplatňuje: </w:t>
      </w:r>
    </w:p>
    <w:tbl>
      <w:tblPr>
        <w:tblW w:w="9726" w:type="dxa"/>
        <w:jc w:val="left"/>
        <w:tblInd w:w="-14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6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4863"/>
        <w:gridCol w:w="4862"/>
      </w:tblGrid>
      <w:tr>
        <w:trPr>
          <w:trHeight w:val="284" w:hRule="atLeast"/>
        </w:trPr>
        <w:tc>
          <w:tcPr>
            <w:tcW w:w="48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b/>
                <w:b/>
                <w:bCs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b/>
                <w:bCs/>
                <w:sz w:val="16"/>
                <w:szCs w:val="16"/>
                <w:lang w:val="sk-SK"/>
              </w:rPr>
              <w:t>Opravné položky</w:t>
            </w:r>
          </w:p>
        </w:tc>
        <w:tc>
          <w:tcPr>
            <w:tcW w:w="48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b/>
                <w:b/>
                <w:bCs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b/>
                <w:bCs/>
                <w:sz w:val="16"/>
                <w:szCs w:val="16"/>
                <w:lang w:val="sk-SK"/>
              </w:rPr>
              <w:t>Rezervy</w:t>
            </w:r>
          </w:p>
        </w:tc>
      </w:tr>
      <w:tr>
        <w:trPr>
          <w:trHeight w:val="284" w:hRule="atLeast"/>
        </w:trPr>
        <w:tc>
          <w:tcPr>
            <w:tcW w:w="48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nie</w:t>
            </w:r>
          </w:p>
        </w:tc>
        <w:tc>
          <w:tcPr>
            <w:tcW w:w="48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sz w:val="18"/>
                <w:szCs w:val="18"/>
              </w:rPr>
              <w:t>áno</w:t>
            </w:r>
          </w:p>
        </w:tc>
      </w:tr>
    </w:tbl>
    <w:p>
      <w:pPr>
        <w:pStyle w:val="Normal"/>
        <w:spacing w:lineRule="auto" w:line="240" w:before="0" w:after="120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keepNext/>
        <w:numPr>
          <w:ilvl w:val="0"/>
          <w:numId w:val="0"/>
        </w:numPr>
        <w:spacing w:lineRule="auto" w:line="240" w:before="0" w:after="0"/>
        <w:jc w:val="center"/>
        <w:outlineLvl w:val="0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Čl. III</w:t>
      </w:r>
    </w:p>
    <w:p>
      <w:pPr>
        <w:pStyle w:val="Normal"/>
        <w:keepNext/>
        <w:numPr>
          <w:ilvl w:val="0"/>
          <w:numId w:val="0"/>
        </w:numPr>
        <w:spacing w:lineRule="auto" w:line="240" w:before="0" w:after="120"/>
        <w:jc w:val="center"/>
        <w:outlineLvl w:val="1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Informácie, ktoré dopĺňajú a vysvetľujú údaje v súvahe</w:t>
      </w:r>
    </w:p>
    <w:p>
      <w:pPr>
        <w:pStyle w:val="Normal"/>
        <w:numPr>
          <w:ilvl w:val="0"/>
          <w:numId w:val="5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Údaje o dlhodobom nehmotnom majetku a dlhodobom hmotnom majetku za bežné účtovné obdobie:</w:t>
      </w:r>
    </w:p>
    <w:p>
      <w:pPr>
        <w:pStyle w:val="Normal"/>
        <w:numPr>
          <w:ilvl w:val="0"/>
          <w:numId w:val="6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prehľad o dlhodobom majetku podľa položiek tohto majetku v členení podľa položiek súvahy; uvádza sa stav dlhodobého majetku v prvotnom ocenení na začiatku bežného účtovného obdobia, prírastky, úbytky a presuny tohto majetku a zostatok na konci bežného účtovného obdobia,</w:t>
      </w:r>
    </w:p>
    <w:p>
      <w:pPr>
        <w:pStyle w:val="Normal"/>
        <w:numPr>
          <w:ilvl w:val="0"/>
          <w:numId w:val="6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prehľad oprávok a opravných položiek k dlhodobému majetku podľa jednotlivých položiek tohto majetku v členení podľa položiek súvahy; uvádza sa stav oprávok a opravných položiek k dlhodobému majetku na začiatku bežného účtovného obdobia, ich prírastky a úbytky počas bežného účtovného obdobia a zostatok na konci bežného účtovného obdobia,</w:t>
      </w:r>
    </w:p>
    <w:p>
      <w:pPr>
        <w:pStyle w:val="Normal"/>
        <w:numPr>
          <w:ilvl w:val="0"/>
          <w:numId w:val="6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prehľad o zostatkových cenách dlhodobého majetku na začiatku bežného účtovného obdobia a na konci bežného účtovného obdobia.</w:t>
      </w:r>
    </w:p>
    <w:p>
      <w:pPr>
        <w:pStyle w:val="Normal"/>
        <w:spacing w:lineRule="auto" w:line="240" w:before="0" w:after="120"/>
        <w:rPr>
          <w:b/>
          <w:b/>
          <w:bCs/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Tabuľka k čl. III ods. 1  o stave a pohybe dlhodobého nehmotného majetku a dlhodobého hmotného majetku:</w:t>
      </w:r>
    </w:p>
    <w:p>
      <w:pPr>
        <w:pStyle w:val="Normal"/>
        <w:spacing w:lineRule="auto" w:line="240" w:before="0" w:after="120"/>
        <w:rPr>
          <w:b/>
          <w:b/>
          <w:bCs/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Tabuľka č. 1</w:t>
      </w:r>
    </w:p>
    <w:tbl>
      <w:tblPr>
        <w:tblW w:w="5000" w:type="pct"/>
        <w:jc w:val="left"/>
        <w:tblInd w:w="-10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25" w:type="dxa"/>
          <w:bottom w:w="0" w:type="dxa"/>
          <w:right w:w="70" w:type="dxa"/>
        </w:tblCellMar>
        <w:tblLook w:firstRow="1" w:noVBand="0" w:lastRow="0" w:firstColumn="1" w:lastColumn="0" w:noHBand="0" w:val="00a0"/>
      </w:tblPr>
      <w:tblGrid>
        <w:gridCol w:w="2289"/>
        <w:gridCol w:w="1120"/>
        <w:gridCol w:w="1040"/>
        <w:gridCol w:w="1090"/>
        <w:gridCol w:w="1070"/>
        <w:gridCol w:w="1231"/>
        <w:gridCol w:w="1129"/>
        <w:gridCol w:w="1007"/>
      </w:tblGrid>
      <w:tr>
        <w:trPr>
          <w:trHeight w:val="1224" w:hRule="atLeast"/>
        </w:trPr>
        <w:tc>
          <w:tcPr>
            <w:tcW w:w="22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Nehmotné výsledky z vývojovej a obdobnej činnosti</w:t>
            </w:r>
          </w:p>
        </w:tc>
        <w:tc>
          <w:tcPr>
            <w:tcW w:w="1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Softvér</w:t>
            </w:r>
          </w:p>
        </w:tc>
        <w:tc>
          <w:tcPr>
            <w:tcW w:w="1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Oceniteľné práva</w:t>
            </w:r>
          </w:p>
        </w:tc>
        <w:tc>
          <w:tcPr>
            <w:tcW w:w="10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Ostatný dlhodobý nehmotný majetok</w:t>
            </w:r>
          </w:p>
        </w:tc>
        <w:tc>
          <w:tcPr>
            <w:tcW w:w="12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Obstaranie dlhodobého nehmotného majetku</w:t>
            </w:r>
          </w:p>
        </w:tc>
        <w:tc>
          <w:tcPr>
            <w:tcW w:w="11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Poskytnuté preddavky na dlhodobý nehmotný majetok</w:t>
            </w:r>
          </w:p>
        </w:tc>
        <w:tc>
          <w:tcPr>
            <w:tcW w:w="10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>
        <w:trPr>
          <w:trHeight w:val="612" w:hRule="atLeast"/>
        </w:trPr>
        <w:tc>
          <w:tcPr>
            <w:tcW w:w="22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  <w:r>
              <w:rPr>
                <w:color w:val="000000"/>
                <w:sz w:val="16"/>
                <w:szCs w:val="16"/>
                <w:lang w:eastAsia="sk-SK"/>
              </w:rPr>
              <w:t xml:space="preserve"> - stav na začiatku bežného účtovného obdobia</w:t>
            </w:r>
          </w:p>
        </w:tc>
        <w:tc>
          <w:tcPr>
            <w:tcW w:w="11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>
        <w:trPr>
          <w:trHeight w:val="288" w:hRule="atLeast"/>
        </w:trPr>
        <w:tc>
          <w:tcPr>
            <w:tcW w:w="22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11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>
        <w:trPr>
          <w:trHeight w:val="288" w:hRule="atLeast"/>
        </w:trPr>
        <w:tc>
          <w:tcPr>
            <w:tcW w:w="22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11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>
        <w:trPr>
          <w:trHeight w:val="288" w:hRule="atLeast"/>
        </w:trPr>
        <w:tc>
          <w:tcPr>
            <w:tcW w:w="22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11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>
        <w:trPr>
          <w:trHeight w:val="408" w:hRule="atLeast"/>
        </w:trPr>
        <w:tc>
          <w:tcPr>
            <w:tcW w:w="22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11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>
        <w:trPr>
          <w:trHeight w:val="408" w:hRule="atLeast"/>
        </w:trPr>
        <w:tc>
          <w:tcPr>
            <w:tcW w:w="22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 xml:space="preserve">Oprávky – </w:t>
            </w:r>
            <w:r>
              <w:rPr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1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>
        <w:trPr>
          <w:trHeight w:val="288" w:hRule="atLeast"/>
        </w:trPr>
        <w:tc>
          <w:tcPr>
            <w:tcW w:w="22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11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>
        <w:trPr>
          <w:trHeight w:val="288" w:hRule="atLeast"/>
        </w:trPr>
        <w:tc>
          <w:tcPr>
            <w:tcW w:w="22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11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>
        <w:trPr>
          <w:trHeight w:val="408" w:hRule="atLeast"/>
        </w:trPr>
        <w:tc>
          <w:tcPr>
            <w:tcW w:w="22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11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>
        <w:trPr>
          <w:trHeight w:val="612" w:hRule="atLeast"/>
        </w:trPr>
        <w:tc>
          <w:tcPr>
            <w:tcW w:w="22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Opravné položky</w:t>
            </w:r>
            <w:r>
              <w:rPr>
                <w:color w:val="000000"/>
                <w:sz w:val="16"/>
                <w:szCs w:val="16"/>
                <w:lang w:eastAsia="sk-SK"/>
              </w:rPr>
              <w:t xml:space="preserve"> – stav na začiatku bežného účtovného obdobia</w:t>
            </w:r>
          </w:p>
        </w:tc>
        <w:tc>
          <w:tcPr>
            <w:tcW w:w="11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1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1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10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12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11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10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</w:tr>
      <w:tr>
        <w:trPr>
          <w:trHeight w:val="288" w:hRule="atLeast"/>
        </w:trPr>
        <w:tc>
          <w:tcPr>
            <w:tcW w:w="22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11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>
        <w:trPr>
          <w:trHeight w:val="288" w:hRule="atLeast"/>
        </w:trPr>
        <w:tc>
          <w:tcPr>
            <w:tcW w:w="22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11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>
        <w:trPr>
          <w:trHeight w:val="408" w:hRule="atLeast"/>
        </w:trPr>
        <w:tc>
          <w:tcPr>
            <w:tcW w:w="22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11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>
        <w:trPr>
          <w:trHeight w:val="288" w:hRule="atLeast"/>
        </w:trPr>
        <w:tc>
          <w:tcPr>
            <w:tcW w:w="9976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Zostatková hodnota</w:t>
            </w:r>
          </w:p>
        </w:tc>
      </w:tr>
      <w:tr>
        <w:trPr>
          <w:trHeight w:val="408" w:hRule="atLeast"/>
        </w:trPr>
        <w:tc>
          <w:tcPr>
            <w:tcW w:w="22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1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>
        <w:trPr>
          <w:trHeight w:val="408" w:hRule="atLeast"/>
        </w:trPr>
        <w:tc>
          <w:tcPr>
            <w:tcW w:w="22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11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>
      <w:pPr>
        <w:pStyle w:val="Normal"/>
        <w:spacing w:lineRule="auto" w:line="240"/>
        <w:rPr>
          <w:b/>
          <w:b/>
          <w:bCs/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 xml:space="preserve">Netýka sa </w:t>
      </w:r>
    </w:p>
    <w:p>
      <w:pPr>
        <w:pStyle w:val="Normal"/>
        <w:spacing w:lineRule="auto" w:line="240"/>
        <w:rPr>
          <w:b/>
          <w:b/>
          <w:bCs/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</w:r>
    </w:p>
    <w:p>
      <w:pPr>
        <w:pStyle w:val="Normal"/>
        <w:spacing w:lineRule="auto" w:line="240"/>
        <w:rPr>
          <w:b/>
          <w:b/>
          <w:bCs/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</w:r>
    </w:p>
    <w:p>
      <w:pPr>
        <w:pStyle w:val="Normal"/>
        <w:spacing w:lineRule="auto" w:line="240"/>
        <w:rPr>
          <w:b/>
          <w:b/>
          <w:bCs/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</w:r>
    </w:p>
    <w:p>
      <w:pPr>
        <w:pStyle w:val="Normal"/>
        <w:spacing w:lineRule="auto" w:line="240"/>
        <w:rPr>
          <w:b/>
          <w:b/>
          <w:bCs/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</w:r>
    </w:p>
    <w:p>
      <w:pPr>
        <w:pStyle w:val="Normal"/>
        <w:spacing w:lineRule="auto" w:line="240"/>
        <w:rPr>
          <w:b/>
          <w:b/>
          <w:bCs/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</w:r>
    </w:p>
    <w:p>
      <w:pPr>
        <w:pStyle w:val="Normal"/>
        <w:spacing w:lineRule="auto" w:line="240"/>
        <w:rPr>
          <w:b/>
          <w:b/>
          <w:bCs/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</w:r>
    </w:p>
    <w:p>
      <w:pPr>
        <w:pStyle w:val="Normal"/>
        <w:spacing w:lineRule="auto" w:line="240"/>
        <w:rPr>
          <w:b/>
          <w:b/>
          <w:bCs/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</w:r>
    </w:p>
    <w:p>
      <w:pPr>
        <w:pStyle w:val="Normal"/>
        <w:spacing w:lineRule="auto" w:line="240"/>
        <w:rPr>
          <w:b/>
          <w:b/>
          <w:bCs/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Tabuľka č. 2</w:t>
      </w:r>
    </w:p>
    <w:tbl>
      <w:tblPr>
        <w:tblW w:w="10665" w:type="dxa"/>
        <w:jc w:val="left"/>
        <w:tblInd w:w="-10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25" w:type="dxa"/>
          <w:bottom w:w="0" w:type="dxa"/>
          <w:right w:w="70" w:type="dxa"/>
        </w:tblCellMar>
        <w:tblLook w:firstRow="1" w:noVBand="0" w:lastRow="0" w:firstColumn="1" w:lastColumn="0" w:noHBand="0" w:val="00a0"/>
      </w:tblPr>
      <w:tblGrid>
        <w:gridCol w:w="1594"/>
        <w:gridCol w:w="837"/>
        <w:gridCol w:w="835"/>
        <w:gridCol w:w="837"/>
        <w:gridCol w:w="835"/>
        <w:gridCol w:w="617"/>
        <w:gridCol w:w="794"/>
        <w:gridCol w:w="720"/>
        <w:gridCol w:w="931"/>
        <w:gridCol w:w="850"/>
        <w:gridCol w:w="668"/>
        <w:gridCol w:w="1146"/>
      </w:tblGrid>
      <w:tr>
        <w:trPr>
          <w:trHeight w:val="1020" w:hRule="atLeast"/>
        </w:trPr>
        <w:tc>
          <w:tcPr>
            <w:tcW w:w="15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Pozemky</w:t>
            </w:r>
          </w:p>
        </w:tc>
        <w:tc>
          <w:tcPr>
            <w:tcW w:w="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Umelecké diela a zbierky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Stavby</w:t>
            </w:r>
          </w:p>
        </w:tc>
        <w:tc>
          <w:tcPr>
            <w:tcW w:w="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Samost. hnuteľné veci a súbory hnut. vecí</w:t>
            </w:r>
          </w:p>
        </w:tc>
        <w:tc>
          <w:tcPr>
            <w:tcW w:w="6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Dopravné prostried-ky</w:t>
            </w:r>
          </w:p>
        </w:tc>
        <w:tc>
          <w:tcPr>
            <w:tcW w:w="7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Pestova-teľské celky trvalých porastov</w:t>
            </w:r>
          </w:p>
        </w:tc>
        <w:tc>
          <w:tcPr>
            <w:tcW w:w="7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Základné stádo a ťažné zvieratá</w:t>
            </w:r>
          </w:p>
        </w:tc>
        <w:tc>
          <w:tcPr>
            <w:tcW w:w="9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Drobný a ostatný dlhodobý hmotný majetok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Obst.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dlhodob. hmotného majetku</w:t>
            </w:r>
          </w:p>
        </w:tc>
        <w:tc>
          <w:tcPr>
            <w:tcW w:w="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Poskyt predd. na dlho-dobý hmotný majetok</w:t>
            </w:r>
          </w:p>
        </w:tc>
        <w:tc>
          <w:tcPr>
            <w:tcW w:w="11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>
        <w:trPr>
          <w:trHeight w:val="408" w:hRule="atLeast"/>
        </w:trPr>
        <w:tc>
          <w:tcPr>
            <w:tcW w:w="15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  <w:r>
              <w:rPr>
                <w:color w:val="000000"/>
                <w:sz w:val="16"/>
                <w:szCs w:val="16"/>
                <w:lang w:eastAsia="sk-SK"/>
              </w:rPr>
              <w:t xml:space="preserve"> - stav na začiatku bežného účtovného obdobia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1699179,10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0"/>
                <w:sz w:val="16"/>
                <w:szCs w:val="16"/>
                <w:lang w:eastAsia="sk-SK"/>
              </w:rPr>
              <w:t>84261,49</w:t>
            </w:r>
          </w:p>
        </w:tc>
        <w:tc>
          <w:tcPr>
            <w:tcW w:w="6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9800,00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20500,0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0"/>
                <w:sz w:val="16"/>
                <w:szCs w:val="16"/>
                <w:lang w:eastAsia="sk-SK"/>
              </w:rPr>
              <w:t>75827,59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0"/>
                <w:sz w:val="16"/>
                <w:szCs w:val="16"/>
                <w:lang w:eastAsia="sk-SK"/>
              </w:rPr>
              <w:t>1889568,18</w:t>
            </w:r>
          </w:p>
        </w:tc>
      </w:tr>
      <w:tr>
        <w:trPr>
          <w:trHeight w:val="288" w:hRule="atLeast"/>
        </w:trPr>
        <w:tc>
          <w:tcPr>
            <w:tcW w:w="15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6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7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7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9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11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</w:tr>
      <w:tr>
        <w:trPr>
          <w:trHeight w:val="288" w:hRule="atLeast"/>
        </w:trPr>
        <w:tc>
          <w:tcPr>
            <w:tcW w:w="15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>
        <w:trPr>
          <w:trHeight w:val="288" w:hRule="atLeast"/>
        </w:trPr>
        <w:tc>
          <w:tcPr>
            <w:tcW w:w="15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</w:tr>
      <w:tr>
        <w:trPr>
          <w:trHeight w:val="408" w:hRule="atLeast"/>
        </w:trPr>
        <w:tc>
          <w:tcPr>
            <w:tcW w:w="15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1699179,10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0"/>
                <w:sz w:val="16"/>
                <w:szCs w:val="16"/>
                <w:lang w:eastAsia="sk-SK"/>
              </w:rPr>
              <w:t>84261,49</w:t>
            </w:r>
          </w:p>
        </w:tc>
        <w:tc>
          <w:tcPr>
            <w:tcW w:w="6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9800,00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20500,0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0"/>
                <w:sz w:val="16"/>
                <w:szCs w:val="16"/>
                <w:lang w:eastAsia="sk-SK"/>
              </w:rPr>
              <w:t>75827,59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0"/>
                <w:sz w:val="16"/>
                <w:szCs w:val="16"/>
                <w:lang w:eastAsia="sk-SK"/>
              </w:rPr>
              <w:t>1889568,18</w:t>
            </w:r>
          </w:p>
        </w:tc>
      </w:tr>
      <w:tr>
        <w:trPr>
          <w:trHeight w:val="408" w:hRule="atLeast"/>
        </w:trPr>
        <w:tc>
          <w:tcPr>
            <w:tcW w:w="15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 xml:space="preserve">Oprávky – </w:t>
            </w:r>
            <w:r>
              <w:rPr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0"/>
                <w:sz w:val="16"/>
                <w:szCs w:val="16"/>
                <w:lang w:eastAsia="sk-SK"/>
              </w:rPr>
              <w:t>95578,60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0"/>
                <w:sz w:val="16"/>
                <w:szCs w:val="16"/>
                <w:lang w:eastAsia="sk-SK"/>
              </w:rPr>
              <w:t>39357,79</w:t>
            </w:r>
          </w:p>
        </w:tc>
        <w:tc>
          <w:tcPr>
            <w:tcW w:w="6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0"/>
                <w:sz w:val="16"/>
                <w:szCs w:val="16"/>
                <w:lang w:eastAsia="sk-SK"/>
              </w:rPr>
              <w:t>6125,00</w:t>
            </w:r>
          </w:p>
        </w:tc>
        <w:tc>
          <w:tcPr>
            <w:tcW w:w="7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0"/>
                <w:sz w:val="16"/>
                <w:szCs w:val="16"/>
                <w:lang w:eastAsia="sk-SK"/>
              </w:rPr>
              <w:t>3843,00</w:t>
            </w:r>
          </w:p>
        </w:tc>
        <w:tc>
          <w:tcPr>
            <w:tcW w:w="7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0"/>
                <w:sz w:val="16"/>
                <w:szCs w:val="16"/>
                <w:lang w:eastAsia="sk-SK"/>
              </w:rPr>
              <w:t>75827,59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0"/>
                <w:sz w:val="16"/>
                <w:szCs w:val="16"/>
                <w:lang w:eastAsia="sk-SK"/>
              </w:rPr>
              <w:t>220731,98</w:t>
            </w:r>
          </w:p>
        </w:tc>
      </w:tr>
      <w:tr>
        <w:trPr>
          <w:trHeight w:val="288" w:hRule="atLeast"/>
        </w:trPr>
        <w:tc>
          <w:tcPr>
            <w:tcW w:w="15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0"/>
                <w:sz w:val="16"/>
                <w:szCs w:val="16"/>
                <w:lang w:eastAsia="sk-SK"/>
              </w:rPr>
              <w:t>42479,50</w:t>
            </w:r>
          </w:p>
        </w:tc>
        <w:tc>
          <w:tcPr>
            <w:tcW w:w="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0"/>
                <w:sz w:val="16"/>
                <w:szCs w:val="16"/>
                <w:lang w:eastAsia="sk-SK"/>
              </w:rPr>
              <w:t>6353,05</w:t>
            </w:r>
          </w:p>
        </w:tc>
        <w:tc>
          <w:tcPr>
            <w:tcW w:w="6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0"/>
                <w:sz w:val="16"/>
                <w:szCs w:val="16"/>
                <w:lang w:eastAsia="sk-SK"/>
              </w:rPr>
              <w:t>2450,</w:t>
            </w:r>
            <w:r>
              <w:rPr>
                <w:color w:val="000000"/>
                <w:sz w:val="16"/>
                <w:szCs w:val="16"/>
                <w:lang w:eastAsia="sk-SK"/>
              </w:rPr>
              <w:t>00</w:t>
            </w:r>
          </w:p>
        </w:tc>
        <w:tc>
          <w:tcPr>
            <w:tcW w:w="7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0"/>
                <w:sz w:val="16"/>
                <w:szCs w:val="16"/>
                <w:lang w:eastAsia="sk-SK"/>
              </w:rPr>
              <w:t>1708,</w:t>
            </w:r>
            <w:r>
              <w:rPr>
                <w:color w:val="000000"/>
                <w:sz w:val="16"/>
                <w:szCs w:val="16"/>
                <w:lang w:eastAsia="sk-SK"/>
              </w:rPr>
              <w:t>00</w:t>
            </w:r>
          </w:p>
        </w:tc>
        <w:tc>
          <w:tcPr>
            <w:tcW w:w="7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9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0"/>
                <w:sz w:val="16"/>
                <w:szCs w:val="16"/>
                <w:lang w:eastAsia="sk-SK"/>
              </w:rPr>
              <w:t>52990,55</w:t>
            </w:r>
          </w:p>
        </w:tc>
      </w:tr>
      <w:tr>
        <w:trPr>
          <w:trHeight w:val="288" w:hRule="atLeast"/>
        </w:trPr>
        <w:tc>
          <w:tcPr>
            <w:tcW w:w="15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>
        <w:trPr>
          <w:trHeight w:val="408" w:hRule="atLeast"/>
        </w:trPr>
        <w:tc>
          <w:tcPr>
            <w:tcW w:w="15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0"/>
                <w:sz w:val="16"/>
                <w:szCs w:val="16"/>
                <w:lang w:eastAsia="sk-SK"/>
              </w:rPr>
              <w:t>138058,10</w:t>
            </w:r>
          </w:p>
        </w:tc>
        <w:tc>
          <w:tcPr>
            <w:tcW w:w="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0"/>
                <w:sz w:val="16"/>
                <w:szCs w:val="16"/>
                <w:lang w:eastAsia="sk-SK"/>
              </w:rPr>
              <w:t>45710,84</w:t>
            </w:r>
          </w:p>
        </w:tc>
        <w:tc>
          <w:tcPr>
            <w:tcW w:w="6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0"/>
                <w:sz w:val="16"/>
                <w:szCs w:val="16"/>
                <w:lang w:eastAsia="sk-SK"/>
              </w:rPr>
              <w:t>8575,00</w:t>
            </w:r>
          </w:p>
        </w:tc>
        <w:tc>
          <w:tcPr>
            <w:tcW w:w="7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0"/>
                <w:sz w:val="16"/>
                <w:szCs w:val="16"/>
                <w:lang w:eastAsia="sk-SK"/>
              </w:rPr>
              <w:t>5551,00</w:t>
            </w:r>
          </w:p>
        </w:tc>
        <w:tc>
          <w:tcPr>
            <w:tcW w:w="7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0"/>
                <w:sz w:val="16"/>
                <w:szCs w:val="16"/>
                <w:lang w:eastAsia="sk-SK"/>
              </w:rPr>
              <w:t>75827,59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0"/>
                <w:sz w:val="16"/>
                <w:szCs w:val="16"/>
                <w:lang w:eastAsia="sk-SK"/>
              </w:rPr>
              <w:t>273722,53</w:t>
            </w:r>
          </w:p>
        </w:tc>
      </w:tr>
      <w:tr>
        <w:trPr>
          <w:trHeight w:val="408" w:hRule="atLeast"/>
        </w:trPr>
        <w:tc>
          <w:tcPr>
            <w:tcW w:w="15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Opravné položky</w:t>
            </w:r>
            <w:r>
              <w:rPr>
                <w:color w:val="000000"/>
                <w:sz w:val="16"/>
                <w:szCs w:val="16"/>
                <w:lang w:eastAsia="sk-SK"/>
              </w:rPr>
              <w:t xml:space="preserve"> – stav na začiatku bežného účtovného obdobia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>
        <w:trPr>
          <w:trHeight w:val="288" w:hRule="atLeast"/>
        </w:trPr>
        <w:tc>
          <w:tcPr>
            <w:tcW w:w="15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>
        <w:trPr>
          <w:trHeight w:val="288" w:hRule="atLeast"/>
        </w:trPr>
        <w:tc>
          <w:tcPr>
            <w:tcW w:w="15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>
        <w:trPr>
          <w:trHeight w:val="408" w:hRule="atLeast"/>
        </w:trPr>
        <w:tc>
          <w:tcPr>
            <w:tcW w:w="15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>
        <w:trPr>
          <w:trHeight w:val="288" w:hRule="atLeast"/>
        </w:trPr>
        <w:tc>
          <w:tcPr>
            <w:tcW w:w="10664" w:type="dxa"/>
            <w:gridSpan w:val="1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Zostatková hodnota</w:t>
            </w:r>
          </w:p>
        </w:tc>
      </w:tr>
      <w:tr>
        <w:trPr>
          <w:trHeight w:val="408" w:hRule="atLeast"/>
        </w:trPr>
        <w:tc>
          <w:tcPr>
            <w:tcW w:w="15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0"/>
                <w:sz w:val="16"/>
                <w:szCs w:val="16"/>
                <w:lang w:eastAsia="sk-SK"/>
              </w:rPr>
              <w:t>95578,60</w:t>
            </w:r>
          </w:p>
        </w:tc>
        <w:tc>
          <w:tcPr>
            <w:tcW w:w="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0"/>
                <w:sz w:val="16"/>
                <w:szCs w:val="16"/>
                <w:lang w:eastAsia="sk-SK"/>
              </w:rPr>
              <w:t>39357,79</w:t>
            </w:r>
          </w:p>
        </w:tc>
        <w:tc>
          <w:tcPr>
            <w:tcW w:w="6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0"/>
                <w:sz w:val="16"/>
                <w:szCs w:val="16"/>
                <w:lang w:eastAsia="sk-SK"/>
              </w:rPr>
              <w:t>6125,00</w:t>
            </w:r>
          </w:p>
        </w:tc>
        <w:tc>
          <w:tcPr>
            <w:tcW w:w="7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0"/>
                <w:sz w:val="16"/>
                <w:szCs w:val="16"/>
                <w:lang w:eastAsia="sk-SK"/>
              </w:rPr>
              <w:t>3843,00</w:t>
            </w:r>
          </w:p>
        </w:tc>
        <w:tc>
          <w:tcPr>
            <w:tcW w:w="7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0"/>
                <w:sz w:val="16"/>
                <w:szCs w:val="16"/>
                <w:lang w:eastAsia="sk-SK"/>
              </w:rPr>
              <w:t>75827,59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0"/>
                <w:sz w:val="16"/>
                <w:szCs w:val="16"/>
                <w:lang w:eastAsia="sk-SK"/>
              </w:rPr>
              <w:t>220731,98</w:t>
            </w:r>
          </w:p>
        </w:tc>
      </w:tr>
      <w:tr>
        <w:trPr>
          <w:trHeight w:val="408" w:hRule="atLeast"/>
        </w:trPr>
        <w:tc>
          <w:tcPr>
            <w:tcW w:w="15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0"/>
                <w:sz w:val="16"/>
                <w:szCs w:val="16"/>
                <w:lang w:eastAsia="sk-SK"/>
              </w:rPr>
              <w:t>138058,10</w:t>
            </w:r>
          </w:p>
        </w:tc>
        <w:tc>
          <w:tcPr>
            <w:tcW w:w="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0"/>
                <w:sz w:val="16"/>
                <w:szCs w:val="16"/>
                <w:lang w:eastAsia="sk-SK"/>
              </w:rPr>
              <w:t>45710,84</w:t>
            </w:r>
          </w:p>
        </w:tc>
        <w:tc>
          <w:tcPr>
            <w:tcW w:w="6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0"/>
                <w:sz w:val="16"/>
                <w:szCs w:val="16"/>
                <w:lang w:eastAsia="sk-SK"/>
              </w:rPr>
              <w:t>8575,00</w:t>
            </w:r>
          </w:p>
        </w:tc>
        <w:tc>
          <w:tcPr>
            <w:tcW w:w="7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0"/>
                <w:sz w:val="16"/>
                <w:szCs w:val="16"/>
                <w:lang w:eastAsia="sk-SK"/>
              </w:rPr>
              <w:t>5551,00</w:t>
            </w:r>
          </w:p>
        </w:tc>
        <w:tc>
          <w:tcPr>
            <w:tcW w:w="7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0"/>
                <w:sz w:val="16"/>
                <w:szCs w:val="16"/>
                <w:lang w:eastAsia="sk-SK"/>
              </w:rPr>
              <w:t>75827,59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0"/>
                <w:sz w:val="16"/>
                <w:szCs w:val="16"/>
                <w:lang w:eastAsia="sk-SK"/>
              </w:rPr>
              <w:t>273722,53</w:t>
            </w:r>
          </w:p>
        </w:tc>
      </w:tr>
      <w:tr>
        <w:trPr>
          <w:trHeight w:val="288" w:hRule="atLeast"/>
        </w:trPr>
        <w:tc>
          <w:tcPr>
            <w:tcW w:w="15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  <w:lang w:eastAsia="sk-SK"/>
              </w:rPr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  <w:lang w:eastAsia="sk-SK"/>
              </w:rPr>
            </w:r>
          </w:p>
        </w:tc>
        <w:tc>
          <w:tcPr>
            <w:tcW w:w="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  <w:lang w:eastAsia="sk-SK"/>
              </w:rPr>
            </w:r>
          </w:p>
        </w:tc>
        <w:tc>
          <w:tcPr>
            <w:tcW w:w="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  <w:lang w:eastAsia="sk-SK"/>
              </w:rPr>
            </w:r>
          </w:p>
        </w:tc>
        <w:tc>
          <w:tcPr>
            <w:tcW w:w="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  <w:lang w:eastAsia="sk-SK"/>
              </w:rPr>
            </w:r>
          </w:p>
        </w:tc>
        <w:tc>
          <w:tcPr>
            <w:tcW w:w="6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  <w:lang w:eastAsia="sk-SK"/>
              </w:rPr>
            </w:r>
          </w:p>
        </w:tc>
        <w:tc>
          <w:tcPr>
            <w:tcW w:w="7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  <w:lang w:eastAsia="sk-SK"/>
              </w:rPr>
            </w:r>
          </w:p>
        </w:tc>
        <w:tc>
          <w:tcPr>
            <w:tcW w:w="7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  <w:lang w:eastAsia="sk-SK"/>
              </w:rPr>
            </w:r>
          </w:p>
        </w:tc>
        <w:tc>
          <w:tcPr>
            <w:tcW w:w="9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  <w:lang w:eastAsia="sk-SK"/>
              </w:rPr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  <w:lang w:eastAsia="sk-SK"/>
              </w:rPr>
            </w:r>
          </w:p>
        </w:tc>
        <w:tc>
          <w:tcPr>
            <w:tcW w:w="6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  <w:lang w:eastAsia="sk-SK"/>
              </w:rPr>
            </w:r>
          </w:p>
        </w:tc>
        <w:tc>
          <w:tcPr>
            <w:tcW w:w="11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  <w:lang w:eastAsia="sk-SK"/>
              </w:rPr>
            </w:r>
          </w:p>
        </w:tc>
      </w:tr>
    </w:tbl>
    <w:p>
      <w:pPr>
        <w:pStyle w:val="Normal"/>
        <w:numPr>
          <w:ilvl w:val="0"/>
          <w:numId w:val="5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 xml:space="preserve">Prehľad dlhodobého majetku, na ktorý je zriadené záložné právo a dlhodobého majetku, pri ktorom má účtovná jednotka obmedzené právo s ním nakladať:- netýka sa </w:t>
      </w:r>
    </w:p>
    <w:tbl>
      <w:tblPr>
        <w:tblW w:w="10300" w:type="dxa"/>
        <w:jc w:val="left"/>
        <w:tblInd w:w="-14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6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6035"/>
        <w:gridCol w:w="4264"/>
      </w:tblGrid>
      <w:tr>
        <w:trPr>
          <w:trHeight w:val="284" w:hRule="atLeast"/>
        </w:trPr>
        <w:tc>
          <w:tcPr>
            <w:tcW w:w="60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Prehľad dlhodobého majetku</w:t>
            </w:r>
          </w:p>
        </w:tc>
        <w:tc>
          <w:tcPr>
            <w:tcW w:w="42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Výška majetku</w:t>
            </w:r>
          </w:p>
        </w:tc>
      </w:tr>
      <w:tr>
        <w:trPr>
          <w:trHeight w:val="284" w:hRule="atLeast"/>
        </w:trPr>
        <w:tc>
          <w:tcPr>
            <w:tcW w:w="60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42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</w:tbl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5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 xml:space="preserve">Údaje o spôsobe a výške poistenia dlhodobého nehmotného majetku a dlhodobého hmotného majetku.-netýka sa </w:t>
      </w:r>
    </w:p>
    <w:tbl>
      <w:tblPr>
        <w:tblW w:w="10300" w:type="dxa"/>
        <w:jc w:val="left"/>
        <w:tblInd w:w="-14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6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4341"/>
        <w:gridCol w:w="2979"/>
        <w:gridCol w:w="2980"/>
      </w:tblGrid>
      <w:tr>
        <w:trPr>
          <w:trHeight w:val="284" w:hRule="atLeast"/>
        </w:trPr>
        <w:tc>
          <w:tcPr>
            <w:tcW w:w="43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Dlhodobý majetok</w:t>
            </w:r>
          </w:p>
        </w:tc>
        <w:tc>
          <w:tcPr>
            <w:tcW w:w="29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Spôsob poistenia</w:t>
            </w:r>
          </w:p>
        </w:tc>
        <w:tc>
          <w:tcPr>
            <w:tcW w:w="2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Výška poistenia</w:t>
            </w:r>
          </w:p>
        </w:tc>
      </w:tr>
      <w:tr>
        <w:trPr>
          <w:trHeight w:val="284" w:hRule="atLeast"/>
        </w:trPr>
        <w:tc>
          <w:tcPr>
            <w:tcW w:w="43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29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2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</w:tbl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5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Údaje o štruktúre dlhodobého finančného majetku za bežné účtovné obdobie a jeho umiestnenie v členení podľa položiek súvahy a o zmenách, ktoré sa uskutočnili v priebehu bežného účtovného obdobia v jednotlivých položkách dlhodobého  finančného  majetku.</w:t>
      </w:r>
    </w:p>
    <w:p>
      <w:pPr>
        <w:pStyle w:val="Normal"/>
        <w:spacing w:lineRule="auto" w:line="240" w:before="0" w:after="120"/>
        <w:rPr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 xml:space="preserve">Tabuľka k čl. III ods. 4  o zmenách jednotlivých položiek dlhodobého finančného majetku:-netýka sa </w:t>
      </w:r>
    </w:p>
    <w:tbl>
      <w:tblPr>
        <w:tblW w:w="5000" w:type="pct"/>
        <w:jc w:val="left"/>
        <w:tblInd w:w="-10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25" w:type="dxa"/>
          <w:bottom w:w="0" w:type="dxa"/>
          <w:right w:w="70" w:type="dxa"/>
        </w:tblCellMar>
        <w:tblLook w:firstRow="1" w:noVBand="0" w:lastRow="0" w:firstColumn="1" w:lastColumn="0" w:noHBand="0" w:val="00a0"/>
      </w:tblPr>
      <w:tblGrid>
        <w:gridCol w:w="2207"/>
        <w:gridCol w:w="964"/>
        <w:gridCol w:w="1002"/>
        <w:gridCol w:w="966"/>
        <w:gridCol w:w="966"/>
        <w:gridCol w:w="966"/>
        <w:gridCol w:w="967"/>
        <w:gridCol w:w="966"/>
        <w:gridCol w:w="973"/>
      </w:tblGrid>
      <w:tr>
        <w:trPr>
          <w:trHeight w:val="1632" w:hRule="atLeast"/>
        </w:trPr>
        <w:tc>
          <w:tcPr>
            <w:tcW w:w="22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Podielové cenné papiere a podiely v obchodnej spoločnosti v ovládanej osobe</w:t>
            </w:r>
          </w:p>
        </w:tc>
        <w:tc>
          <w:tcPr>
            <w:tcW w:w="10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Podielové cenné papiere a podiely v obchodnej spoločnosti s podstatným vplyvom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Dlhové cenné papiere držané do splatnosti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Pôžičky podnikom v skupine a ostatné pôžičky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Ostatný dlhodobý finančný majetok</w:t>
            </w:r>
          </w:p>
        </w:tc>
        <w:tc>
          <w:tcPr>
            <w:tcW w:w="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Obstaranie dlhodobého finančného majetku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Poskytnuté preddavky na dlhodobý finančný  majetok</w:t>
            </w:r>
          </w:p>
        </w:tc>
        <w:tc>
          <w:tcPr>
            <w:tcW w:w="9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>
        <w:trPr>
          <w:trHeight w:val="288" w:hRule="atLeast"/>
        </w:trPr>
        <w:tc>
          <w:tcPr>
            <w:tcW w:w="9977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</w:p>
        </w:tc>
      </w:tr>
      <w:tr>
        <w:trPr>
          <w:trHeight w:val="408" w:hRule="atLeast"/>
        </w:trPr>
        <w:tc>
          <w:tcPr>
            <w:tcW w:w="22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Stav  na začiatku bežného účtovného obdobia</w:t>
            </w:r>
          </w:p>
        </w:tc>
        <w:tc>
          <w:tcPr>
            <w:tcW w:w="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>
        <w:trPr>
          <w:trHeight w:val="288" w:hRule="atLeast"/>
        </w:trPr>
        <w:tc>
          <w:tcPr>
            <w:tcW w:w="22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>
        <w:trPr>
          <w:trHeight w:val="288" w:hRule="atLeast"/>
        </w:trPr>
        <w:tc>
          <w:tcPr>
            <w:tcW w:w="22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>
        <w:trPr>
          <w:trHeight w:val="288" w:hRule="atLeast"/>
        </w:trPr>
        <w:tc>
          <w:tcPr>
            <w:tcW w:w="22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>
        <w:trPr>
          <w:trHeight w:val="408" w:hRule="atLeast"/>
        </w:trPr>
        <w:tc>
          <w:tcPr>
            <w:tcW w:w="22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>
        <w:trPr>
          <w:trHeight w:val="288" w:hRule="atLeast"/>
        </w:trPr>
        <w:tc>
          <w:tcPr>
            <w:tcW w:w="9977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Opravné položky</w:t>
            </w:r>
          </w:p>
        </w:tc>
      </w:tr>
      <w:tr>
        <w:trPr>
          <w:trHeight w:val="408" w:hRule="atLeast"/>
        </w:trPr>
        <w:tc>
          <w:tcPr>
            <w:tcW w:w="22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Stav na začiatku bežného účtovného obdobia</w:t>
            </w:r>
          </w:p>
        </w:tc>
        <w:tc>
          <w:tcPr>
            <w:tcW w:w="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>
        <w:trPr>
          <w:trHeight w:val="288" w:hRule="atLeast"/>
        </w:trPr>
        <w:tc>
          <w:tcPr>
            <w:tcW w:w="22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>
        <w:trPr>
          <w:trHeight w:val="288" w:hRule="atLeast"/>
        </w:trPr>
        <w:tc>
          <w:tcPr>
            <w:tcW w:w="22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>
        <w:trPr>
          <w:trHeight w:val="408" w:hRule="atLeast"/>
        </w:trPr>
        <w:tc>
          <w:tcPr>
            <w:tcW w:w="22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>
        <w:trPr>
          <w:trHeight w:val="288" w:hRule="atLeast"/>
        </w:trPr>
        <w:tc>
          <w:tcPr>
            <w:tcW w:w="9977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Zostatková hodnota </w:t>
            </w:r>
          </w:p>
        </w:tc>
      </w:tr>
      <w:tr>
        <w:trPr>
          <w:trHeight w:val="408" w:hRule="atLeast"/>
        </w:trPr>
        <w:tc>
          <w:tcPr>
            <w:tcW w:w="22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Stav na začiatku bežného účtovného obdobia</w:t>
            </w:r>
          </w:p>
        </w:tc>
        <w:tc>
          <w:tcPr>
            <w:tcW w:w="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>
        <w:trPr>
          <w:trHeight w:val="408" w:hRule="atLeast"/>
        </w:trPr>
        <w:tc>
          <w:tcPr>
            <w:tcW w:w="22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>
      <w:pPr>
        <w:pStyle w:val="Normal"/>
        <w:spacing w:lineRule="auto" w:line="240" w:before="0" w:after="120"/>
        <w:rPr>
          <w:b/>
          <w:b/>
          <w:bCs/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 xml:space="preserve">Tabuľka k čl. III ods. 4  o štruktúre dlhodobého finančného majetku –netýka sa </w:t>
      </w:r>
    </w:p>
    <w:tbl>
      <w:tblPr>
        <w:tblW w:w="5000" w:type="pct"/>
        <w:jc w:val="left"/>
        <w:tblInd w:w="-10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25" w:type="dxa"/>
          <w:bottom w:w="0" w:type="dxa"/>
          <w:right w:w="70" w:type="dxa"/>
        </w:tblCellMar>
        <w:tblLook w:firstRow="1" w:noVBand="0" w:lastRow="0" w:firstColumn="1" w:lastColumn="0" w:noHBand="0" w:val="00a0"/>
      </w:tblPr>
      <w:tblGrid>
        <w:gridCol w:w="1836"/>
        <w:gridCol w:w="956"/>
        <w:gridCol w:w="1095"/>
        <w:gridCol w:w="1506"/>
        <w:gridCol w:w="1488"/>
        <w:gridCol w:w="1526"/>
        <w:gridCol w:w="1570"/>
      </w:tblGrid>
      <w:tr>
        <w:trPr>
          <w:trHeight w:val="922" w:hRule="atLeast"/>
        </w:trPr>
        <w:tc>
          <w:tcPr>
            <w:tcW w:w="183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Názov spoločnosti</w:t>
            </w:r>
          </w:p>
        </w:tc>
        <w:tc>
          <w:tcPr>
            <w:tcW w:w="95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Podiel na základnom imaní (v %)</w:t>
            </w:r>
          </w:p>
        </w:tc>
        <w:tc>
          <w:tcPr>
            <w:tcW w:w="10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Podiel účtovnej jednotky na hlasovacích právach</w:t>
            </w:r>
          </w:p>
        </w:tc>
        <w:tc>
          <w:tcPr>
            <w:tcW w:w="299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Hodnota vlastného imania ku koncu</w:t>
            </w:r>
          </w:p>
        </w:tc>
        <w:tc>
          <w:tcPr>
            <w:tcW w:w="309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Účtovná hodnota ku koncu</w:t>
            </w:r>
          </w:p>
        </w:tc>
      </w:tr>
      <w:tr>
        <w:trPr>
          <w:trHeight w:val="694" w:hRule="atLeast"/>
        </w:trPr>
        <w:tc>
          <w:tcPr>
            <w:tcW w:w="1836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956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10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(v %)</w:t>
            </w:r>
          </w:p>
        </w:tc>
        <w:tc>
          <w:tcPr>
            <w:tcW w:w="15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  <w:tc>
          <w:tcPr>
            <w:tcW w:w="15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>
        <w:trPr>
          <w:trHeight w:val="288" w:hRule="atLeast"/>
        </w:trPr>
        <w:tc>
          <w:tcPr>
            <w:tcW w:w="18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2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5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5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5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>
      <w:pPr>
        <w:pStyle w:val="Normal"/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5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Informácia o výške tvorby, zníženia a zúčtovania opravných položiek k dlhodobému finančnému majetku a opis dôvodu ich tvorby, zníženia a zúčtovania</w:t>
      </w:r>
      <w:r>
        <w:rPr>
          <w:b/>
          <w:bCs/>
          <w:sz w:val="18"/>
          <w:szCs w:val="18"/>
        </w:rPr>
        <w:t>. netýka sa</w:t>
      </w:r>
      <w:r>
        <w:rPr>
          <w:sz w:val="18"/>
          <w:szCs w:val="18"/>
        </w:rPr>
        <w:t xml:space="preserve"> </w:t>
      </w:r>
    </w:p>
    <w:tbl>
      <w:tblPr>
        <w:tblW w:w="10299" w:type="dxa"/>
        <w:jc w:val="left"/>
        <w:tblInd w:w="-14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6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1599"/>
        <w:gridCol w:w="1361"/>
        <w:gridCol w:w="1362"/>
        <w:gridCol w:w="1358"/>
        <w:gridCol w:w="1366"/>
        <w:gridCol w:w="1366"/>
        <w:gridCol w:w="1886"/>
      </w:tblGrid>
      <w:tr>
        <w:trPr>
          <w:trHeight w:val="284" w:hRule="atLeast"/>
        </w:trPr>
        <w:tc>
          <w:tcPr>
            <w:tcW w:w="15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Dlhodobý finančný majetok</w:t>
            </w:r>
          </w:p>
        </w:tc>
        <w:tc>
          <w:tcPr>
            <w:tcW w:w="13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3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Zníženie opravnej položky</w:t>
            </w:r>
          </w:p>
        </w:tc>
        <w:tc>
          <w:tcPr>
            <w:tcW w:w="13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Zúčtovanie  opravnej položky</w:t>
            </w:r>
          </w:p>
        </w:tc>
        <w:tc>
          <w:tcPr>
            <w:tcW w:w="13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18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Opis dôvodu ich tvorby, zníženia a zúčtovania</w:t>
            </w:r>
          </w:p>
        </w:tc>
      </w:tr>
      <w:tr>
        <w:trPr>
          <w:trHeight w:val="284" w:hRule="atLeast"/>
        </w:trPr>
        <w:tc>
          <w:tcPr>
            <w:tcW w:w="15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3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3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8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</w:tbl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5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Prehľad o významných položkách krátkodobého finančného majetku a  o ocenení krátkodobého finančného majetku  reálnou hodnotou ku dňu, ku ktorému sa zostavuje účtovná závierka, pričom sa uvádza vplyv takéhoto ocenenia na výsledok hospodárenia účtovnej jednotky.</w:t>
      </w:r>
    </w:p>
    <w:p>
      <w:pPr>
        <w:pStyle w:val="Normal"/>
        <w:spacing w:lineRule="auto" w:line="240" w:before="0" w:after="120"/>
        <w:rPr>
          <w:b/>
          <w:b/>
          <w:bCs/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Tabuľka k čl. III ods. 6  o položkách krátkodobého finančného majetku</w:t>
      </w:r>
    </w:p>
    <w:p>
      <w:pPr>
        <w:pStyle w:val="Normal"/>
        <w:spacing w:lineRule="auto" w:line="240" w:before="0" w:after="120"/>
        <w:rPr/>
      </w:pPr>
      <w:r>
        <w:rPr>
          <w:b/>
          <w:bCs/>
          <w:i/>
          <w:iCs/>
          <w:sz w:val="18"/>
          <w:szCs w:val="18"/>
        </w:rPr>
        <w:t>Tabuľka č. 1</w:t>
      </w:r>
    </w:p>
    <w:tbl>
      <w:tblPr>
        <w:tblW w:w="10300" w:type="dxa"/>
        <w:jc w:val="left"/>
        <w:tblInd w:w="-14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6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3299"/>
        <w:gridCol w:w="3492"/>
        <w:gridCol w:w="3509"/>
      </w:tblGrid>
      <w:tr>
        <w:trPr>
          <w:trHeight w:val="284" w:hRule="atLeast"/>
        </w:trPr>
        <w:tc>
          <w:tcPr>
            <w:tcW w:w="32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Krátkodobý finančný majetok</w:t>
            </w:r>
          </w:p>
        </w:tc>
        <w:tc>
          <w:tcPr>
            <w:tcW w:w="34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Stav na konci bežného účtovného obdobia</w:t>
            </w:r>
          </w:p>
        </w:tc>
        <w:tc>
          <w:tcPr>
            <w:tcW w:w="3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Stav na konci bezprostredne predchádzajúceho účtovného obdobia</w:t>
            </w:r>
          </w:p>
        </w:tc>
      </w:tr>
      <w:tr>
        <w:trPr>
          <w:trHeight w:val="284" w:hRule="atLeast"/>
        </w:trPr>
        <w:tc>
          <w:tcPr>
            <w:tcW w:w="32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Pokladnica</w:t>
            </w:r>
          </w:p>
        </w:tc>
        <w:tc>
          <w:tcPr>
            <w:tcW w:w="34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2302,02</w:t>
            </w:r>
          </w:p>
        </w:tc>
        <w:tc>
          <w:tcPr>
            <w:tcW w:w="3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2088,27</w:t>
            </w:r>
          </w:p>
        </w:tc>
      </w:tr>
      <w:tr>
        <w:trPr>
          <w:trHeight w:val="284" w:hRule="atLeast"/>
        </w:trPr>
        <w:tc>
          <w:tcPr>
            <w:tcW w:w="32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Ceniny</w:t>
            </w:r>
          </w:p>
        </w:tc>
        <w:tc>
          <w:tcPr>
            <w:tcW w:w="34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1005,32</w:t>
            </w:r>
          </w:p>
        </w:tc>
      </w:tr>
      <w:tr>
        <w:trPr>
          <w:trHeight w:val="284" w:hRule="atLeast"/>
        </w:trPr>
        <w:tc>
          <w:tcPr>
            <w:tcW w:w="32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Bežné bankové účty</w:t>
            </w:r>
          </w:p>
        </w:tc>
        <w:tc>
          <w:tcPr>
            <w:tcW w:w="34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6568,42</w:t>
            </w:r>
          </w:p>
        </w:tc>
        <w:tc>
          <w:tcPr>
            <w:tcW w:w="3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highlight w:val="yellow"/>
              </w:rPr>
            </w:pPr>
            <w:r>
              <w:rPr>
                <w:sz w:val="16"/>
                <w:szCs w:val="16"/>
                <w:highlight w:val="yellow"/>
              </w:rPr>
              <w:t>21358,42</w:t>
            </w:r>
          </w:p>
        </w:tc>
      </w:tr>
      <w:tr>
        <w:trPr>
          <w:trHeight w:val="284" w:hRule="atLeast"/>
        </w:trPr>
        <w:tc>
          <w:tcPr>
            <w:tcW w:w="32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Bankové účty s dobou viazanosti dlhšou ako jeden rok</w:t>
            </w:r>
          </w:p>
        </w:tc>
        <w:tc>
          <w:tcPr>
            <w:tcW w:w="34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3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32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Peniaze na ceste</w:t>
            </w:r>
          </w:p>
        </w:tc>
        <w:tc>
          <w:tcPr>
            <w:tcW w:w="34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-43,79</w:t>
            </w:r>
          </w:p>
        </w:tc>
        <w:tc>
          <w:tcPr>
            <w:tcW w:w="3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/>
            </w:r>
          </w:p>
        </w:tc>
      </w:tr>
      <w:tr>
        <w:trPr>
          <w:trHeight w:val="284" w:hRule="atLeast"/>
        </w:trPr>
        <w:tc>
          <w:tcPr>
            <w:tcW w:w="32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34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8826,65</w:t>
            </w:r>
          </w:p>
        </w:tc>
        <w:tc>
          <w:tcPr>
            <w:tcW w:w="3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24452,01</w:t>
            </w:r>
          </w:p>
        </w:tc>
      </w:tr>
    </w:tbl>
    <w:p>
      <w:pPr>
        <w:pStyle w:val="Normal"/>
        <w:spacing w:lineRule="auto" w:line="240" w:before="0" w:after="0"/>
        <w:rPr>
          <w:i/>
          <w:i/>
          <w:iCs/>
          <w:sz w:val="18"/>
          <w:szCs w:val="18"/>
        </w:rPr>
      </w:pPr>
      <w:r>
        <w:rPr>
          <w:i/>
          <w:iCs/>
          <w:sz w:val="18"/>
          <w:szCs w:val="18"/>
        </w:rPr>
      </w:r>
    </w:p>
    <w:p>
      <w:pPr>
        <w:pStyle w:val="Normal"/>
        <w:spacing w:lineRule="auto" w:line="240" w:before="0" w:after="120"/>
        <w:rPr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 xml:space="preserve">Tabuľka č. 2-netýka sa </w:t>
      </w:r>
    </w:p>
    <w:tbl>
      <w:tblPr>
        <w:tblW w:w="10156" w:type="dxa"/>
        <w:jc w:val="left"/>
        <w:tblInd w:w="-14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6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3237"/>
        <w:gridCol w:w="1731"/>
        <w:gridCol w:w="1725"/>
        <w:gridCol w:w="1722"/>
        <w:gridCol w:w="1741"/>
      </w:tblGrid>
      <w:tr>
        <w:trPr>
          <w:trHeight w:val="284" w:hRule="atLeast"/>
        </w:trPr>
        <w:tc>
          <w:tcPr>
            <w:tcW w:w="3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Krátkodobý finančný majetok</w:t>
            </w:r>
          </w:p>
        </w:tc>
        <w:tc>
          <w:tcPr>
            <w:tcW w:w="17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Prírastky</w:t>
            </w:r>
          </w:p>
        </w:tc>
        <w:tc>
          <w:tcPr>
            <w:tcW w:w="17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Úbytky</w:t>
            </w:r>
          </w:p>
        </w:tc>
        <w:tc>
          <w:tcPr>
            <w:tcW w:w="17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Stav na konci bežného účtovného obdobia</w:t>
            </w:r>
          </w:p>
        </w:tc>
      </w:tr>
      <w:tr>
        <w:trPr>
          <w:trHeight w:val="284" w:hRule="atLeast"/>
        </w:trPr>
        <w:tc>
          <w:tcPr>
            <w:tcW w:w="3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Majetkové cenné papiere na obchodovanie</w:t>
            </w:r>
          </w:p>
        </w:tc>
        <w:tc>
          <w:tcPr>
            <w:tcW w:w="17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>
        <w:trPr>
          <w:trHeight w:val="284" w:hRule="atLeast"/>
        </w:trPr>
        <w:tc>
          <w:tcPr>
            <w:tcW w:w="3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17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>
        <w:trPr>
          <w:trHeight w:val="284" w:hRule="atLeast"/>
        </w:trPr>
        <w:tc>
          <w:tcPr>
            <w:tcW w:w="3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17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>
        <w:trPr>
          <w:trHeight w:val="284" w:hRule="atLeast"/>
        </w:trPr>
        <w:tc>
          <w:tcPr>
            <w:tcW w:w="3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Ostatné realizovateľné cenné papiere</w:t>
            </w:r>
          </w:p>
        </w:tc>
        <w:tc>
          <w:tcPr>
            <w:tcW w:w="17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>
        <w:trPr>
          <w:trHeight w:val="284" w:hRule="atLeast"/>
        </w:trPr>
        <w:tc>
          <w:tcPr>
            <w:tcW w:w="3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7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>
        <w:trPr>
          <w:trHeight w:val="284" w:hRule="atLeast"/>
        </w:trPr>
        <w:tc>
          <w:tcPr>
            <w:tcW w:w="3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Krátkodobý finančný majetok spolu</w:t>
            </w:r>
          </w:p>
        </w:tc>
        <w:tc>
          <w:tcPr>
            <w:tcW w:w="17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7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7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7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</w:tr>
    </w:tbl>
    <w:p>
      <w:pPr>
        <w:pStyle w:val="Normal"/>
        <w:spacing w:lineRule="auto" w:line="240" w:before="0" w:after="0"/>
        <w:rPr>
          <w:i/>
          <w:i/>
          <w:iCs/>
          <w:sz w:val="18"/>
          <w:szCs w:val="18"/>
        </w:rPr>
      </w:pPr>
      <w:r>
        <w:rPr>
          <w:i/>
          <w:iCs/>
          <w:sz w:val="18"/>
          <w:szCs w:val="18"/>
        </w:rPr>
      </w:r>
    </w:p>
    <w:p>
      <w:pPr>
        <w:pStyle w:val="Normal"/>
        <w:spacing w:lineRule="auto" w:line="240" w:before="0" w:after="120"/>
        <w:rPr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 xml:space="preserve">Tabuľka č. 3-netýka sa </w:t>
      </w:r>
    </w:p>
    <w:tbl>
      <w:tblPr>
        <w:tblW w:w="10301" w:type="dxa"/>
        <w:jc w:val="left"/>
        <w:tblInd w:w="-14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6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3299"/>
        <w:gridCol w:w="2327"/>
        <w:gridCol w:w="2340"/>
        <w:gridCol w:w="2334"/>
      </w:tblGrid>
      <w:tr>
        <w:trPr>
          <w:trHeight w:val="284" w:hRule="atLeast"/>
        </w:trPr>
        <w:tc>
          <w:tcPr>
            <w:tcW w:w="32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23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Zvýšenie/ zníženie hodnoty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23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>
        <w:trPr>
          <w:trHeight w:val="284" w:hRule="atLeast"/>
        </w:trPr>
        <w:tc>
          <w:tcPr>
            <w:tcW w:w="32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Majetkové cenné papiere na obchodovanie</w:t>
            </w:r>
          </w:p>
        </w:tc>
        <w:tc>
          <w:tcPr>
            <w:tcW w:w="23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2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23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32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Dlhové cenné papiere na obchodovanie</w:t>
            </w:r>
          </w:p>
        </w:tc>
        <w:tc>
          <w:tcPr>
            <w:tcW w:w="23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2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23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32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Ostatné realizovateľné cenné papiere</w:t>
            </w:r>
          </w:p>
        </w:tc>
        <w:tc>
          <w:tcPr>
            <w:tcW w:w="23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2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23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32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Krátkodobý finančný  majetok spolu</w:t>
            </w:r>
          </w:p>
        </w:tc>
        <w:tc>
          <w:tcPr>
            <w:tcW w:w="23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2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23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</w:tbl>
    <w:p>
      <w:pPr>
        <w:pStyle w:val="Normal"/>
        <w:spacing w:lineRule="auto" w:line="240" w:before="0" w:after="0"/>
        <w:rPr>
          <w:i/>
          <w:i/>
          <w:iCs/>
          <w:sz w:val="18"/>
          <w:szCs w:val="18"/>
        </w:rPr>
      </w:pPr>
      <w:r>
        <w:rPr>
          <w:i/>
          <w:iCs/>
          <w:sz w:val="18"/>
          <w:szCs w:val="18"/>
        </w:rPr>
      </w:r>
    </w:p>
    <w:p>
      <w:pPr>
        <w:pStyle w:val="Normal"/>
        <w:numPr>
          <w:ilvl w:val="0"/>
          <w:numId w:val="5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Prehľad  opravných položiek k zásobám, pričom sa uvádza ich stav na začiatku bežného účtovného obdobia, tvorba, zníženie alebo zúčtovanie opravných položiek počas bežného účtovného obdobia a stav na konci bežného účtovného obdobia, ako aj dôvod tvorby, zníženia alebo zúčtovania opravných položiek k zásobám.</w:t>
      </w:r>
    </w:p>
    <w:p>
      <w:pPr>
        <w:pStyle w:val="Normal"/>
        <w:spacing w:lineRule="auto" w:line="240" w:before="0" w:after="120"/>
        <w:rPr>
          <w:b/>
          <w:b/>
          <w:bCs/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 xml:space="preserve">Tabuľka k čl. III ods. 7  o vývoji opravných položiek k zásobám –netýka sa </w:t>
      </w:r>
    </w:p>
    <w:tbl>
      <w:tblPr>
        <w:tblW w:w="5000" w:type="pct"/>
        <w:jc w:val="left"/>
        <w:tblInd w:w="-14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6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2234"/>
        <w:gridCol w:w="1548"/>
        <w:gridCol w:w="1550"/>
        <w:gridCol w:w="1548"/>
        <w:gridCol w:w="1549"/>
        <w:gridCol w:w="1548"/>
      </w:tblGrid>
      <w:tr>
        <w:trPr>
          <w:trHeight w:val="284" w:hRule="atLeast"/>
        </w:trPr>
        <w:tc>
          <w:tcPr>
            <w:tcW w:w="22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Druh zásob</w:t>
            </w:r>
          </w:p>
        </w:tc>
        <w:tc>
          <w:tcPr>
            <w:tcW w:w="1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Zníženie opravnej položky</w:t>
            </w:r>
          </w:p>
        </w:tc>
        <w:tc>
          <w:tcPr>
            <w:tcW w:w="15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Zúčtovanie  opravnej položky</w:t>
            </w:r>
          </w:p>
        </w:tc>
        <w:tc>
          <w:tcPr>
            <w:tcW w:w="1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>
        <w:trPr>
          <w:trHeight w:val="284" w:hRule="atLeast"/>
        </w:trPr>
        <w:tc>
          <w:tcPr>
            <w:tcW w:w="22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1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>
        <w:trPr>
          <w:trHeight w:val="284" w:hRule="atLeast"/>
        </w:trPr>
        <w:tc>
          <w:tcPr>
            <w:tcW w:w="22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Výrobky </w:t>
            </w:r>
          </w:p>
        </w:tc>
        <w:tc>
          <w:tcPr>
            <w:tcW w:w="1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>
        <w:trPr>
          <w:trHeight w:val="284" w:hRule="atLeast"/>
        </w:trPr>
        <w:tc>
          <w:tcPr>
            <w:tcW w:w="22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Zvieratá</w:t>
            </w:r>
          </w:p>
        </w:tc>
        <w:tc>
          <w:tcPr>
            <w:tcW w:w="1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>
        <w:trPr>
          <w:trHeight w:val="284" w:hRule="atLeast"/>
        </w:trPr>
        <w:tc>
          <w:tcPr>
            <w:tcW w:w="22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Tovar</w:t>
            </w:r>
          </w:p>
        </w:tc>
        <w:tc>
          <w:tcPr>
            <w:tcW w:w="1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>
        <w:trPr>
          <w:trHeight w:val="284" w:hRule="atLeast"/>
        </w:trPr>
        <w:tc>
          <w:tcPr>
            <w:tcW w:w="22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Poskytnutý preddavok na zásoby</w:t>
            </w:r>
          </w:p>
        </w:tc>
        <w:tc>
          <w:tcPr>
            <w:tcW w:w="1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1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15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1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22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Zásoby spolu</w:t>
            </w:r>
          </w:p>
        </w:tc>
        <w:tc>
          <w:tcPr>
            <w:tcW w:w="1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5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1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</w:tr>
    </w:tbl>
    <w:p>
      <w:pPr>
        <w:pStyle w:val="Normal"/>
        <w:spacing w:lineRule="auto" w:line="240" w:before="0" w:after="120"/>
        <w:rPr>
          <w:b/>
          <w:b/>
          <w:bCs/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</w:r>
    </w:p>
    <w:p>
      <w:pPr>
        <w:pStyle w:val="Normal"/>
        <w:numPr>
          <w:ilvl w:val="0"/>
          <w:numId w:val="5"/>
        </w:numPr>
        <w:spacing w:lineRule="auto" w:line="240" w:before="0" w:after="120"/>
        <w:rPr>
          <w:b/>
          <w:b/>
          <w:bCs/>
          <w:sz w:val="18"/>
          <w:szCs w:val="18"/>
        </w:rPr>
      </w:pPr>
      <w:r>
        <w:rPr>
          <w:sz w:val="18"/>
          <w:szCs w:val="18"/>
        </w:rPr>
        <w:t>Opis významných pohľadávok v nadväznosti na položky súvahy a v členení na pohľadávky za hlavnú činnosť a podnikateľskú činnosť.-</w:t>
      </w:r>
      <w:r>
        <w:rPr>
          <w:b/>
          <w:bCs/>
          <w:sz w:val="18"/>
          <w:szCs w:val="18"/>
        </w:rPr>
        <w:t xml:space="preserve">netýka sa </w:t>
      </w:r>
    </w:p>
    <w:tbl>
      <w:tblPr>
        <w:tblW w:w="5000" w:type="pct"/>
        <w:jc w:val="left"/>
        <w:tblInd w:w="-14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6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2992"/>
        <w:gridCol w:w="4989"/>
        <w:gridCol w:w="1997"/>
      </w:tblGrid>
      <w:tr>
        <w:trPr>
          <w:trHeight w:val="284" w:hRule="atLeast"/>
        </w:trPr>
        <w:tc>
          <w:tcPr>
            <w:tcW w:w="2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Významné pohľadávky</w:t>
            </w:r>
          </w:p>
        </w:tc>
        <w:tc>
          <w:tcPr>
            <w:tcW w:w="49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Opis </w:t>
            </w:r>
          </w:p>
        </w:tc>
        <w:tc>
          <w:tcPr>
            <w:tcW w:w="19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Suma</w:t>
            </w:r>
          </w:p>
        </w:tc>
      </w:tr>
      <w:tr>
        <w:trPr>
          <w:trHeight w:val="284" w:hRule="atLeast"/>
        </w:trPr>
        <w:tc>
          <w:tcPr>
            <w:tcW w:w="2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49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9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</w:tbl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5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Prehľad  opravných položiek k pohľadávkam, pričom sa uvádza ich stav na začiatku bežného účtovného obdobia, tvorba, zníženie alebo zúčtovanie opravných položiek počas bežného účtovného obdobia a stav na konci bežného účtovného obdobia, ako aj dôvod tvorby, zníženia alebo zúčtovania opravných položiek k pohľadávkam.</w:t>
      </w:r>
    </w:p>
    <w:p>
      <w:pPr>
        <w:pStyle w:val="Normal"/>
        <w:spacing w:lineRule="auto" w:line="240" w:before="0" w:after="120"/>
        <w:rPr>
          <w:b/>
          <w:b/>
          <w:bCs/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 xml:space="preserve">Tabuľka k čl. III ods. 9  o vývoji opravných položiek k pohľadávkam-netýka sa </w:t>
      </w:r>
    </w:p>
    <w:tbl>
      <w:tblPr>
        <w:tblW w:w="5000" w:type="pct"/>
        <w:jc w:val="left"/>
        <w:tblInd w:w="-14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6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2412"/>
        <w:gridCol w:w="1515"/>
        <w:gridCol w:w="1514"/>
        <w:gridCol w:w="1512"/>
        <w:gridCol w:w="1515"/>
        <w:gridCol w:w="1509"/>
      </w:tblGrid>
      <w:tr>
        <w:trPr>
          <w:trHeight w:val="608" w:hRule="atLeast"/>
        </w:trPr>
        <w:tc>
          <w:tcPr>
            <w:tcW w:w="24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Druh pohľadávok</w:t>
            </w:r>
          </w:p>
        </w:tc>
        <w:tc>
          <w:tcPr>
            <w:tcW w:w="15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5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5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Zníženie opravnej položky</w:t>
            </w:r>
          </w:p>
        </w:tc>
        <w:tc>
          <w:tcPr>
            <w:tcW w:w="15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Zúčtovanie  opravnej položky</w:t>
            </w:r>
          </w:p>
        </w:tc>
        <w:tc>
          <w:tcPr>
            <w:tcW w:w="1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>
        <w:trPr>
          <w:trHeight w:val="284" w:hRule="atLeast"/>
        </w:trPr>
        <w:tc>
          <w:tcPr>
            <w:tcW w:w="24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Pohľadávky z obchodného styku</w:t>
            </w:r>
          </w:p>
        </w:tc>
        <w:tc>
          <w:tcPr>
            <w:tcW w:w="15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24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Ostatné pohľadávky</w:t>
            </w:r>
          </w:p>
        </w:tc>
        <w:tc>
          <w:tcPr>
            <w:tcW w:w="15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24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Pohľadávky voči účastníkom združení</w:t>
            </w:r>
          </w:p>
        </w:tc>
        <w:tc>
          <w:tcPr>
            <w:tcW w:w="15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24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Iné pohľadávky</w:t>
            </w:r>
          </w:p>
        </w:tc>
        <w:tc>
          <w:tcPr>
            <w:tcW w:w="15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24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Pohľadávky spolu</w:t>
            </w:r>
          </w:p>
        </w:tc>
        <w:tc>
          <w:tcPr>
            <w:tcW w:w="15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5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5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5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1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</w:tr>
    </w:tbl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5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Prehľad  pohľadávok do lehoty splatnosti a po lehote splatnosti.</w:t>
      </w:r>
    </w:p>
    <w:p>
      <w:pPr>
        <w:pStyle w:val="Normal"/>
        <w:spacing w:lineRule="auto" w:line="240" w:before="0" w:after="120"/>
        <w:rPr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 xml:space="preserve">Tabuľka k čl. III ods. 10  o pohľadávkach do lehoty splatnosti a po lehote splatnosti –netýka sa </w:t>
      </w:r>
    </w:p>
    <w:tbl>
      <w:tblPr>
        <w:tblW w:w="5000" w:type="pct"/>
        <w:jc w:val="left"/>
        <w:tblInd w:w="-14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6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3991"/>
        <w:gridCol w:w="2992"/>
        <w:gridCol w:w="2995"/>
      </w:tblGrid>
      <w:tr>
        <w:trPr>
          <w:trHeight w:val="284" w:hRule="atLeast"/>
        </w:trPr>
        <w:tc>
          <w:tcPr>
            <w:tcW w:w="399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</w:tcPr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598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Stav na konci</w:t>
            </w:r>
          </w:p>
        </w:tc>
      </w:tr>
      <w:tr>
        <w:trPr>
          <w:trHeight w:val="451" w:hRule="atLeast"/>
        </w:trPr>
        <w:tc>
          <w:tcPr>
            <w:tcW w:w="3991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</w:tcPr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2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>
        <w:trPr>
          <w:trHeight w:val="284" w:hRule="atLeast"/>
        </w:trPr>
        <w:tc>
          <w:tcPr>
            <w:tcW w:w="3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Pohľadávky do lehoty splatnosti</w:t>
            </w:r>
          </w:p>
        </w:tc>
        <w:tc>
          <w:tcPr>
            <w:tcW w:w="2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804,57</w:t>
            </w:r>
          </w:p>
        </w:tc>
        <w:tc>
          <w:tcPr>
            <w:tcW w:w="29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2623,20</w:t>
            </w:r>
          </w:p>
        </w:tc>
      </w:tr>
      <w:tr>
        <w:trPr>
          <w:trHeight w:val="284" w:hRule="atLeast"/>
        </w:trPr>
        <w:tc>
          <w:tcPr>
            <w:tcW w:w="3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Pohľadávky po lehote splatnosti</w:t>
            </w:r>
          </w:p>
        </w:tc>
        <w:tc>
          <w:tcPr>
            <w:tcW w:w="2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29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40" w:hRule="atLeast"/>
        </w:trPr>
        <w:tc>
          <w:tcPr>
            <w:tcW w:w="3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Pohľadávky spolu</w:t>
            </w:r>
          </w:p>
        </w:tc>
        <w:tc>
          <w:tcPr>
            <w:tcW w:w="2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804,57</w:t>
            </w:r>
          </w:p>
        </w:tc>
        <w:tc>
          <w:tcPr>
            <w:tcW w:w="29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2623,20</w:t>
            </w:r>
          </w:p>
        </w:tc>
      </w:tr>
    </w:tbl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5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Prehľad významných položiek časového rozlíšenia nákladov budúcich období a príjmov budúcich období.</w:t>
      </w:r>
    </w:p>
    <w:tbl>
      <w:tblPr>
        <w:tblW w:w="5000" w:type="pct"/>
        <w:jc w:val="left"/>
        <w:tblInd w:w="-14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6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2992"/>
        <w:gridCol w:w="4989"/>
        <w:gridCol w:w="1997"/>
      </w:tblGrid>
      <w:tr>
        <w:trPr>
          <w:trHeight w:val="284" w:hRule="atLeast"/>
        </w:trPr>
        <w:tc>
          <w:tcPr>
            <w:tcW w:w="2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Významné položky časového rozlíšenia nákladov </w:t>
            </w:r>
          </w:p>
        </w:tc>
        <w:tc>
          <w:tcPr>
            <w:tcW w:w="49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Opis</w:t>
            </w:r>
          </w:p>
        </w:tc>
        <w:tc>
          <w:tcPr>
            <w:tcW w:w="19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Suma</w:t>
            </w:r>
          </w:p>
        </w:tc>
      </w:tr>
      <w:tr>
        <w:trPr>
          <w:trHeight w:val="284" w:hRule="atLeast"/>
        </w:trPr>
        <w:tc>
          <w:tcPr>
            <w:tcW w:w="2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numPr>
                <w:ilvl w:val="0"/>
                <w:numId w:val="7"/>
              </w:numPr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časové rozlíšenie nákladov</w:t>
            </w:r>
          </w:p>
        </w:tc>
        <w:tc>
          <w:tcPr>
            <w:tcW w:w="49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Telefon,domena,poistenie</w:t>
            </w:r>
          </w:p>
        </w:tc>
        <w:tc>
          <w:tcPr>
            <w:tcW w:w="19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915,64</w:t>
            </w:r>
          </w:p>
        </w:tc>
      </w:tr>
      <w:tr>
        <w:trPr>
          <w:trHeight w:val="284" w:hRule="atLeast"/>
        </w:trPr>
        <w:tc>
          <w:tcPr>
            <w:tcW w:w="2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numPr>
                <w:ilvl w:val="0"/>
                <w:numId w:val="7"/>
              </w:numPr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príjmy budúcich období</w:t>
            </w:r>
          </w:p>
        </w:tc>
        <w:tc>
          <w:tcPr>
            <w:tcW w:w="49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9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</w:tbl>
    <w:p>
      <w:pPr>
        <w:pStyle w:val="Normal"/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5"/>
        </w:numPr>
        <w:spacing w:lineRule="auto" w:line="240"/>
        <w:rPr>
          <w:sz w:val="18"/>
          <w:szCs w:val="18"/>
        </w:rPr>
      </w:pPr>
      <w:r>
        <w:rPr>
          <w:sz w:val="18"/>
          <w:szCs w:val="18"/>
        </w:rPr>
        <w:t xml:space="preserve">Opis a výška zmien vlastných zdrojov krytia neobežného majetku a obežného majetku podľa položiek súvahy za bežné účtovné obdobie, a to </w:t>
      </w:r>
    </w:p>
    <w:p>
      <w:pPr>
        <w:pStyle w:val="Normal"/>
        <w:numPr>
          <w:ilvl w:val="0"/>
          <w:numId w:val="8"/>
        </w:numPr>
        <w:spacing w:lineRule="auto" w:line="240"/>
        <w:rPr>
          <w:sz w:val="18"/>
          <w:szCs w:val="18"/>
        </w:rPr>
      </w:pPr>
      <w:r>
        <w:rPr>
          <w:sz w:val="18"/>
          <w:szCs w:val="18"/>
        </w:rPr>
        <w:t>opis základného imania, nadačného imania v nadáciách, výška vkladov zakladateľov alebo zriaďovateľov, prioritný majetok v neziskových organizáciách poskytujúcich všeobecne prospešné služby, prevody zdrojov z fondov účtovnej jednotky a podobne; za jednotlivé položky sa uvádza stav na začiatku bežného účtovného obdobia, jednotlivé prírastky, úbytky, presuny a zostatok na konci bežného účtovného obdobia,</w:t>
      </w:r>
    </w:p>
    <w:p>
      <w:pPr>
        <w:pStyle w:val="Normal"/>
        <w:numPr>
          <w:ilvl w:val="0"/>
          <w:numId w:val="8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 xml:space="preserve">opis jednotlivých druhov fondov, ktoré tvorí účtovná jednotka, stav na začiatku bežného účtovného obdobia, prírastky, úbytky, presuny a zostatok na konci bežného účtovného obdobia. </w:t>
      </w:r>
    </w:p>
    <w:p>
      <w:pPr>
        <w:pStyle w:val="Normal"/>
        <w:spacing w:lineRule="auto" w:line="240" w:before="0" w:after="0"/>
        <w:jc w:val="left"/>
        <w:rPr>
          <w:b/>
          <w:b/>
          <w:bCs/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</w:r>
      <w:r>
        <w:br w:type="page"/>
      </w:r>
    </w:p>
    <w:p>
      <w:pPr>
        <w:pStyle w:val="Normal"/>
        <w:spacing w:lineRule="auto" w:line="240" w:before="0" w:after="120"/>
        <w:rPr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Tabuľka k čl. III ods. 12 o zmenách vlastných zdrojov krytia neobežného majetku a obežného majetku</w:t>
      </w:r>
      <w:r>
        <w:rPr>
          <w:i/>
          <w:iCs/>
          <w:sz w:val="18"/>
          <w:szCs w:val="18"/>
        </w:rPr>
        <w:t xml:space="preserve">    </w:t>
      </w:r>
    </w:p>
    <w:tbl>
      <w:tblPr>
        <w:tblW w:w="4450" w:type="pct"/>
        <w:jc w:val="left"/>
        <w:tblInd w:w="-14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6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3550"/>
        <w:gridCol w:w="1063"/>
        <w:gridCol w:w="1062"/>
        <w:gridCol w:w="1065"/>
        <w:gridCol w:w="1066"/>
        <w:gridCol w:w="1073"/>
      </w:tblGrid>
      <w:tr>
        <w:trPr>
          <w:trHeight w:val="284" w:hRule="atLeast"/>
        </w:trPr>
        <w:tc>
          <w:tcPr>
            <w:tcW w:w="3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10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Prírastky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(+)</w:t>
            </w: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Úbytky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(-)</w:t>
            </w:r>
          </w:p>
        </w:tc>
        <w:tc>
          <w:tcPr>
            <w:tcW w:w="10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Presuny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(+, -)</w:t>
            </w:r>
          </w:p>
        </w:tc>
        <w:tc>
          <w:tcPr>
            <w:tcW w:w="1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>
        <w:trPr>
          <w:trHeight w:val="284" w:hRule="atLeast"/>
        </w:trPr>
        <w:tc>
          <w:tcPr>
            <w:tcW w:w="8879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</w:rPr>
              <w:t>Imanie a fondy</w:t>
            </w:r>
          </w:p>
        </w:tc>
      </w:tr>
      <w:tr>
        <w:trPr>
          <w:trHeight w:val="284" w:hRule="atLeast"/>
        </w:trPr>
        <w:tc>
          <w:tcPr>
            <w:tcW w:w="3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Základné imanie</w:t>
            </w:r>
          </w:p>
        </w:tc>
        <w:tc>
          <w:tcPr>
            <w:tcW w:w="10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>
        <w:trPr>
          <w:trHeight w:val="284" w:hRule="atLeast"/>
        </w:trPr>
        <w:tc>
          <w:tcPr>
            <w:tcW w:w="3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 toho: </w:t>
            </w:r>
          </w:p>
          <w:p>
            <w:pPr>
              <w:pStyle w:val="Normal"/>
              <w:numPr>
                <w:ilvl w:val="0"/>
                <w:numId w:val="9"/>
              </w:numPr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nadačné imanie v nadácii</w:t>
            </w:r>
          </w:p>
        </w:tc>
        <w:tc>
          <w:tcPr>
            <w:tcW w:w="10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3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numPr>
                <w:ilvl w:val="0"/>
                <w:numId w:val="9"/>
              </w:numPr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vklady zakladateľov</w:t>
            </w:r>
          </w:p>
        </w:tc>
        <w:tc>
          <w:tcPr>
            <w:tcW w:w="10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3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numPr>
                <w:ilvl w:val="0"/>
                <w:numId w:val="9"/>
              </w:numPr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prioritný majetok</w:t>
            </w:r>
          </w:p>
        </w:tc>
        <w:tc>
          <w:tcPr>
            <w:tcW w:w="10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3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Fondy tvorené podľa osobitného predpisu</w:t>
            </w:r>
          </w:p>
        </w:tc>
        <w:tc>
          <w:tcPr>
            <w:tcW w:w="10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31719,75</w:t>
            </w:r>
          </w:p>
        </w:tc>
        <w:tc>
          <w:tcPr>
            <w:tcW w:w="1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31719,75</w:t>
            </w:r>
          </w:p>
        </w:tc>
      </w:tr>
      <w:tr>
        <w:trPr>
          <w:trHeight w:val="284" w:hRule="atLeast"/>
        </w:trPr>
        <w:tc>
          <w:tcPr>
            <w:tcW w:w="3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Fond reprodukcie</w:t>
            </w:r>
          </w:p>
        </w:tc>
        <w:tc>
          <w:tcPr>
            <w:tcW w:w="10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>
        <w:trPr>
          <w:trHeight w:val="284" w:hRule="atLeast"/>
        </w:trPr>
        <w:tc>
          <w:tcPr>
            <w:tcW w:w="3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10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>
        <w:trPr>
          <w:trHeight w:val="284" w:hRule="atLeast"/>
        </w:trPr>
        <w:tc>
          <w:tcPr>
            <w:tcW w:w="8879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Fondy zo zisku</w:t>
            </w:r>
          </w:p>
        </w:tc>
      </w:tr>
      <w:tr>
        <w:trPr>
          <w:trHeight w:val="284" w:hRule="atLeast"/>
        </w:trPr>
        <w:tc>
          <w:tcPr>
            <w:tcW w:w="3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Rezervný fond</w:t>
            </w:r>
          </w:p>
        </w:tc>
        <w:tc>
          <w:tcPr>
            <w:tcW w:w="10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>
        <w:trPr>
          <w:trHeight w:val="284" w:hRule="atLeast"/>
        </w:trPr>
        <w:tc>
          <w:tcPr>
            <w:tcW w:w="3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Fondy tvorené zo zisku</w:t>
            </w:r>
          </w:p>
        </w:tc>
        <w:tc>
          <w:tcPr>
            <w:tcW w:w="10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>
        <w:trPr>
          <w:trHeight w:val="284" w:hRule="atLeast"/>
        </w:trPr>
        <w:tc>
          <w:tcPr>
            <w:tcW w:w="3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Ostatné fondy</w:t>
            </w:r>
          </w:p>
        </w:tc>
        <w:tc>
          <w:tcPr>
            <w:tcW w:w="10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>
        <w:trPr>
          <w:trHeight w:val="284" w:hRule="atLeast"/>
        </w:trPr>
        <w:tc>
          <w:tcPr>
            <w:tcW w:w="3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Nevysporiadaný výsledok hospodárenia minulých rokov</w:t>
            </w:r>
          </w:p>
        </w:tc>
        <w:tc>
          <w:tcPr>
            <w:tcW w:w="10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-281973,21</w:t>
            </w:r>
          </w:p>
        </w:tc>
        <w:tc>
          <w:tcPr>
            <w:tcW w:w="1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-274684,47</w:t>
            </w: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-281973,21</w:t>
            </w:r>
          </w:p>
        </w:tc>
        <w:tc>
          <w:tcPr>
            <w:tcW w:w="1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-274684,47</w:t>
            </w:r>
          </w:p>
        </w:tc>
      </w:tr>
      <w:tr>
        <w:trPr>
          <w:trHeight w:val="284" w:hRule="atLeast"/>
        </w:trPr>
        <w:tc>
          <w:tcPr>
            <w:tcW w:w="3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Výsledok hospodárenia za účtovné obdobie</w:t>
            </w:r>
          </w:p>
        </w:tc>
        <w:tc>
          <w:tcPr>
            <w:tcW w:w="10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-7288,74</w:t>
            </w:r>
          </w:p>
        </w:tc>
        <w:tc>
          <w:tcPr>
            <w:tcW w:w="1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32355,18</w:t>
            </w: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-7288,74</w:t>
            </w:r>
          </w:p>
        </w:tc>
        <w:tc>
          <w:tcPr>
            <w:tcW w:w="1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32355,18</w:t>
            </w:r>
          </w:p>
        </w:tc>
      </w:tr>
      <w:tr>
        <w:trPr>
          <w:trHeight w:val="284" w:hRule="atLeast"/>
        </w:trPr>
        <w:tc>
          <w:tcPr>
            <w:tcW w:w="3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10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-242964,72</w:t>
            </w:r>
          </w:p>
        </w:tc>
        <w:tc>
          <w:tcPr>
            <w:tcW w:w="1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-242329,29</w:t>
            </w:r>
          </w:p>
        </w:tc>
        <w:tc>
          <w:tcPr>
            <w:tcW w:w="10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0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-242964,72</w:t>
            </w:r>
          </w:p>
        </w:tc>
        <w:tc>
          <w:tcPr>
            <w:tcW w:w="1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-210609,54</w:t>
            </w:r>
          </w:p>
        </w:tc>
      </w:tr>
    </w:tbl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5"/>
        </w:numPr>
        <w:spacing w:lineRule="auto" w:line="240" w:before="0" w:after="120"/>
        <w:ind w:left="357" w:hanging="357"/>
        <w:rPr>
          <w:sz w:val="18"/>
          <w:szCs w:val="18"/>
        </w:rPr>
      </w:pPr>
      <w:r>
        <w:rPr>
          <w:sz w:val="18"/>
          <w:szCs w:val="18"/>
        </w:rPr>
        <w:t>Informácia o rozdelení účtovného zisku alebo vysporiadaní účtovnej straty vykázanej v minulých účtovných obdobiach.</w:t>
      </w:r>
    </w:p>
    <w:p>
      <w:pPr>
        <w:pStyle w:val="Normal"/>
        <w:spacing w:lineRule="auto" w:line="240" w:before="0" w:after="120"/>
        <w:rPr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Tabuľka k čl. III ods. 13 o rozdelení účtovného zisku alebo vysporiadaní účtovnej straty</w:t>
      </w:r>
    </w:p>
    <w:tbl>
      <w:tblPr>
        <w:tblW w:w="5000" w:type="pct"/>
        <w:jc w:val="left"/>
        <w:tblInd w:w="-14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6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5653"/>
        <w:gridCol w:w="4324"/>
      </w:tblGrid>
      <w:tr>
        <w:trPr>
          <w:trHeight w:val="284" w:hRule="atLeast"/>
        </w:trPr>
        <w:tc>
          <w:tcPr>
            <w:tcW w:w="5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TopHeader"/>
              <w:rPr/>
            </w:pPr>
            <w:r>
              <w:rPr>
                <w:sz w:val="16"/>
                <w:szCs w:val="16"/>
              </w:rPr>
              <w:t>Názov položky</w:t>
            </w:r>
          </w:p>
        </w:tc>
        <w:tc>
          <w:tcPr>
            <w:tcW w:w="4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TopHead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Bezprostredne predchádzajúce účtovné obdobie</w:t>
            </w:r>
          </w:p>
        </w:tc>
      </w:tr>
      <w:tr>
        <w:trPr>
          <w:trHeight w:val="284" w:hRule="atLeast"/>
        </w:trPr>
        <w:tc>
          <w:tcPr>
            <w:tcW w:w="5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4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</w:tr>
      <w:tr>
        <w:trPr>
          <w:trHeight w:val="284" w:hRule="atLeast"/>
        </w:trPr>
        <w:tc>
          <w:tcPr>
            <w:tcW w:w="997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>
        <w:trPr>
          <w:trHeight w:val="284" w:hRule="atLeast"/>
        </w:trPr>
        <w:tc>
          <w:tcPr>
            <w:tcW w:w="5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4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5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color w:val="000000"/>
                <w:sz w:val="16"/>
                <w:szCs w:val="16"/>
              </w:rPr>
              <w:t>Prídel do f</w:t>
            </w:r>
            <w:r>
              <w:rPr>
                <w:sz w:val="16"/>
                <w:szCs w:val="16"/>
              </w:rPr>
              <w:t>ondu tvoreného podľa osobitného predpisu</w:t>
            </w:r>
          </w:p>
        </w:tc>
        <w:tc>
          <w:tcPr>
            <w:tcW w:w="4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5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4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5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4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5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4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5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4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5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4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5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5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color w:val="000000"/>
                <w:sz w:val="16"/>
                <w:szCs w:val="16"/>
              </w:rPr>
              <w:t>Prevod  do n</w:t>
            </w:r>
            <w:r>
              <w:rPr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4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5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5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4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color w:val="000000"/>
                <w:sz w:val="16"/>
                <w:szCs w:val="16"/>
              </w:rPr>
              <w:t>-7288,74</w:t>
            </w:r>
          </w:p>
        </w:tc>
      </w:tr>
      <w:tr>
        <w:trPr>
          <w:trHeight w:val="284" w:hRule="atLeast"/>
        </w:trPr>
        <w:tc>
          <w:tcPr>
            <w:tcW w:w="997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>
        <w:trPr>
          <w:trHeight w:val="284" w:hRule="atLeast"/>
        </w:trPr>
        <w:tc>
          <w:tcPr>
            <w:tcW w:w="5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4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5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4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5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4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5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4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5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4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5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color w:val="000000"/>
                <w:sz w:val="16"/>
                <w:szCs w:val="16"/>
              </w:rPr>
              <w:t>Prevod do n</w:t>
            </w:r>
            <w:r>
              <w:rPr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4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0"/>
                <w:sz w:val="16"/>
                <w:szCs w:val="16"/>
              </w:rPr>
              <w:t>-7288,74</w:t>
            </w:r>
          </w:p>
        </w:tc>
      </w:tr>
      <w:tr>
        <w:trPr>
          <w:trHeight w:val="284" w:hRule="atLeast"/>
        </w:trPr>
        <w:tc>
          <w:tcPr>
            <w:tcW w:w="56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</w:tr>
    </w:tbl>
    <w:p>
      <w:pPr>
        <w:pStyle w:val="Normal"/>
        <w:numPr>
          <w:ilvl w:val="0"/>
          <w:numId w:val="5"/>
        </w:numPr>
        <w:spacing w:lineRule="auto" w:line="240"/>
        <w:rPr>
          <w:sz w:val="18"/>
          <w:szCs w:val="18"/>
        </w:rPr>
      </w:pPr>
      <w:r>
        <w:rPr>
          <w:sz w:val="18"/>
          <w:szCs w:val="18"/>
        </w:rPr>
        <w:t>Opis a výška cudzích zdrojov, a to</w:t>
      </w:r>
    </w:p>
    <w:p>
      <w:pPr>
        <w:pStyle w:val="Normal"/>
        <w:numPr>
          <w:ilvl w:val="0"/>
          <w:numId w:val="10"/>
        </w:numPr>
        <w:spacing w:lineRule="auto" w:line="240"/>
        <w:rPr>
          <w:sz w:val="18"/>
          <w:szCs w:val="18"/>
        </w:rPr>
      </w:pPr>
      <w:r>
        <w:rPr>
          <w:sz w:val="18"/>
          <w:szCs w:val="18"/>
        </w:rPr>
        <w:t>údaje o jednotlivých druhoch rezerv, ktoré tvorí účtovná jednotka; uvádza sa stav rezerv na začiatku bežného účtovného obdobia, ich tvorba, zníženie, použitie alebo zrušenie počas bežného účtovného obdobia a zostatok rezervy na konci bežného účtovného obdobia, pričom sa uvedie predpokladaný rok použitia rezervy</w:t>
      </w:r>
    </w:p>
    <w:p>
      <w:pPr>
        <w:pStyle w:val="Normal"/>
        <w:spacing w:lineRule="auto" w:line="240" w:before="0" w:after="120"/>
        <w:ind w:left="360" w:hanging="0"/>
        <w:rPr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Tabuľka k čl. III ods. 14 písm. a) o  tvorbe a použití rezerv</w:t>
      </w:r>
    </w:p>
    <w:tbl>
      <w:tblPr>
        <w:tblW w:w="5000" w:type="pct"/>
        <w:jc w:val="left"/>
        <w:tblInd w:w="-3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6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2924"/>
        <w:gridCol w:w="1412"/>
        <w:gridCol w:w="1411"/>
        <w:gridCol w:w="1411"/>
        <w:gridCol w:w="1411"/>
        <w:gridCol w:w="1408"/>
      </w:tblGrid>
      <w:tr>
        <w:trPr>
          <w:trHeight w:val="284" w:hRule="atLeast"/>
        </w:trPr>
        <w:tc>
          <w:tcPr>
            <w:tcW w:w="29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Druh rezervy</w:t>
            </w:r>
          </w:p>
        </w:tc>
        <w:tc>
          <w:tcPr>
            <w:tcW w:w="14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Tvorba rezerv</w:t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Použitie rezerv</w:t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Zrušenie alebo zníženie rezerv</w:t>
            </w:r>
          </w:p>
        </w:tc>
        <w:tc>
          <w:tcPr>
            <w:tcW w:w="14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>
        <w:trPr>
          <w:trHeight w:val="284" w:hRule="atLeast"/>
        </w:trPr>
        <w:tc>
          <w:tcPr>
            <w:tcW w:w="29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14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4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29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14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4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29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Zákonné rezervy spolu</w:t>
            </w:r>
          </w:p>
        </w:tc>
        <w:tc>
          <w:tcPr>
            <w:tcW w:w="14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14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</w:tr>
      <w:tr>
        <w:trPr>
          <w:trHeight w:val="479" w:hRule="atLeast"/>
        </w:trPr>
        <w:tc>
          <w:tcPr>
            <w:tcW w:w="29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14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4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29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sz w:val="16"/>
                <w:szCs w:val="16"/>
              </w:rPr>
              <w:t>Rezerva na nevyč.dovolenky 20</w:t>
            </w:r>
            <w:r>
              <w:rPr>
                <w:sz w:val="16"/>
                <w:szCs w:val="16"/>
              </w:rPr>
              <w:t>21</w:t>
            </w:r>
          </w:p>
        </w:tc>
        <w:tc>
          <w:tcPr>
            <w:tcW w:w="14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3945,37</w:t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7141,16</w:t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3945,37</w:t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4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7141,16</w:t>
            </w:r>
          </w:p>
        </w:tc>
      </w:tr>
      <w:tr>
        <w:trPr>
          <w:trHeight w:val="284" w:hRule="atLeast"/>
        </w:trPr>
        <w:tc>
          <w:tcPr>
            <w:tcW w:w="29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Ostatné rezervy spolu</w:t>
            </w:r>
          </w:p>
        </w:tc>
        <w:tc>
          <w:tcPr>
            <w:tcW w:w="14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4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29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Rezervy spolu</w:t>
            </w:r>
          </w:p>
        </w:tc>
        <w:tc>
          <w:tcPr>
            <w:tcW w:w="14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3945,37</w:t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7141,16</w:t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3945,37</w:t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4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7141,16</w:t>
            </w:r>
          </w:p>
        </w:tc>
      </w:tr>
    </w:tbl>
    <w:p>
      <w:pPr>
        <w:pStyle w:val="Normal"/>
        <w:numPr>
          <w:ilvl w:val="0"/>
          <w:numId w:val="10"/>
        </w:numPr>
        <w:spacing w:lineRule="auto" w:line="240"/>
        <w:rPr>
          <w:sz w:val="18"/>
          <w:szCs w:val="18"/>
        </w:rPr>
      </w:pPr>
      <w:r>
        <w:rPr>
          <w:sz w:val="18"/>
          <w:szCs w:val="18"/>
        </w:rPr>
        <w:t>údaje o významných položkách na účtoch 325 - Ostatné záväzky a 379 – Iné záväzky; uvádza sa začiatočný stav, prírastky, úbytky a konečný zostatok podľa jednotlivých druhov záväzkov,-</w:t>
      </w:r>
      <w:r>
        <w:rPr>
          <w:b/>
          <w:bCs/>
          <w:sz w:val="18"/>
          <w:szCs w:val="18"/>
        </w:rPr>
        <w:t>netýka sa</w:t>
      </w:r>
      <w:r>
        <w:rPr>
          <w:sz w:val="18"/>
          <w:szCs w:val="18"/>
        </w:rPr>
        <w:t xml:space="preserve"> </w:t>
      </w:r>
    </w:p>
    <w:tbl>
      <w:tblPr>
        <w:tblW w:w="10382" w:type="dxa"/>
        <w:jc w:val="left"/>
        <w:tblInd w:w="-3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6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4173"/>
        <w:gridCol w:w="1550"/>
        <w:gridCol w:w="1550"/>
        <w:gridCol w:w="1550"/>
        <w:gridCol w:w="1559"/>
      </w:tblGrid>
      <w:tr>
        <w:trPr>
          <w:trHeight w:val="284" w:hRule="atLeast"/>
        </w:trPr>
        <w:tc>
          <w:tcPr>
            <w:tcW w:w="4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Významné položky ostatných a iných záväzkov 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Začiatočný stav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Konečný zostatok</w:t>
            </w:r>
          </w:p>
        </w:tc>
      </w:tr>
      <w:tr>
        <w:trPr>
          <w:trHeight w:val="284" w:hRule="atLeast"/>
        </w:trPr>
        <w:tc>
          <w:tcPr>
            <w:tcW w:w="4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</w:tbl>
    <w:p>
      <w:pPr>
        <w:pStyle w:val="Normal"/>
        <w:numPr>
          <w:ilvl w:val="0"/>
          <w:numId w:val="10"/>
        </w:numPr>
        <w:spacing w:lineRule="auto" w:line="240"/>
        <w:rPr>
          <w:sz w:val="18"/>
          <w:szCs w:val="18"/>
        </w:rPr>
      </w:pPr>
      <w:r>
        <w:rPr>
          <w:sz w:val="18"/>
          <w:szCs w:val="18"/>
        </w:rPr>
        <w:t>prehľad  o výške záväzkov do lehoty splatnosti a po lehote splatnosti,</w:t>
      </w:r>
    </w:p>
    <w:tbl>
      <w:tblPr>
        <w:tblW w:w="5000" w:type="pct"/>
        <w:jc w:val="left"/>
        <w:tblInd w:w="-3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6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3991"/>
        <w:gridCol w:w="2992"/>
        <w:gridCol w:w="2995"/>
      </w:tblGrid>
      <w:tr>
        <w:trPr>
          <w:trHeight w:val="284" w:hRule="atLeast"/>
        </w:trPr>
        <w:tc>
          <w:tcPr>
            <w:tcW w:w="399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</w:tcPr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598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Stav na konci</w:t>
            </w:r>
          </w:p>
        </w:tc>
      </w:tr>
      <w:tr>
        <w:trPr>
          <w:trHeight w:val="284" w:hRule="atLeast"/>
        </w:trPr>
        <w:tc>
          <w:tcPr>
            <w:tcW w:w="3991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</w:tcPr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2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>
        <w:trPr>
          <w:trHeight w:val="284" w:hRule="atLeast"/>
        </w:trPr>
        <w:tc>
          <w:tcPr>
            <w:tcW w:w="3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 do lehoty splatnosti</w:t>
            </w:r>
          </w:p>
        </w:tc>
        <w:tc>
          <w:tcPr>
            <w:tcW w:w="2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113909,90</w:t>
            </w:r>
          </w:p>
        </w:tc>
        <w:tc>
          <w:tcPr>
            <w:tcW w:w="29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120102,37</w:t>
            </w:r>
          </w:p>
        </w:tc>
      </w:tr>
      <w:tr>
        <w:trPr>
          <w:trHeight w:val="284" w:hRule="atLeast"/>
        </w:trPr>
        <w:tc>
          <w:tcPr>
            <w:tcW w:w="3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 po lehote splatnosti</w:t>
            </w:r>
          </w:p>
        </w:tc>
        <w:tc>
          <w:tcPr>
            <w:tcW w:w="2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29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3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Záväzky spolu</w:t>
            </w:r>
          </w:p>
        </w:tc>
        <w:tc>
          <w:tcPr>
            <w:tcW w:w="2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113909,90</w:t>
            </w:r>
          </w:p>
        </w:tc>
        <w:tc>
          <w:tcPr>
            <w:tcW w:w="29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120102,37</w:t>
            </w:r>
          </w:p>
        </w:tc>
      </w:tr>
    </w:tbl>
    <w:p>
      <w:pPr>
        <w:pStyle w:val="Normal"/>
        <w:spacing w:lineRule="auto" w:line="240" w:before="0" w:after="0"/>
        <w:ind w:left="363" w:hanging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10"/>
        </w:numPr>
        <w:spacing w:lineRule="auto" w:line="240" w:before="0" w:after="0"/>
        <w:ind w:left="720" w:hanging="357"/>
        <w:rPr>
          <w:sz w:val="18"/>
          <w:szCs w:val="18"/>
        </w:rPr>
      </w:pPr>
      <w:r>
        <w:rPr>
          <w:sz w:val="18"/>
          <w:szCs w:val="18"/>
        </w:rPr>
        <w:t xml:space="preserve">prehľad o výške záväzkov podľa zostatkovej doby splatnosti v členení podľa položiek súvahy </w:t>
      </w:r>
    </w:p>
    <w:p>
      <w:pPr>
        <w:pStyle w:val="Normal"/>
        <w:numPr>
          <w:ilvl w:val="2"/>
          <w:numId w:val="4"/>
        </w:numPr>
        <w:spacing w:lineRule="auto" w:line="240" w:before="0" w:after="0"/>
        <w:ind w:left="1080" w:hanging="357"/>
        <w:rPr>
          <w:sz w:val="18"/>
          <w:szCs w:val="18"/>
        </w:rPr>
      </w:pPr>
      <w:r>
        <w:rPr>
          <w:sz w:val="18"/>
          <w:szCs w:val="18"/>
        </w:rPr>
        <w:t>do jedného roka vrátane,</w:t>
      </w:r>
    </w:p>
    <w:p>
      <w:pPr>
        <w:pStyle w:val="Normal"/>
        <w:numPr>
          <w:ilvl w:val="2"/>
          <w:numId w:val="4"/>
        </w:numPr>
        <w:spacing w:lineRule="auto" w:line="240" w:before="0" w:after="0"/>
        <w:ind w:left="1080" w:hanging="357"/>
        <w:rPr>
          <w:sz w:val="18"/>
          <w:szCs w:val="18"/>
        </w:rPr>
      </w:pPr>
      <w:r>
        <w:rPr>
          <w:sz w:val="18"/>
          <w:szCs w:val="18"/>
        </w:rPr>
        <w:t>od jedného roka do piatich rokov vrátane,</w:t>
      </w:r>
    </w:p>
    <w:p>
      <w:pPr>
        <w:pStyle w:val="Normal"/>
        <w:numPr>
          <w:ilvl w:val="2"/>
          <w:numId w:val="4"/>
        </w:numPr>
        <w:spacing w:lineRule="auto" w:line="240" w:before="0" w:after="0"/>
        <w:ind w:left="1077" w:hanging="357"/>
        <w:rPr>
          <w:sz w:val="18"/>
          <w:szCs w:val="18"/>
        </w:rPr>
      </w:pPr>
      <w:r>
        <w:rPr>
          <w:sz w:val="18"/>
          <w:szCs w:val="18"/>
        </w:rPr>
        <w:t>viac ako päť rokov</w:t>
      </w:r>
    </w:p>
    <w:p>
      <w:pPr>
        <w:pStyle w:val="Normal"/>
        <w:spacing w:lineRule="auto" w:line="240" w:before="0" w:after="0"/>
        <w:ind w:left="720" w:hanging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spacing w:lineRule="auto" w:line="240" w:before="0" w:after="120"/>
        <w:ind w:left="360" w:hanging="0"/>
        <w:rPr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Tabuľka k čl. III ods. 14 písm. c) a d) o záväzkoch</w:t>
      </w:r>
    </w:p>
    <w:tbl>
      <w:tblPr>
        <w:tblW w:w="5000" w:type="pct"/>
        <w:jc w:val="left"/>
        <w:tblInd w:w="-3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6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4981"/>
        <w:gridCol w:w="2496"/>
        <w:gridCol w:w="2501"/>
      </w:tblGrid>
      <w:tr>
        <w:trPr>
          <w:trHeight w:val="284" w:hRule="atLeast"/>
        </w:trPr>
        <w:tc>
          <w:tcPr>
            <w:tcW w:w="498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Druh záväzkov</w:t>
            </w:r>
          </w:p>
        </w:tc>
        <w:tc>
          <w:tcPr>
            <w:tcW w:w="499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Stav na konci</w:t>
            </w:r>
          </w:p>
        </w:tc>
      </w:tr>
      <w:tr>
        <w:trPr>
          <w:trHeight w:val="284" w:hRule="atLeast"/>
        </w:trPr>
        <w:tc>
          <w:tcPr>
            <w:tcW w:w="4981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24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5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>
        <w:trPr>
          <w:trHeight w:val="284" w:hRule="atLeast"/>
        </w:trPr>
        <w:tc>
          <w:tcPr>
            <w:tcW w:w="49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 po lehote splatnosti</w:t>
            </w:r>
          </w:p>
        </w:tc>
        <w:tc>
          <w:tcPr>
            <w:tcW w:w="24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  <w:tc>
          <w:tcPr>
            <w:tcW w:w="25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</w:r>
          </w:p>
        </w:tc>
      </w:tr>
      <w:tr>
        <w:trPr>
          <w:trHeight w:val="284" w:hRule="atLeast"/>
        </w:trPr>
        <w:tc>
          <w:tcPr>
            <w:tcW w:w="49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24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  <w:lang w:eastAsia="sk-SK"/>
              </w:rPr>
              <w:t>31285,69</w:t>
            </w:r>
          </w:p>
        </w:tc>
        <w:tc>
          <w:tcPr>
            <w:tcW w:w="25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  <w:lang w:eastAsia="sk-SK"/>
              </w:rPr>
              <w:t>37478,16</w:t>
            </w:r>
          </w:p>
        </w:tc>
      </w:tr>
      <w:tr>
        <w:trPr>
          <w:trHeight w:val="284" w:hRule="atLeast"/>
        </w:trPr>
        <w:tc>
          <w:tcPr>
            <w:tcW w:w="49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Krátkodobé záväzky spolu</w:t>
            </w:r>
          </w:p>
        </w:tc>
        <w:tc>
          <w:tcPr>
            <w:tcW w:w="24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37478,16</w:t>
            </w:r>
          </w:p>
        </w:tc>
        <w:tc>
          <w:tcPr>
            <w:tcW w:w="25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37478,16</w:t>
            </w:r>
          </w:p>
        </w:tc>
      </w:tr>
      <w:tr>
        <w:trPr>
          <w:trHeight w:val="284" w:hRule="atLeast"/>
        </w:trPr>
        <w:tc>
          <w:tcPr>
            <w:tcW w:w="49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24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82624,21</w:t>
            </w:r>
          </w:p>
        </w:tc>
        <w:tc>
          <w:tcPr>
            <w:tcW w:w="25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82624,21</w:t>
            </w:r>
          </w:p>
        </w:tc>
      </w:tr>
      <w:tr>
        <w:trPr>
          <w:trHeight w:val="284" w:hRule="atLeast"/>
        </w:trPr>
        <w:tc>
          <w:tcPr>
            <w:tcW w:w="49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24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25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49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Dlhodobé záväzky spolu</w:t>
            </w:r>
          </w:p>
        </w:tc>
        <w:tc>
          <w:tcPr>
            <w:tcW w:w="24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82624,21</w:t>
            </w:r>
          </w:p>
        </w:tc>
        <w:tc>
          <w:tcPr>
            <w:tcW w:w="25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82624,21</w:t>
            </w:r>
          </w:p>
        </w:tc>
      </w:tr>
      <w:tr>
        <w:trPr>
          <w:trHeight w:val="284" w:hRule="atLeast"/>
        </w:trPr>
        <w:tc>
          <w:tcPr>
            <w:tcW w:w="49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Krátkodobé a dlhodobé záväzky spolu</w:t>
            </w:r>
          </w:p>
        </w:tc>
        <w:tc>
          <w:tcPr>
            <w:tcW w:w="24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113909,90</w:t>
            </w:r>
          </w:p>
        </w:tc>
        <w:tc>
          <w:tcPr>
            <w:tcW w:w="25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120102,37</w:t>
            </w:r>
          </w:p>
        </w:tc>
      </w:tr>
    </w:tbl>
    <w:p>
      <w:pPr>
        <w:pStyle w:val="Normal"/>
        <w:numPr>
          <w:ilvl w:val="0"/>
          <w:numId w:val="10"/>
        </w:numPr>
        <w:spacing w:lineRule="auto" w:line="240"/>
        <w:rPr/>
      </w:pPr>
      <w:r>
        <w:rPr>
          <w:sz w:val="18"/>
          <w:szCs w:val="18"/>
        </w:rPr>
        <w:t>prehľad o záväzkoch zo sociálneho fondu; uvádza sa začiatočný stav, tvorba a čerpanie sociálneho fondu počas účtovného obdobia a zostatok na konci účtovného obdobia,</w:t>
      </w:r>
    </w:p>
    <w:p>
      <w:pPr>
        <w:pStyle w:val="Normal"/>
        <w:spacing w:lineRule="auto" w:line="240" w:before="0" w:after="120"/>
        <w:ind w:left="360" w:hanging="0"/>
        <w:rPr>
          <w:b/>
          <w:b/>
          <w:bCs/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Tabuľka k čl. III ods. 14 písm. e) o vývoji sociálneho fondu</w:t>
      </w:r>
    </w:p>
    <w:tbl>
      <w:tblPr>
        <w:tblW w:w="5000" w:type="pct"/>
        <w:jc w:val="left"/>
        <w:tblInd w:w="-3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6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3721"/>
        <w:gridCol w:w="3147"/>
        <w:gridCol w:w="3110"/>
      </w:tblGrid>
      <w:tr>
        <w:trPr>
          <w:trHeight w:val="284" w:hRule="atLeast"/>
        </w:trPr>
        <w:tc>
          <w:tcPr>
            <w:tcW w:w="37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Sociálny fond</w:t>
            </w:r>
          </w:p>
        </w:tc>
        <w:tc>
          <w:tcPr>
            <w:tcW w:w="3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31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>
        <w:trPr>
          <w:trHeight w:val="284" w:hRule="atLeast"/>
        </w:trPr>
        <w:tc>
          <w:tcPr>
            <w:tcW w:w="37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Stav k prvému dňu účtovného obdobia</w:t>
            </w:r>
          </w:p>
        </w:tc>
        <w:tc>
          <w:tcPr>
            <w:tcW w:w="3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3136,25</w:t>
            </w:r>
          </w:p>
        </w:tc>
        <w:tc>
          <w:tcPr>
            <w:tcW w:w="31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2159,47</w:t>
            </w:r>
          </w:p>
        </w:tc>
      </w:tr>
      <w:tr>
        <w:trPr>
          <w:trHeight w:val="284" w:hRule="atLeast"/>
        </w:trPr>
        <w:tc>
          <w:tcPr>
            <w:tcW w:w="37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Tvorba na ťarchu nákladov</w:t>
            </w:r>
          </w:p>
        </w:tc>
        <w:tc>
          <w:tcPr>
            <w:tcW w:w="3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1077,38</w:t>
            </w:r>
          </w:p>
        </w:tc>
        <w:tc>
          <w:tcPr>
            <w:tcW w:w="31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1031,78</w:t>
            </w:r>
          </w:p>
        </w:tc>
      </w:tr>
      <w:tr>
        <w:trPr>
          <w:trHeight w:val="419" w:hRule="atLeast"/>
        </w:trPr>
        <w:tc>
          <w:tcPr>
            <w:tcW w:w="37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Tvorba zo zisku</w:t>
            </w:r>
          </w:p>
        </w:tc>
        <w:tc>
          <w:tcPr>
            <w:tcW w:w="3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31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37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Čerpanie</w:t>
            </w:r>
          </w:p>
        </w:tc>
        <w:tc>
          <w:tcPr>
            <w:tcW w:w="3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818,00</w:t>
            </w:r>
          </w:p>
        </w:tc>
        <w:tc>
          <w:tcPr>
            <w:tcW w:w="31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55,00</w:t>
            </w:r>
          </w:p>
        </w:tc>
      </w:tr>
      <w:tr>
        <w:trPr>
          <w:trHeight w:val="284" w:hRule="atLeast"/>
        </w:trPr>
        <w:tc>
          <w:tcPr>
            <w:tcW w:w="37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Stav k poslednému dňu účtovného obdobia</w:t>
            </w:r>
          </w:p>
        </w:tc>
        <w:tc>
          <w:tcPr>
            <w:tcW w:w="3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3395,63</w:t>
            </w:r>
          </w:p>
        </w:tc>
        <w:tc>
          <w:tcPr>
            <w:tcW w:w="31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3136,25</w:t>
            </w:r>
          </w:p>
        </w:tc>
      </w:tr>
    </w:tbl>
    <w:p>
      <w:pPr>
        <w:pStyle w:val="Normal"/>
        <w:numPr>
          <w:ilvl w:val="0"/>
          <w:numId w:val="10"/>
        </w:numPr>
        <w:spacing w:lineRule="auto" w:line="240"/>
        <w:rPr>
          <w:sz w:val="18"/>
          <w:szCs w:val="18"/>
        </w:rPr>
      </w:pPr>
      <w:r>
        <w:rPr>
          <w:sz w:val="18"/>
          <w:szCs w:val="18"/>
        </w:rPr>
        <w:t>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>
      <w:pPr>
        <w:pStyle w:val="Normal"/>
        <w:spacing w:lineRule="auto" w:line="240" w:before="0" w:after="120"/>
        <w:rPr/>
      </w:pPr>
      <w:r>
        <w:rPr>
          <w:b/>
          <w:bCs/>
          <w:i/>
          <w:iCs/>
          <w:sz w:val="18"/>
          <w:szCs w:val="18"/>
        </w:rPr>
        <w:t>Tabuľka k čl. III ods. 14 písm. f) o bankových úveroch, pôžičkách a návratných finančných výpomociach</w:t>
      </w:r>
    </w:p>
    <w:tbl>
      <w:tblPr>
        <w:tblW w:w="5000" w:type="pct"/>
        <w:jc w:val="left"/>
        <w:tblInd w:w="-3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6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2797"/>
        <w:gridCol w:w="596"/>
        <w:gridCol w:w="1310"/>
        <w:gridCol w:w="1310"/>
        <w:gridCol w:w="1312"/>
        <w:gridCol w:w="1312"/>
        <w:gridCol w:w="1340"/>
      </w:tblGrid>
      <w:tr>
        <w:trPr>
          <w:trHeight w:val="284" w:hRule="atLeast"/>
        </w:trPr>
        <w:tc>
          <w:tcPr>
            <w:tcW w:w="27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Druh cudzieho zdroja</w:t>
            </w:r>
          </w:p>
        </w:tc>
        <w:tc>
          <w:tcPr>
            <w:tcW w:w="5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13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Výška úroku v %</w:t>
            </w:r>
          </w:p>
        </w:tc>
        <w:tc>
          <w:tcPr>
            <w:tcW w:w="13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Splatnosť</w:t>
            </w:r>
          </w:p>
        </w:tc>
        <w:tc>
          <w:tcPr>
            <w:tcW w:w="13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Forma zabezpečenia</w:t>
            </w:r>
          </w:p>
        </w:tc>
        <w:tc>
          <w:tcPr>
            <w:tcW w:w="13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b/>
                <w:bCs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1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>
        <w:trPr>
          <w:trHeight w:val="284" w:hRule="atLeast"/>
        </w:trPr>
        <w:tc>
          <w:tcPr>
            <w:tcW w:w="27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Krátkodobý bankový úver</w:t>
            </w:r>
          </w:p>
        </w:tc>
        <w:tc>
          <w:tcPr>
            <w:tcW w:w="5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3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3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3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3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0</w:t>
            </w:r>
          </w:p>
        </w:tc>
      </w:tr>
      <w:tr>
        <w:trPr>
          <w:trHeight w:val="284" w:hRule="atLeast"/>
        </w:trPr>
        <w:tc>
          <w:tcPr>
            <w:tcW w:w="27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Pôžička</w:t>
            </w:r>
          </w:p>
        </w:tc>
        <w:tc>
          <w:tcPr>
            <w:tcW w:w="5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Eur</w:t>
            </w:r>
          </w:p>
        </w:tc>
        <w:tc>
          <w:tcPr>
            <w:tcW w:w="13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3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3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3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/>
            </w:r>
          </w:p>
        </w:tc>
      </w:tr>
      <w:tr>
        <w:trPr>
          <w:trHeight w:val="284" w:hRule="atLeast"/>
        </w:trPr>
        <w:tc>
          <w:tcPr>
            <w:tcW w:w="27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Návratná finančná výpomoc</w:t>
            </w:r>
          </w:p>
        </w:tc>
        <w:tc>
          <w:tcPr>
            <w:tcW w:w="5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3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3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3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3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0</w:t>
            </w:r>
          </w:p>
        </w:tc>
      </w:tr>
      <w:tr>
        <w:trPr>
          <w:trHeight w:val="284" w:hRule="atLeast"/>
        </w:trPr>
        <w:tc>
          <w:tcPr>
            <w:tcW w:w="27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Dlhodobý bankový úver</w:t>
            </w:r>
          </w:p>
        </w:tc>
        <w:tc>
          <w:tcPr>
            <w:tcW w:w="5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Eur</w:t>
            </w:r>
          </w:p>
        </w:tc>
        <w:tc>
          <w:tcPr>
            <w:tcW w:w="13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3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3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3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334028,48</w:t>
            </w:r>
          </w:p>
        </w:tc>
      </w:tr>
      <w:tr>
        <w:trPr>
          <w:trHeight w:val="284" w:hRule="atLeast"/>
        </w:trPr>
        <w:tc>
          <w:tcPr>
            <w:tcW w:w="27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5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13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13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13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13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334028,48</w:t>
            </w:r>
          </w:p>
        </w:tc>
      </w:tr>
    </w:tbl>
    <w:p>
      <w:pPr>
        <w:pStyle w:val="Normal"/>
        <w:numPr>
          <w:ilvl w:val="0"/>
          <w:numId w:val="10"/>
        </w:numPr>
        <w:spacing w:lineRule="auto" w:line="240"/>
        <w:rPr>
          <w:b/>
          <w:b/>
          <w:bCs/>
          <w:sz w:val="18"/>
          <w:szCs w:val="18"/>
        </w:rPr>
      </w:pPr>
      <w:r>
        <w:rPr>
          <w:sz w:val="18"/>
          <w:szCs w:val="18"/>
        </w:rPr>
        <w:t xml:space="preserve">prehľad o významných položkách časového rozlíšenia výdavkov budúcich období.- </w:t>
      </w:r>
      <w:r>
        <w:rPr>
          <w:b/>
          <w:bCs/>
          <w:sz w:val="18"/>
          <w:szCs w:val="18"/>
        </w:rPr>
        <w:t xml:space="preserve">netýka sa </w:t>
      </w:r>
    </w:p>
    <w:tbl>
      <w:tblPr>
        <w:tblW w:w="5000" w:type="pct"/>
        <w:jc w:val="left"/>
        <w:tblInd w:w="-3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6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2992"/>
        <w:gridCol w:w="4989"/>
        <w:gridCol w:w="1997"/>
      </w:tblGrid>
      <w:tr>
        <w:trPr>
          <w:trHeight w:val="284" w:hRule="atLeast"/>
        </w:trPr>
        <w:tc>
          <w:tcPr>
            <w:tcW w:w="2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Významné položky časového rozlíšenia výdavkov budúcich období</w:t>
            </w:r>
          </w:p>
        </w:tc>
        <w:tc>
          <w:tcPr>
            <w:tcW w:w="49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Opis </w:t>
            </w:r>
          </w:p>
        </w:tc>
        <w:tc>
          <w:tcPr>
            <w:tcW w:w="19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Suma</w:t>
            </w:r>
          </w:p>
        </w:tc>
      </w:tr>
      <w:tr>
        <w:trPr>
          <w:trHeight w:val="284" w:hRule="atLeast"/>
        </w:trPr>
        <w:tc>
          <w:tcPr>
            <w:tcW w:w="2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49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9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0</w:t>
            </w:r>
          </w:p>
        </w:tc>
      </w:tr>
    </w:tbl>
    <w:p>
      <w:pPr>
        <w:pStyle w:val="Normal"/>
        <w:spacing w:lineRule="auto" w:line="240" w:before="0" w:after="0"/>
        <w:ind w:left="3" w:hanging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5"/>
        </w:numPr>
        <w:spacing w:lineRule="auto" w:line="240" w:before="0" w:after="0"/>
        <w:ind w:left="360" w:hanging="357"/>
        <w:rPr>
          <w:sz w:val="18"/>
          <w:szCs w:val="18"/>
        </w:rPr>
      </w:pPr>
      <w:r>
        <w:rPr>
          <w:sz w:val="18"/>
          <w:szCs w:val="18"/>
        </w:rPr>
        <w:t>Prehľad o významných položkách výnosov budúcich období v členení najmä na</w:t>
      </w:r>
    </w:p>
    <w:p>
      <w:pPr>
        <w:pStyle w:val="Normal"/>
        <w:numPr>
          <w:ilvl w:val="0"/>
          <w:numId w:val="11"/>
        </w:numPr>
        <w:spacing w:lineRule="auto" w:line="240" w:before="0" w:after="0"/>
        <w:ind w:left="720" w:hanging="357"/>
        <w:rPr>
          <w:sz w:val="18"/>
          <w:szCs w:val="18"/>
        </w:rPr>
      </w:pPr>
      <w:r>
        <w:rPr>
          <w:sz w:val="18"/>
          <w:szCs w:val="18"/>
        </w:rPr>
        <w:t>zostatkovú hodnotu bezodplatne nadobudnutého dlhodobého majetku,</w:t>
      </w:r>
    </w:p>
    <w:p>
      <w:pPr>
        <w:pStyle w:val="Normal"/>
        <w:numPr>
          <w:ilvl w:val="0"/>
          <w:numId w:val="11"/>
        </w:numPr>
        <w:spacing w:lineRule="auto" w:line="240" w:before="0" w:after="0"/>
        <w:ind w:left="720" w:hanging="357"/>
        <w:rPr>
          <w:sz w:val="18"/>
          <w:szCs w:val="18"/>
        </w:rPr>
      </w:pPr>
      <w:r>
        <w:rPr>
          <w:sz w:val="18"/>
          <w:szCs w:val="18"/>
        </w:rPr>
        <w:t>zostatkovú hodnotu dlhodobého majetku obstaraného z dotácie,</w:t>
      </w:r>
    </w:p>
    <w:p>
      <w:pPr>
        <w:pStyle w:val="Normal"/>
        <w:numPr>
          <w:ilvl w:val="0"/>
          <w:numId w:val="11"/>
        </w:numPr>
        <w:spacing w:lineRule="auto" w:line="240" w:before="0" w:after="0"/>
        <w:ind w:left="720" w:hanging="357"/>
        <w:rPr>
          <w:sz w:val="18"/>
          <w:szCs w:val="18"/>
        </w:rPr>
      </w:pPr>
      <w:r>
        <w:rPr>
          <w:sz w:val="18"/>
          <w:szCs w:val="18"/>
        </w:rPr>
        <w:t>zostatok nepoužitej dotácie alebo grantu,</w:t>
      </w:r>
    </w:p>
    <w:p>
      <w:pPr>
        <w:pStyle w:val="Normal"/>
        <w:numPr>
          <w:ilvl w:val="0"/>
          <w:numId w:val="11"/>
        </w:numPr>
        <w:spacing w:lineRule="auto" w:line="240" w:before="0" w:after="0"/>
        <w:ind w:left="720" w:hanging="357"/>
        <w:rPr>
          <w:sz w:val="18"/>
          <w:szCs w:val="18"/>
        </w:rPr>
      </w:pPr>
      <w:r>
        <w:rPr>
          <w:sz w:val="18"/>
          <w:szCs w:val="18"/>
        </w:rPr>
        <w:t>zostatok nepoužitej časti podielu zaplatenej dane,</w:t>
      </w:r>
    </w:p>
    <w:p>
      <w:pPr>
        <w:pStyle w:val="Normal"/>
        <w:numPr>
          <w:ilvl w:val="0"/>
          <w:numId w:val="11"/>
        </w:numPr>
        <w:spacing w:lineRule="auto" w:line="240" w:before="0" w:after="120"/>
        <w:ind w:left="714" w:hanging="357"/>
        <w:rPr>
          <w:sz w:val="18"/>
          <w:szCs w:val="18"/>
        </w:rPr>
      </w:pPr>
      <w:r>
        <w:rPr>
          <w:sz w:val="18"/>
          <w:szCs w:val="18"/>
        </w:rPr>
        <w:t>zostatkovú hodnotu dlhodobého majetku obstaraného z podielu zaplatenej dane.</w:t>
      </w:r>
    </w:p>
    <w:p>
      <w:pPr>
        <w:pStyle w:val="Normal"/>
        <w:spacing w:lineRule="auto" w:line="240" w:before="0" w:after="120"/>
        <w:rPr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Tabuľka k čl. III ods. 15 o významných položkách výnosov budúcich období</w:t>
      </w:r>
    </w:p>
    <w:tbl>
      <w:tblPr>
        <w:tblW w:w="10382" w:type="dxa"/>
        <w:jc w:val="left"/>
        <w:tblInd w:w="-3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6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4173"/>
        <w:gridCol w:w="1550"/>
        <w:gridCol w:w="1550"/>
        <w:gridCol w:w="1550"/>
        <w:gridCol w:w="1559"/>
      </w:tblGrid>
      <w:tr>
        <w:trPr>
          <w:trHeight w:val="284" w:hRule="atLeast"/>
        </w:trPr>
        <w:tc>
          <w:tcPr>
            <w:tcW w:w="4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>
        <w:trPr>
          <w:trHeight w:val="284" w:hRule="atLeast"/>
        </w:trPr>
        <w:tc>
          <w:tcPr>
            <w:tcW w:w="4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4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dlhodobého majetku obstaraného z dotácie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4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dlhodobého majetku  obstaraného z finančného daru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4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4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4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grantu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1457085,37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74694,43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1382390,94</w:t>
            </w:r>
          </w:p>
        </w:tc>
      </w:tr>
      <w:tr>
        <w:trPr>
          <w:trHeight w:val="284" w:hRule="atLeast"/>
        </w:trPr>
        <w:tc>
          <w:tcPr>
            <w:tcW w:w="4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podielu zaplatenej dane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4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</w:tbl>
    <w:p>
      <w:pPr>
        <w:pStyle w:val="Normal"/>
        <w:spacing w:lineRule="auto" w:line="240" w:before="0" w:after="0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numPr>
          <w:ilvl w:val="0"/>
          <w:numId w:val="5"/>
        </w:numPr>
        <w:spacing w:lineRule="auto" w:line="240"/>
        <w:rPr>
          <w:sz w:val="18"/>
          <w:szCs w:val="18"/>
        </w:rPr>
      </w:pPr>
      <w:r>
        <w:rPr>
          <w:sz w:val="18"/>
          <w:szCs w:val="18"/>
        </w:rPr>
        <w:t>Údaje o majetku prenajatom formou finančného prenájmu, a to</w:t>
      </w:r>
    </w:p>
    <w:p>
      <w:pPr>
        <w:pStyle w:val="Normal"/>
        <w:numPr>
          <w:ilvl w:val="0"/>
          <w:numId w:val="12"/>
        </w:numPr>
        <w:spacing w:lineRule="auto" w:line="240"/>
        <w:rPr>
          <w:sz w:val="18"/>
          <w:szCs w:val="18"/>
        </w:rPr>
      </w:pPr>
      <w:r>
        <w:rPr>
          <w:sz w:val="18"/>
          <w:szCs w:val="18"/>
        </w:rPr>
        <w:t>celková suma dohodnutých platieb ku dňu, ku ktorému sa zostavuje účtovná závierka, v členení na istinu a finančný náklad,</w:t>
      </w:r>
    </w:p>
    <w:tbl>
      <w:tblPr>
        <w:tblW w:w="5000" w:type="pct"/>
        <w:jc w:val="left"/>
        <w:tblInd w:w="-3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6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4988"/>
        <w:gridCol w:w="4989"/>
      </w:tblGrid>
      <w:tr>
        <w:trPr>
          <w:trHeight w:val="284" w:hRule="atLeast"/>
        </w:trPr>
        <w:tc>
          <w:tcPr>
            <w:tcW w:w="49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Suma istiny</w:t>
            </w:r>
          </w:p>
        </w:tc>
        <w:tc>
          <w:tcPr>
            <w:tcW w:w="49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Finančný náklad</w:t>
            </w:r>
          </w:p>
        </w:tc>
      </w:tr>
      <w:tr>
        <w:trPr>
          <w:trHeight w:val="284" w:hRule="atLeast"/>
        </w:trPr>
        <w:tc>
          <w:tcPr>
            <w:tcW w:w="49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9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</w:tbl>
    <w:p>
      <w:pPr>
        <w:pStyle w:val="Normal"/>
        <w:spacing w:lineRule="auto" w:line="240" w:before="0" w:after="0"/>
        <w:ind w:left="360" w:hanging="0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Netýka sa </w:t>
      </w:r>
    </w:p>
    <w:p>
      <w:pPr>
        <w:pStyle w:val="Normal"/>
        <w:numPr>
          <w:ilvl w:val="0"/>
          <w:numId w:val="12"/>
        </w:numPr>
        <w:spacing w:lineRule="auto" w:line="240" w:before="0" w:after="0"/>
        <w:ind w:left="720" w:hanging="357"/>
        <w:rPr>
          <w:sz w:val="18"/>
          <w:szCs w:val="18"/>
        </w:rPr>
      </w:pPr>
      <w:r>
        <w:rPr>
          <w:sz w:val="18"/>
          <w:szCs w:val="18"/>
        </w:rPr>
        <w:t xml:space="preserve">suma istiny a finančného nákladu podľa doby splatnosti </w:t>
      </w:r>
    </w:p>
    <w:p>
      <w:pPr>
        <w:pStyle w:val="Normal"/>
        <w:numPr>
          <w:ilvl w:val="0"/>
          <w:numId w:val="13"/>
        </w:numPr>
        <w:spacing w:lineRule="auto" w:line="240" w:before="0" w:after="0"/>
        <w:ind w:left="1068" w:hanging="357"/>
        <w:rPr>
          <w:sz w:val="18"/>
          <w:szCs w:val="18"/>
        </w:rPr>
      </w:pPr>
      <w:r>
        <w:rPr>
          <w:sz w:val="18"/>
          <w:szCs w:val="18"/>
        </w:rPr>
        <w:t>do jedného roka vrátane,</w:t>
      </w:r>
    </w:p>
    <w:p>
      <w:pPr>
        <w:pStyle w:val="Normal"/>
        <w:numPr>
          <w:ilvl w:val="0"/>
          <w:numId w:val="13"/>
        </w:numPr>
        <w:spacing w:lineRule="auto" w:line="240" w:before="0" w:after="0"/>
        <w:ind w:left="1068" w:hanging="357"/>
        <w:rPr>
          <w:sz w:val="18"/>
          <w:szCs w:val="18"/>
        </w:rPr>
      </w:pPr>
      <w:r>
        <w:rPr>
          <w:sz w:val="18"/>
          <w:szCs w:val="18"/>
        </w:rPr>
        <w:t>od jedného roka do piatich rokov vrátane,</w:t>
      </w:r>
    </w:p>
    <w:p>
      <w:pPr>
        <w:pStyle w:val="Normal"/>
        <w:numPr>
          <w:ilvl w:val="0"/>
          <w:numId w:val="13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viac ako päť rokov.</w:t>
      </w:r>
    </w:p>
    <w:p>
      <w:pPr>
        <w:pStyle w:val="Normal"/>
        <w:spacing w:lineRule="auto" w:line="240" w:before="0" w:after="0"/>
        <w:jc w:val="left"/>
        <w:rPr>
          <w:b/>
          <w:b/>
          <w:bCs/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 xml:space="preserve">Tabuľka k čl. III ods. 16 o majetku prenajatom formou finančného prenájmu-netýka sa </w:t>
      </w:r>
    </w:p>
    <w:tbl>
      <w:tblPr>
        <w:tblW w:w="10382" w:type="dxa"/>
        <w:jc w:val="left"/>
        <w:tblInd w:w="-3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6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4173"/>
        <w:gridCol w:w="1550"/>
        <w:gridCol w:w="1550"/>
        <w:gridCol w:w="1550"/>
        <w:gridCol w:w="1559"/>
      </w:tblGrid>
      <w:tr>
        <w:trPr>
          <w:trHeight w:val="284" w:hRule="atLeast"/>
        </w:trPr>
        <w:tc>
          <w:tcPr>
            <w:tcW w:w="4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Záväzok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Istina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Finančný náklad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>
        <w:trPr>
          <w:trHeight w:val="284" w:hRule="atLeast"/>
        </w:trPr>
        <w:tc>
          <w:tcPr>
            <w:tcW w:w="4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Celková suma dohodnutých platieb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4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 jedného roka vrátane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4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od jedného roka do piatich  rokov vrátane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4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viac ako päť rokov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</w:tbl>
    <w:p>
      <w:pPr>
        <w:pStyle w:val="Normal"/>
        <w:keepNext/>
        <w:numPr>
          <w:ilvl w:val="0"/>
          <w:numId w:val="0"/>
        </w:numPr>
        <w:spacing w:lineRule="auto" w:line="240" w:before="0" w:after="0"/>
        <w:jc w:val="center"/>
        <w:outlineLvl w:val="0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keepNext/>
        <w:numPr>
          <w:ilvl w:val="0"/>
          <w:numId w:val="0"/>
        </w:numPr>
        <w:spacing w:lineRule="auto" w:line="240" w:before="0" w:after="0"/>
        <w:jc w:val="center"/>
        <w:outlineLvl w:val="0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keepNext/>
        <w:numPr>
          <w:ilvl w:val="0"/>
          <w:numId w:val="0"/>
        </w:numPr>
        <w:spacing w:lineRule="auto" w:line="240" w:before="0" w:after="0"/>
        <w:jc w:val="center"/>
        <w:outlineLvl w:val="0"/>
        <w:rPr>
          <w:b/>
          <w:b/>
          <w:bCs/>
        </w:rPr>
      </w:pPr>
      <w:r>
        <w:rPr>
          <w:b/>
          <w:bCs/>
        </w:rPr>
        <w:t>Čl. IV</w:t>
      </w:r>
    </w:p>
    <w:p>
      <w:pPr>
        <w:pStyle w:val="Normal"/>
        <w:keepNext/>
        <w:numPr>
          <w:ilvl w:val="0"/>
          <w:numId w:val="0"/>
        </w:numPr>
        <w:spacing w:lineRule="auto" w:line="240" w:before="0" w:after="120"/>
        <w:jc w:val="center"/>
        <w:outlineLvl w:val="1"/>
        <w:rPr>
          <w:b/>
          <w:b/>
          <w:bCs/>
        </w:rPr>
      </w:pPr>
      <w:r>
        <w:rPr>
          <w:b/>
          <w:bCs/>
        </w:rPr>
        <w:t>Informácie, ktoré dopĺňajú a vysvetľujú údaje vo výkaze ziskov a strát</w:t>
      </w:r>
    </w:p>
    <w:p>
      <w:pPr>
        <w:pStyle w:val="Normal"/>
        <w:numPr>
          <w:ilvl w:val="0"/>
          <w:numId w:val="14"/>
        </w:numPr>
        <w:spacing w:lineRule="auto" w:line="240" w:before="0" w:after="120"/>
        <w:ind w:left="360" w:hanging="357"/>
        <w:rPr>
          <w:sz w:val="18"/>
          <w:szCs w:val="18"/>
        </w:rPr>
      </w:pPr>
      <w:r>
        <w:rPr>
          <w:sz w:val="18"/>
          <w:szCs w:val="18"/>
        </w:rPr>
        <w:t>Prehľad tržieb za vlastné výkony a tovar s uvedením ich opisu a vyčíslením hodnoty tržieb podľa jednotlivých hlavných druhov výrobkov,  služieb hlavnej činnosti a podnikateľskej činnosti účtovnej jednotky.</w:t>
      </w:r>
    </w:p>
    <w:tbl>
      <w:tblPr>
        <w:tblW w:w="5000" w:type="pct"/>
        <w:jc w:val="right"/>
        <w:tblInd w:w="0" w:type="dxa"/>
        <w:tblBorders>
          <w:top w:val="single" w:sz="6" w:space="0" w:color="00000A"/>
          <w:left w:val="single" w:sz="6" w:space="0" w:color="00000A"/>
          <w:bottom w:val="single" w:sz="6" w:space="0" w:color="00000A"/>
          <w:right w:val="single" w:sz="6" w:space="0" w:color="00000A"/>
          <w:insideH w:val="single" w:sz="6" w:space="0" w:color="00000A"/>
          <w:insideV w:val="single" w:sz="6" w:space="0" w:color="00000A"/>
        </w:tblBorders>
        <w:tblCellMar>
          <w:top w:w="0" w:type="dxa"/>
          <w:left w:w="-7" w:type="dxa"/>
          <w:bottom w:w="0" w:type="dxa"/>
          <w:right w:w="30" w:type="dxa"/>
        </w:tblCellMar>
        <w:tblLook w:firstRow="0" w:noVBand="0" w:lastRow="0" w:firstColumn="0" w:lastColumn="0" w:noHBand="0" w:val="0000"/>
      </w:tblPr>
      <w:tblGrid>
        <w:gridCol w:w="4026"/>
        <w:gridCol w:w="2974"/>
        <w:gridCol w:w="2978"/>
      </w:tblGrid>
      <w:tr>
        <w:trPr>
          <w:trHeight w:val="284" w:hRule="atLeast"/>
        </w:trPr>
        <w:tc>
          <w:tcPr>
            <w:tcW w:w="40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adpis3"/>
              <w:spacing w:before="0" w:after="0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cs="Arial Narrow" w:ascii="Arial Narrow" w:hAnsi="Arial Narrow"/>
                <w:sz w:val="16"/>
                <w:szCs w:val="16"/>
              </w:rPr>
              <w:t>Prehľad tržieb za vlastné výkony a tovar</w:t>
            </w:r>
          </w:p>
        </w:tc>
        <w:tc>
          <w:tcPr>
            <w:tcW w:w="29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Hlavná činnosť</w:t>
            </w:r>
          </w:p>
        </w:tc>
        <w:tc>
          <w:tcPr>
            <w:tcW w:w="29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Podnikateľská činnosť</w:t>
            </w:r>
          </w:p>
        </w:tc>
      </w:tr>
      <w:tr>
        <w:trPr>
          <w:trHeight w:val="284" w:hRule="atLeast"/>
        </w:trPr>
        <w:tc>
          <w:tcPr>
            <w:tcW w:w="40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29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0"/>
                <w:sz w:val="16"/>
                <w:szCs w:val="16"/>
              </w:rPr>
              <w:t>13629,45</w:t>
            </w:r>
          </w:p>
        </w:tc>
        <w:tc>
          <w:tcPr>
            <w:tcW w:w="29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187999,45</w:t>
            </w:r>
          </w:p>
        </w:tc>
      </w:tr>
    </w:tbl>
    <w:p>
      <w:pPr>
        <w:pStyle w:val="Normal"/>
        <w:spacing w:lineRule="auto" w:line="240" w:before="0" w:after="0"/>
        <w:ind w:left="6" w:hanging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14"/>
        </w:numPr>
        <w:spacing w:lineRule="auto" w:line="240" w:before="0" w:after="120"/>
        <w:ind w:left="360" w:hanging="357"/>
        <w:rPr>
          <w:sz w:val="18"/>
          <w:szCs w:val="18"/>
        </w:rPr>
      </w:pPr>
      <w:r>
        <w:rPr>
          <w:sz w:val="18"/>
          <w:szCs w:val="18"/>
        </w:rPr>
        <w:t xml:space="preserve">Opis a vyčíslenie hodnoty významných položiek prijatých darov, osobitných výnosov, zákonných poplatkov a iných ostatných výnosov. </w:t>
      </w:r>
    </w:p>
    <w:tbl>
      <w:tblPr>
        <w:tblW w:w="4900" w:type="pct"/>
        <w:jc w:val="left"/>
        <w:tblInd w:w="-3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6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6719"/>
        <w:gridCol w:w="3058"/>
      </w:tblGrid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Opis významných položiek prijatých darov, osobitných výnosov, zákonných poplatkov a iných ostatných výnosov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Suma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sponzorské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10687,06</w:t>
            </w:r>
          </w:p>
        </w:tc>
      </w:tr>
    </w:tbl>
    <w:p>
      <w:pPr>
        <w:pStyle w:val="Normal"/>
        <w:spacing w:lineRule="auto" w:line="240" w:before="0" w:after="0"/>
        <w:ind w:left="6" w:hanging="0"/>
        <w:rPr>
          <w:sz w:val="18"/>
          <w:szCs w:val="18"/>
        </w:rPr>
      </w:pPr>
      <w:r>
        <w:rPr>
          <w:sz w:val="18"/>
          <w:szCs w:val="18"/>
        </w:rPr>
      </w:r>
    </w:p>
    <w:tbl>
      <w:tblPr>
        <w:tblW w:w="4900" w:type="pct"/>
        <w:jc w:val="left"/>
        <w:tblInd w:w="-3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6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6719"/>
        <w:gridCol w:w="3058"/>
      </w:tblGrid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sz w:val="16"/>
                <w:szCs w:val="16"/>
              </w:rPr>
              <w:t>Ostatné dotácie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155649,43</w:t>
            </w:r>
            <w:r>
              <w:rPr>
                <w:sz w:val="16"/>
                <w:szCs w:val="16"/>
              </w:rPr>
              <w:t>8</w:t>
            </w:r>
          </w:p>
        </w:tc>
      </w:tr>
    </w:tbl>
    <w:p>
      <w:pPr>
        <w:pStyle w:val="Normal"/>
        <w:numPr>
          <w:ilvl w:val="0"/>
          <w:numId w:val="14"/>
        </w:numPr>
        <w:spacing w:lineRule="auto" w:line="240" w:before="0" w:after="120"/>
        <w:ind w:left="360" w:hanging="357"/>
        <w:rPr>
          <w:sz w:val="18"/>
          <w:szCs w:val="18"/>
        </w:rPr>
      </w:pPr>
      <w:r>
        <w:rPr>
          <w:sz w:val="18"/>
          <w:szCs w:val="18"/>
        </w:rPr>
        <w:t>Prehľad  dotácií a grantov, ktoré účtovná jednotka prijala v priebehu bežného účtovného obdobia.</w:t>
      </w:r>
    </w:p>
    <w:tbl>
      <w:tblPr>
        <w:tblW w:w="4900" w:type="pct"/>
        <w:jc w:val="left"/>
        <w:tblInd w:w="-3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6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6719"/>
        <w:gridCol w:w="3058"/>
      </w:tblGrid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Prehľad dotácií a grantov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Suma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sz w:val="16"/>
                <w:szCs w:val="16"/>
              </w:rPr>
              <w:t>Dotácia BSK+MIN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73512,18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sz w:val="16"/>
                <w:szCs w:val="16"/>
              </w:rPr>
              <w:t>Dotácia MK+UPSVaR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203414,37</w:t>
            </w:r>
          </w:p>
        </w:tc>
      </w:tr>
    </w:tbl>
    <w:p>
      <w:pPr>
        <w:pStyle w:val="Normal"/>
        <w:spacing w:lineRule="auto" w:line="240" w:before="0" w:after="0"/>
        <w:ind w:left="6" w:hanging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14"/>
        </w:numPr>
        <w:spacing w:lineRule="auto" w:line="240" w:before="0" w:after="120"/>
        <w:ind w:left="360" w:hanging="357"/>
        <w:rPr>
          <w:b/>
          <w:b/>
          <w:bCs/>
          <w:sz w:val="18"/>
          <w:szCs w:val="18"/>
        </w:rPr>
      </w:pPr>
      <w:r>
        <w:rPr>
          <w:sz w:val="18"/>
          <w:szCs w:val="18"/>
        </w:rPr>
        <w:t xml:space="preserve">Opis a suma významných položiek finančných výnosov; uvádza sa aj celková suma kurzových ziskov, pričom  osobitne sa uvádza hodnota kurzových ziskov účtovaná ku dňu, ku ktorému sa zostavuje účtovná závierka.- </w:t>
      </w:r>
      <w:r>
        <w:rPr>
          <w:b/>
          <w:bCs/>
          <w:sz w:val="18"/>
          <w:szCs w:val="18"/>
        </w:rPr>
        <w:t xml:space="preserve">netýka sa </w:t>
      </w:r>
    </w:p>
    <w:tbl>
      <w:tblPr>
        <w:tblW w:w="4900" w:type="pct"/>
        <w:jc w:val="left"/>
        <w:tblInd w:w="-3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6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6719"/>
        <w:gridCol w:w="3058"/>
      </w:tblGrid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Opis významných položiek finančných výnosov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Suma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numPr>
                <w:ilvl w:val="0"/>
                <w:numId w:val="16"/>
              </w:numPr>
              <w:spacing w:lineRule="auto" w:line="240" w:before="0" w:after="0"/>
              <w:jc w:val="left"/>
              <w:rPr/>
            </w:pPr>
            <w:r>
              <w:rPr>
                <w:sz w:val="16"/>
                <w:szCs w:val="16"/>
              </w:rPr>
              <w:t>celková hodnota kurzových ziskov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0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numPr>
                <w:ilvl w:val="0"/>
                <w:numId w:val="16"/>
              </w:numPr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hodnota kurzových ziskov ku dňu účtovnej závierky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numPr>
                <w:ilvl w:val="0"/>
                <w:numId w:val="16"/>
              </w:numPr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ostatné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</w:tbl>
    <w:p>
      <w:pPr>
        <w:pStyle w:val="Normal"/>
        <w:spacing w:lineRule="auto" w:line="240" w:before="0" w:after="0"/>
        <w:ind w:left="6" w:hanging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14"/>
        </w:numPr>
        <w:spacing w:lineRule="auto" w:line="240" w:before="0" w:after="120"/>
        <w:ind w:left="360" w:hanging="357"/>
        <w:rPr>
          <w:sz w:val="18"/>
          <w:szCs w:val="18"/>
        </w:rPr>
      </w:pPr>
      <w:r>
        <w:rPr>
          <w:sz w:val="18"/>
          <w:szCs w:val="18"/>
        </w:rPr>
        <w:t xml:space="preserve">Opis a vyčíslenie hodnoty významných položiek nákladov, nákladov na ostatné služby, osobitných nákladov a iných ostatných nákladov. </w:t>
      </w:r>
    </w:p>
    <w:tbl>
      <w:tblPr>
        <w:tblW w:w="4900" w:type="pct"/>
        <w:jc w:val="left"/>
        <w:tblInd w:w="-3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6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6719"/>
        <w:gridCol w:w="3058"/>
      </w:tblGrid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Opis významných nákladov, nákladov na ostatné služby, osobitné náklady a iné ostatné náklady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Suma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sz w:val="16"/>
                <w:szCs w:val="16"/>
              </w:rPr>
              <w:t>Náklady na režiu,</w:t>
            </w:r>
            <w:r>
              <w:rPr>
                <w:sz w:val="16"/>
                <w:szCs w:val="16"/>
              </w:rPr>
              <w:t>tovar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73121,32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Spotreba energie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17264,37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sz w:val="16"/>
                <w:szCs w:val="16"/>
              </w:rPr>
              <w:t>údržba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1720,27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sz w:val="16"/>
                <w:szCs w:val="16"/>
              </w:rPr>
              <w:t>účto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9463,00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sz w:val="16"/>
                <w:szCs w:val="16"/>
              </w:rPr>
              <w:t>telefon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2762,46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Reklama,inzercia,tlač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22665,53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Ostatné služby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8353,85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sz w:val="16"/>
                <w:szCs w:val="16"/>
              </w:rPr>
              <w:t>Osobné náklady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1000,00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členské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2530,51</w:t>
            </w:r>
          </w:p>
        </w:tc>
      </w:tr>
    </w:tbl>
    <w:p>
      <w:pPr>
        <w:pStyle w:val="Normal"/>
        <w:spacing w:lineRule="auto" w:line="240" w:before="0" w:after="0"/>
        <w:ind w:left="6" w:hanging="0"/>
        <w:rPr>
          <w:sz w:val="18"/>
          <w:szCs w:val="18"/>
        </w:rPr>
      </w:pPr>
      <w:r>
        <w:rPr>
          <w:sz w:val="18"/>
          <w:szCs w:val="18"/>
        </w:rPr>
      </w:r>
    </w:p>
    <w:tbl>
      <w:tblPr>
        <w:tblW w:w="4900" w:type="pct"/>
        <w:jc w:val="left"/>
        <w:tblInd w:w="-3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6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6719"/>
        <w:gridCol w:w="3058"/>
      </w:tblGrid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sz w:val="16"/>
                <w:szCs w:val="16"/>
              </w:rPr>
              <w:t>Odpis majetku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52990,55</w:t>
            </w:r>
          </w:p>
        </w:tc>
      </w:tr>
    </w:tbl>
    <w:p>
      <w:pPr>
        <w:pStyle w:val="Normal"/>
        <w:numPr>
          <w:ilvl w:val="0"/>
          <w:numId w:val="14"/>
        </w:numPr>
        <w:spacing w:lineRule="auto" w:line="240" w:before="0" w:after="120"/>
        <w:ind w:left="360" w:hanging="357"/>
        <w:rPr>
          <w:sz w:val="18"/>
          <w:szCs w:val="18"/>
        </w:rPr>
      </w:pPr>
      <w:r>
        <w:rPr>
          <w:sz w:val="18"/>
          <w:szCs w:val="18"/>
        </w:rPr>
        <w:t>Prehľad o účele a výške použitia podielu zaplatenej dane za bežné účtovné obdobie.</w:t>
      </w:r>
    </w:p>
    <w:p>
      <w:pPr>
        <w:pStyle w:val="Normal"/>
        <w:spacing w:lineRule="auto" w:line="240" w:before="0" w:after="120"/>
        <w:rPr>
          <w:b/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 xml:space="preserve">Tabuľka k čl. IV  ods. 6 o účele a výške použitia podielu zaplatenej dane    </w:t>
      </w:r>
    </w:p>
    <w:tbl>
      <w:tblPr>
        <w:tblW w:w="4900" w:type="pct"/>
        <w:jc w:val="left"/>
        <w:tblInd w:w="-3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6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4805"/>
        <w:gridCol w:w="2726"/>
        <w:gridCol w:w="0"/>
        <w:gridCol w:w="2247"/>
      </w:tblGrid>
      <w:tr>
        <w:trPr>
          <w:trHeight w:val="284" w:hRule="atLeast"/>
        </w:trPr>
        <w:tc>
          <w:tcPr>
            <w:tcW w:w="48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Účel použitia podielu zaplatenej dane</w:t>
            </w:r>
          </w:p>
        </w:tc>
        <w:tc>
          <w:tcPr>
            <w:tcW w:w="272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22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Použitá suma bežného účtovného obdobia</w:t>
            </w:r>
          </w:p>
        </w:tc>
      </w:tr>
      <w:tr>
        <w:trPr>
          <w:trHeight w:val="284" w:hRule="atLeast"/>
        </w:trPr>
        <w:tc>
          <w:tcPr>
            <w:tcW w:w="48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/>
            </w:r>
          </w:p>
        </w:tc>
        <w:tc>
          <w:tcPr>
            <w:tcW w:w="272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/>
            </w:r>
          </w:p>
        </w:tc>
        <w:tc>
          <w:tcPr>
            <w:tcW w:w="22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48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272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22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48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272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22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753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224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sz w:val="16"/>
                <w:szCs w:val="16"/>
              </w:rPr>
            </w:pPr>
            <w:r>
              <w:rPr/>
            </w:r>
          </w:p>
        </w:tc>
      </w:tr>
    </w:tbl>
    <w:p>
      <w:pPr>
        <w:pStyle w:val="Normal"/>
        <w:spacing w:lineRule="auto" w:line="240" w:before="0" w:after="0"/>
        <w:ind w:left="6" w:hanging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14"/>
        </w:numPr>
        <w:spacing w:lineRule="auto" w:line="240" w:before="0" w:after="120"/>
        <w:ind w:left="360" w:hanging="357"/>
        <w:rPr>
          <w:sz w:val="18"/>
          <w:szCs w:val="18"/>
        </w:rPr>
      </w:pPr>
      <w:r>
        <w:rPr>
          <w:sz w:val="18"/>
          <w:szCs w:val="18"/>
        </w:rPr>
        <w:t xml:space="preserve">Opis a suma významných položiek finančných nákladov; uvádza sa aj celková suma kurzových strát, pričom osobitne sa uvádza hodnota kurzových strát účtovaná ku dňu, ku ktorému sa zostavuje účtovná závierka.-netýka sa </w:t>
      </w:r>
    </w:p>
    <w:tbl>
      <w:tblPr>
        <w:tblW w:w="4900" w:type="pct"/>
        <w:jc w:val="left"/>
        <w:tblInd w:w="-3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6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6719"/>
        <w:gridCol w:w="3058"/>
      </w:tblGrid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Opis významných položiek finančných nákladov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Suma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numPr>
                <w:ilvl w:val="0"/>
                <w:numId w:val="16"/>
              </w:numPr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celková hodnota kurzových strát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numPr>
                <w:ilvl w:val="0"/>
                <w:numId w:val="16"/>
              </w:numPr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hodnota kurzových strát ku dňu účtovnej závierky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numPr>
                <w:ilvl w:val="0"/>
                <w:numId w:val="16"/>
              </w:numPr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ostatné 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</w:tbl>
    <w:p>
      <w:pPr>
        <w:pStyle w:val="Normal"/>
        <w:spacing w:lineRule="auto" w:line="240" w:before="0" w:after="0"/>
        <w:ind w:left="6" w:hanging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14"/>
        </w:numPr>
        <w:spacing w:lineRule="auto" w:line="240" w:before="0" w:after="120"/>
        <w:ind w:left="360" w:hanging="357"/>
        <w:rPr>
          <w:sz w:val="18"/>
          <w:szCs w:val="18"/>
        </w:rPr>
      </w:pPr>
      <w:r>
        <w:rPr>
          <w:sz w:val="18"/>
          <w:szCs w:val="18"/>
        </w:rPr>
        <w:t>V účtovnej jednotke, ktorá má povinnosť overenia účtovnej závierky audítorom, sa uvedie vymedzenie a suma nákladov za účtovné obdobie v členení na náklady za</w:t>
      </w:r>
    </w:p>
    <w:p>
      <w:pPr>
        <w:pStyle w:val="Normal"/>
        <w:numPr>
          <w:ilvl w:val="0"/>
          <w:numId w:val="15"/>
        </w:numPr>
        <w:spacing w:lineRule="auto" w:line="240" w:before="0" w:after="0"/>
        <w:ind w:left="560" w:hanging="357"/>
        <w:rPr>
          <w:sz w:val="18"/>
          <w:szCs w:val="18"/>
        </w:rPr>
      </w:pPr>
      <w:r>
        <w:rPr>
          <w:sz w:val="18"/>
          <w:szCs w:val="18"/>
        </w:rPr>
        <w:t>overenie účtovnej závierky,</w:t>
      </w:r>
    </w:p>
    <w:p>
      <w:pPr>
        <w:pStyle w:val="Normal"/>
        <w:spacing w:lineRule="auto" w:line="240" w:before="0" w:after="120"/>
        <w:rPr>
          <w:b/>
          <w:b/>
          <w:bCs/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</w:r>
    </w:p>
    <w:p>
      <w:pPr>
        <w:pStyle w:val="Normal"/>
        <w:spacing w:lineRule="auto" w:line="240" w:before="0" w:after="120"/>
        <w:rPr>
          <w:b/>
          <w:b/>
          <w:bCs/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 xml:space="preserve">Tabuľka k čl. IV  ods. 8 o nákladoch vynaložených v súvislosti s auditom účtovnej závierky- netýka sa </w:t>
      </w:r>
    </w:p>
    <w:tbl>
      <w:tblPr>
        <w:tblW w:w="4900" w:type="pct"/>
        <w:jc w:val="left"/>
        <w:tblInd w:w="-3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6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6609"/>
        <w:gridCol w:w="3168"/>
      </w:tblGrid>
      <w:tr>
        <w:trPr>
          <w:trHeight w:val="284" w:hRule="atLeast"/>
        </w:trPr>
        <w:tc>
          <w:tcPr>
            <w:tcW w:w="66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Jednotlivé druhy nákladov za</w:t>
            </w:r>
          </w:p>
        </w:tc>
        <w:tc>
          <w:tcPr>
            <w:tcW w:w="31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Suma</w:t>
            </w:r>
          </w:p>
        </w:tc>
      </w:tr>
      <w:tr>
        <w:trPr>
          <w:trHeight w:val="284" w:hRule="atLeast"/>
        </w:trPr>
        <w:tc>
          <w:tcPr>
            <w:tcW w:w="66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overenie účtovnej závierky</w:t>
            </w:r>
          </w:p>
        </w:tc>
        <w:tc>
          <w:tcPr>
            <w:tcW w:w="31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66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31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</w:tr>
    </w:tbl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17"/>
        </w:numPr>
        <w:spacing w:lineRule="auto" w:line="240" w:before="0" w:after="120"/>
        <w:ind w:left="360" w:hanging="357"/>
        <w:rPr>
          <w:sz w:val="16"/>
          <w:szCs w:val="16"/>
        </w:rPr>
      </w:pPr>
      <w:r>
        <w:rPr>
          <w:sz w:val="16"/>
          <w:szCs w:val="16"/>
        </w:rPr>
        <w:t>Prehľad nehnuteľných kultúrnych pamiatok, ktoré sú v správe alebo vo vlastníctve účtovnej jednotky.</w:t>
      </w:r>
    </w:p>
    <w:p>
      <w:pPr>
        <w:pStyle w:val="Normal"/>
        <w:numPr>
          <w:ilvl w:val="0"/>
          <w:numId w:val="17"/>
        </w:numPr>
        <w:spacing w:lineRule="auto" w:line="240" w:before="0" w:after="120"/>
        <w:ind w:left="360" w:hanging="357"/>
        <w:rPr/>
      </w:pPr>
      <w:r>
        <w:rPr>
          <w:sz w:val="16"/>
          <w:szCs w:val="16"/>
        </w:rPr>
        <w:t>Informácie o významných skutočnostiach, ktoré nastali medzi dňom, ku ktorému sa zostavuje účtovná závierka a dňom jej zostavenia.-</w:t>
      </w:r>
      <w:r>
        <w:rPr>
          <w:b/>
          <w:bCs/>
          <w:sz w:val="16"/>
          <w:szCs w:val="16"/>
        </w:rPr>
        <w:t>žiadne nenastali</w:t>
      </w:r>
    </w:p>
    <w:sectPr>
      <w:footerReference w:type="default" r:id="rId2"/>
      <w:type w:val="nextPage"/>
      <w:pgSz w:w="11906" w:h="16838"/>
      <w:pgMar w:left="964" w:right="964" w:header="0" w:top="1304" w:footer="454" w:bottom="1021" w:gutter="0"/>
      <w:pgNumType w:start="7" w:fmt="decimal"/>
      <w:formProt w:val="false"/>
      <w:textDirection w:val="lrTb"/>
      <w:docGrid w:type="default" w:linePitch="272" w:charSpace="20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Arial Narrow">
    <w:charset w:val="ee"/>
    <w:family w:val="roman"/>
    <w:pitch w:val="variable"/>
  </w:font>
  <w:font w:name="Cambria">
    <w:charset w:val="ee"/>
    <w:family w:val="roman"/>
    <w:pitch w:val="variable"/>
  </w:font>
  <w:font w:name="Arial">
    <w:charset w:val="ee"/>
    <w:family w:val="roman"/>
    <w:pitch w:val="variable"/>
  </w:font>
  <w:font w:name="Tahoma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Calibri">
    <w:charset w:val="ee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Pta"/>
      <w:spacing w:before="120" w:after="120"/>
      <w:jc w:val="right"/>
      <w:rPr/>
    </w:pPr>
    <w:r>
      <w:rPr/>
      <w:fldChar w:fldCharType="begin"/>
    </w:r>
    <w:r>
      <w:instrText> PAGE </w:instrText>
    </w:r>
    <w:r>
      <w:fldChar w:fldCharType="separate"/>
    </w:r>
    <w:r>
      <w:t>7</w:t>
    </w:r>
    <w:r>
      <w:fldChar w:fldCharType="end"/>
    </w:r>
  </w:p>
  <w:p>
    <w:pPr>
      <w:pStyle w:val="Pta"/>
      <w:tabs>
        <w:tab w:val="center" w:pos="4536" w:leader="none"/>
        <w:tab w:val="right" w:pos="9072" w:leader="none"/>
      </w:tabs>
      <w:spacing w:before="120" w:after="120"/>
      <w:rPr/>
    </w:pPr>
    <w:r>
      <w:rPr/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Nadpis1"/>
      <w:numFmt w:val="upperRoman"/>
      <w:suff w:val="nothing"/>
      <w:lvlText w:val="Čl. %1."/>
      <w:lvlJc w:val="center"/>
      <w:pPr>
        <w:ind w:left="0" w:hanging="0"/>
      </w:pPr>
      <w:rPr>
        <w:sz w:val="24"/>
        <w:i w:val="false"/>
        <w:b/>
        <w:szCs w:val="24"/>
        <w:iCs w:val="false"/>
        <w:bCs/>
        <w:rFonts w:cs="Arial"/>
      </w:r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abstractNum w:abstractNumId="2">
    <w:lvl w:ilvl="0">
      <w:start w:val="1"/>
      <w:numFmt w:val="decimal"/>
      <w:lvlText w:val="(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lvl w:ilvl="0">
      <w:start w:val="1"/>
      <w:numFmt w:val="decimal"/>
      <w:lvlText w:val="(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i w:val="false"/>
        <w:b/>
        <w:iCs w:val="false"/>
        <w:bCs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sz w:val="16"/>
        <w:i w:val="false"/>
        <w:b w:val="false"/>
        <w:iCs w:val="false"/>
        <w:bCs w:val="false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sz w:val="18"/>
        <w:i w:val="false"/>
        <w:b w:val="false"/>
        <w:iCs w:val="false"/>
        <w:bCs w:val="false"/>
      </w:rPr>
    </w:lvl>
    <w:lvl w:ilvl="3">
      <w:start w:val="1"/>
      <w:numFmt w:val="none"/>
      <w:suff w:val="nothing"/>
      <w:lvlText w:val=""/>
      <w:lvlJc w:val="left"/>
      <w:pPr>
        <w:ind w:left="1440" w:hanging="360"/>
      </w:pPr>
    </w:lvl>
    <w:lvl w:ilvl="4">
      <w:start w:val="1"/>
      <w:numFmt w:val="none"/>
      <w:suff w:val="nothing"/>
      <w:lvlText w:val=""/>
      <w:lvlJc w:val="left"/>
      <w:pPr>
        <w:ind w:left="1800" w:hanging="360"/>
      </w:pPr>
    </w:lvl>
    <w:lvl w:ilvl="5">
      <w:start w:val="1"/>
      <w:numFmt w:val="none"/>
      <w:suff w:val="nothing"/>
      <w:lvlText w:val=""/>
      <w:lvlJc w:val="left"/>
      <w:pPr>
        <w:ind w:left="2160" w:hanging="360"/>
      </w:pPr>
    </w:lvl>
    <w:lvl w:ilvl="6">
      <w:start w:val="1"/>
      <w:numFmt w:val="none"/>
      <w:suff w:val="nothing"/>
      <w:lvlText w:val=""/>
      <w:lvlJc w:val="left"/>
      <w:pPr>
        <w:ind w:left="2520" w:hanging="360"/>
      </w:pPr>
    </w:lvl>
    <w:lvl w:ilvl="7">
      <w:start w:val="1"/>
      <w:numFmt w:val="none"/>
      <w:suff w:val="nothing"/>
      <w:lvlText w:val=""/>
      <w:lvlJc w:val="left"/>
      <w:pPr>
        <w:ind w:left="2880" w:hanging="360"/>
      </w:pPr>
    </w:lvl>
    <w:lvl w:ilvl="8">
      <w:start w:val="1"/>
      <w:numFmt w:val="none"/>
      <w:suff w:val="nothing"/>
      <w:lvlText w:val=""/>
      <w:lvlJc w:val="left"/>
      <w:pPr>
        <w:ind w:left="3240" w:hanging="360"/>
      </w:pPr>
    </w:lvl>
  </w:abstractNum>
  <w:abstractNum w:abstractNumId="5">
    <w:lvl w:ilvl="0">
      <w:start w:val="1"/>
      <w:numFmt w:val="decimal"/>
      <w:lvlText w:val="(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sz w:val="16"/>
        <w:b/>
        <w:rFonts w:cs="Symbol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  <w:rFonts w:cs="Wingdings"/>
      </w:rPr>
    </w:lvl>
  </w:abstractNum>
  <w:abstractNum w:abstractNumId="8"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sz w:val="16"/>
        <w:rFonts w:cs="Symbol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  <w:rFonts w:cs="Wingdings"/>
      </w:rPr>
    </w:lvl>
  </w:abstractNum>
  <w:abstractNum w:abstractNumId="10"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lvl w:ilvl="0">
      <w:start w:val="1"/>
      <w:numFmt w:val="decimal"/>
      <w:lvlText w:val="(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lvl w:ilvl="0">
      <w:start w:val="1"/>
      <w:numFmt w:val="lowerLetter"/>
      <w:lvlText w:val="%1)"/>
      <w:lvlJc w:val="left"/>
      <w:pPr>
        <w:ind w:left="5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sz w:val="16"/>
        <w:rFonts w:cs="Symbol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  <w:rFonts w:cs="Wingdings"/>
      </w:rPr>
    </w:lvl>
  </w:abstractNum>
  <w:abstractNum w:abstractNumId="17">
    <w:lvl w:ilvl="0">
      <w:start w:val="1"/>
      <w:numFmt w:val="decimal"/>
      <w:lvlText w:val="(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w="http://schemas.openxmlformats.org/wordprocessingml/2006/main">
  <w:zoom w:percent="100"/>
  <w:embedSystemFonts/>
  <w:defaultTabStop w:val="708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szCs w:val="22"/>
        <w:lang w:val="sk-SK" w:eastAsia="sk-SK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Title" w:uiPriority="10" w:semiHidden="0" w:unhideWhenUsed="0" w:qFormat="1"/>
    <w:lsdException w:name="Default Paragraph Font" w:unhideWhenUsed="0"/>
    <w:lsdException w:name="Body Text" w:unhideWhenUsed="0"/>
    <w:lsdException w:name="Subtitle" w:uiPriority="11" w:semiHidden="0" w:unhideWhenUsed="0" w:qFormat="1"/>
    <w:lsdException w:name="Hyperlink" w:unhideWhenUsed="0"/>
    <w:lsdException w:name="Strong" w:semiHidden="0" w:unhideWhenUsed="0" w:qFormat="1"/>
    <w:lsdException w:name="Emphasis" w:uiPriority="20" w:semiHidden="0" w:unhideWhenUsed="0" w:qFormat="1"/>
    <w:lsdException w:name="Normal (Web)" w:unhideWhenUsed="0"/>
    <w:lsdException w:name="Balloon Text" w:unhideWhenUsed="0"/>
    <w:lsdException w:name="Table Grid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691dcc"/>
    <w:pPr>
      <w:widowControl/>
      <w:bidi w:val="0"/>
      <w:spacing w:lineRule="auto" w:line="360" w:before="120" w:after="120"/>
      <w:jc w:val="both"/>
    </w:pPr>
    <w:rPr>
      <w:rFonts w:ascii="Arial Narrow" w:hAnsi="Arial Narrow" w:eastAsia="Times New Roman" w:cs="Arial Narrow"/>
      <w:color w:val="00000A"/>
      <w:sz w:val="20"/>
      <w:szCs w:val="20"/>
      <w:lang w:val="sk-SK" w:eastAsia="cs-CZ" w:bidi="ar-SA"/>
    </w:rPr>
  </w:style>
  <w:style w:type="paragraph" w:styleId="Nadpis1">
    <w:name w:val="Heading 1"/>
    <w:basedOn w:val="Normal"/>
    <w:link w:val="Nadpis1Char"/>
    <w:uiPriority w:val="99"/>
    <w:qFormat/>
    <w:rsid w:val="00d440d5"/>
    <w:pPr>
      <w:keepNext/>
      <w:numPr>
        <w:ilvl w:val="0"/>
        <w:numId w:val="1"/>
      </w:numPr>
      <w:spacing w:lineRule="auto" w:line="240"/>
      <w:jc w:val="center"/>
      <w:outlineLvl w:val="0"/>
      <w:outlineLvl w:val="0"/>
    </w:pPr>
    <w:rPr>
      <w:rFonts w:ascii="Cambria" w:hAnsi="Cambria" w:cs="Cambria"/>
      <w:b/>
      <w:bCs/>
      <w:sz w:val="32"/>
      <w:szCs w:val="32"/>
    </w:rPr>
  </w:style>
  <w:style w:type="paragraph" w:styleId="Nadpis2">
    <w:name w:val="Heading 2"/>
    <w:basedOn w:val="Normal"/>
    <w:link w:val="Nadpis2Char"/>
    <w:uiPriority w:val="99"/>
    <w:qFormat/>
    <w:rsid w:val="00d440d5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al"/>
    <w:link w:val="Nadpis3Char"/>
    <w:uiPriority w:val="99"/>
    <w:qFormat/>
    <w:rsid w:val="00945816"/>
    <w:pPr>
      <w:keepNext/>
      <w:spacing w:lineRule="auto" w:line="240" w:before="240" w:after="60"/>
      <w:jc w:val="left"/>
      <w:outlineLvl w:val="2"/>
    </w:pPr>
    <w:rPr>
      <w:rFonts w:ascii="Arial" w:hAnsi="Arial" w:cs="Arial"/>
      <w:b/>
      <w:bCs/>
      <w:sz w:val="26"/>
      <w:szCs w:val="26"/>
      <w:lang w:val="cs-CZ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dpis1Char" w:customStyle="1">
    <w:name w:val="Nadpis 1 Char"/>
    <w:basedOn w:val="DefaultParagraphFont"/>
    <w:link w:val="Nadpis1"/>
    <w:uiPriority w:val="99"/>
    <w:qFormat/>
    <w:rsid w:val="003a4222"/>
    <w:rPr>
      <w:rFonts w:ascii="Cambria" w:hAnsi="Cambria" w:cs="Cambria"/>
      <w:b/>
      <w:bCs/>
      <w:sz w:val="32"/>
      <w:szCs w:val="32"/>
      <w:lang w:eastAsia="cs-CZ"/>
    </w:rPr>
  </w:style>
  <w:style w:type="character" w:styleId="Nadpis2Char" w:customStyle="1">
    <w:name w:val="Nadpis 2 Char"/>
    <w:basedOn w:val="DefaultParagraphFont"/>
    <w:link w:val="Nadpis2"/>
    <w:uiPriority w:val="99"/>
    <w:semiHidden/>
    <w:qFormat/>
    <w:rsid w:val="003a4222"/>
    <w:rPr>
      <w:rFonts w:ascii="Cambria" w:hAnsi="Cambria" w:cs="Cambria"/>
      <w:b/>
      <w:bCs/>
      <w:i/>
      <w:iCs/>
      <w:sz w:val="28"/>
      <w:szCs w:val="28"/>
      <w:lang w:eastAsia="cs-CZ"/>
    </w:rPr>
  </w:style>
  <w:style w:type="character" w:styleId="Nadpis3Char" w:customStyle="1">
    <w:name w:val="Nadpis 3 Char"/>
    <w:basedOn w:val="DefaultParagraphFont"/>
    <w:link w:val="Nadpis3"/>
    <w:uiPriority w:val="99"/>
    <w:qFormat/>
    <w:rsid w:val="00945816"/>
    <w:rPr>
      <w:rFonts w:ascii="Arial" w:hAnsi="Arial" w:cs="Arial"/>
      <w:b/>
      <w:bCs/>
      <w:sz w:val="26"/>
      <w:szCs w:val="26"/>
      <w:lang w:val="cs-CZ" w:eastAsia="cs-CZ"/>
    </w:rPr>
  </w:style>
  <w:style w:type="character" w:styleId="TltlnzovChar115ptAntiqueOliveNiejeTun" w:customStyle="1">
    <w:name w:val="Štýl Štýl § názov Char + 115 pt + Antique Olive Nie je Tučné"/>
    <w:uiPriority w:val="99"/>
    <w:qFormat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character" w:styleId="PtaChar" w:customStyle="1">
    <w:name w:val="Päta Char"/>
    <w:basedOn w:val="DefaultParagraphFont"/>
    <w:link w:val="Pta"/>
    <w:uiPriority w:val="99"/>
    <w:qFormat/>
    <w:rsid w:val="003a4222"/>
    <w:rPr>
      <w:rFonts w:ascii="Arial" w:hAnsi="Arial" w:cs="Arial"/>
      <w:sz w:val="24"/>
      <w:szCs w:val="24"/>
      <w:lang w:eastAsia="cs-CZ"/>
    </w:rPr>
  </w:style>
  <w:style w:type="character" w:styleId="Pagenumber">
    <w:name w:val="page number"/>
    <w:basedOn w:val="DefaultParagraphFont"/>
    <w:uiPriority w:val="99"/>
    <w:qFormat/>
    <w:rsid w:val="0072048d"/>
    <w:rPr/>
  </w:style>
  <w:style w:type="character" w:styleId="Strong">
    <w:name w:val="Strong"/>
    <w:basedOn w:val="DefaultParagraphFont"/>
    <w:uiPriority w:val="99"/>
    <w:qFormat/>
    <w:rsid w:val="00db3c2d"/>
    <w:rPr>
      <w:b/>
      <w:bCs/>
    </w:rPr>
  </w:style>
  <w:style w:type="character" w:styleId="ZkladntextChar" w:customStyle="1">
    <w:name w:val="Základný text Char"/>
    <w:basedOn w:val="DefaultParagraphFont"/>
    <w:link w:val="Zkladntext"/>
    <w:uiPriority w:val="99"/>
    <w:qFormat/>
    <w:rsid w:val="00497323"/>
    <w:rPr>
      <w:rFonts w:ascii="Arial" w:hAnsi="Arial" w:cs="Arial"/>
      <w:sz w:val="24"/>
      <w:szCs w:val="24"/>
      <w:lang w:val="de-DE" w:eastAsia="cs-CZ"/>
    </w:rPr>
  </w:style>
  <w:style w:type="character" w:styleId="HlavikaChar" w:customStyle="1">
    <w:name w:val="Hlavička Char"/>
    <w:basedOn w:val="DefaultParagraphFont"/>
    <w:link w:val="Hlavika"/>
    <w:uiPriority w:val="99"/>
    <w:qFormat/>
    <w:rsid w:val="00804636"/>
    <w:rPr>
      <w:rFonts w:ascii="Arial Narrow" w:hAnsi="Arial Narrow" w:cs="Arial Narrow"/>
      <w:sz w:val="24"/>
      <w:szCs w:val="24"/>
      <w:lang w:eastAsia="cs-CZ"/>
    </w:rPr>
  </w:style>
  <w:style w:type="character" w:styleId="TextbublinyChar" w:customStyle="1">
    <w:name w:val="Text bubliny Char"/>
    <w:basedOn w:val="DefaultParagraphFont"/>
    <w:link w:val="Textbubliny"/>
    <w:uiPriority w:val="99"/>
    <w:semiHidden/>
    <w:qFormat/>
    <w:rsid w:val="001058f5"/>
    <w:rPr>
      <w:rFonts w:ascii="Tahoma" w:hAnsi="Tahoma" w:cs="Tahoma"/>
      <w:sz w:val="16"/>
      <w:szCs w:val="16"/>
      <w:lang w:eastAsia="cs-CZ"/>
    </w:rPr>
  </w:style>
  <w:style w:type="character" w:styleId="Internetovodkaz">
    <w:name w:val="Internetový odkaz"/>
    <w:basedOn w:val="DefaultParagraphFont"/>
    <w:uiPriority w:val="99"/>
    <w:rsid w:val="0049724f"/>
    <w:rPr>
      <w:color w:val="0000FF"/>
      <w:u w:val="single"/>
    </w:rPr>
  </w:style>
  <w:style w:type="character" w:styleId="Style21" w:customStyle="1">
    <w:name w:val="style2"/>
    <w:basedOn w:val="DefaultParagraphFont"/>
    <w:uiPriority w:val="99"/>
    <w:qFormat/>
    <w:rsid w:val="0049724f"/>
    <w:rPr/>
  </w:style>
  <w:style w:type="character" w:styleId="ListLabel1">
    <w:name w:val="ListLabel 1"/>
    <w:qFormat/>
    <w:rPr>
      <w:rFonts w:cs="Arial"/>
      <w:b/>
      <w:bCs/>
      <w:i w:val="false"/>
      <w:iCs w:val="false"/>
      <w:sz w:val="24"/>
      <w:szCs w:val="24"/>
    </w:rPr>
  </w:style>
  <w:style w:type="character" w:styleId="ListLabel2">
    <w:name w:val="ListLabel 2"/>
    <w:qFormat/>
    <w:rPr>
      <w:b w:val="false"/>
      <w:bCs w:val="false"/>
      <w:i w:val="false"/>
      <w:iCs w:val="false"/>
    </w:rPr>
  </w:style>
  <w:style w:type="character" w:styleId="ListLabel3">
    <w:name w:val="ListLabel 3"/>
    <w:qFormat/>
    <w:rPr>
      <w:rFonts w:cs="Arial"/>
      <w:b/>
      <w:bCs/>
      <w:i w:val="false"/>
      <w:iCs w:val="false"/>
      <w:sz w:val="24"/>
      <w:szCs w:val="24"/>
    </w:rPr>
  </w:style>
  <w:style w:type="character" w:styleId="ListLabel4">
    <w:name w:val="ListLabel 4"/>
    <w:qFormat/>
    <w:rPr>
      <w:b w:val="false"/>
      <w:bCs w:val="false"/>
      <w:i w:val="false"/>
      <w:iCs w:val="false"/>
    </w:rPr>
  </w:style>
  <w:style w:type="character" w:styleId="ListLabel5">
    <w:name w:val="ListLabel 5"/>
    <w:qFormat/>
    <w:rPr>
      <w:b/>
      <w:bCs/>
      <w:i w:val="false"/>
      <w:iCs w:val="false"/>
    </w:rPr>
  </w:style>
  <w:style w:type="character" w:styleId="ListLabel6">
    <w:name w:val="ListLabel 6"/>
    <w:qFormat/>
    <w:rPr>
      <w:rFonts w:cs="Arial Narrow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A"/>
      <w:spacing w:val="0"/>
      <w:w w:val="100"/>
      <w:position w:val="0"/>
      <w:sz w:val="24"/>
      <w:sz w:val="24"/>
      <w:szCs w:val="24"/>
      <w:u w:val="none"/>
      <w:vertAlign w:val="baseline"/>
    </w:rPr>
  </w:style>
  <w:style w:type="character" w:styleId="ListLabel7">
    <w:name w:val="ListLabel 7"/>
    <w:qFormat/>
    <w:rPr>
      <w:rFonts w:cs="Arial Narrow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A"/>
      <w:spacing w:val="0"/>
      <w:w w:val="100"/>
      <w:position w:val="0"/>
      <w:sz w:val="24"/>
      <w:sz w:val="24"/>
      <w:szCs w:val="24"/>
      <w:u w:val="none"/>
      <w:vertAlign w:val="baseline"/>
    </w:rPr>
  </w:style>
  <w:style w:type="character" w:styleId="ListLabel8">
    <w:name w:val="ListLabel 8"/>
    <w:qFormat/>
    <w:rPr>
      <w:b/>
      <w:bCs/>
      <w:i w:val="false"/>
      <w:iCs w:val="false"/>
    </w:rPr>
  </w:style>
  <w:style w:type="character" w:styleId="ListLabel9">
    <w:name w:val="ListLabel 9"/>
    <w:qFormat/>
    <w:rPr>
      <w:b w:val="false"/>
      <w:bCs w:val="false"/>
      <w:i w:val="false"/>
      <w:iCs w:val="false"/>
      <w:sz w:val="16"/>
    </w:rPr>
  </w:style>
  <w:style w:type="character" w:styleId="ListLabel10">
    <w:name w:val="ListLabel 10"/>
    <w:qFormat/>
    <w:rPr>
      <w:b w:val="false"/>
      <w:bCs w:val="false"/>
      <w:i w:val="false"/>
      <w:iCs w:val="false"/>
      <w:sz w:val="18"/>
    </w:rPr>
  </w:style>
  <w:style w:type="character" w:styleId="ListLabel11">
    <w:name w:val="ListLabel 11"/>
    <w:qFormat/>
    <w:rPr>
      <w:rFonts w:cs="Symbol"/>
      <w:b/>
      <w:sz w:val="16"/>
    </w:rPr>
  </w:style>
  <w:style w:type="character" w:styleId="ListLabel12">
    <w:name w:val="ListLabel 12"/>
    <w:qFormat/>
    <w:rPr>
      <w:rFonts w:cs="Courier New"/>
    </w:rPr>
  </w:style>
  <w:style w:type="character" w:styleId="ListLabel13">
    <w:name w:val="ListLabel 13"/>
    <w:qFormat/>
    <w:rPr>
      <w:rFonts w:cs="Wingdings"/>
    </w:rPr>
  </w:style>
  <w:style w:type="character" w:styleId="ListLabel14">
    <w:name w:val="ListLabel 14"/>
    <w:qFormat/>
    <w:rPr>
      <w:rFonts w:cs="Symbol"/>
    </w:rPr>
  </w:style>
  <w:style w:type="character" w:styleId="ListLabel15">
    <w:name w:val="ListLabel 15"/>
    <w:qFormat/>
    <w:rPr>
      <w:rFonts w:cs="Courier New"/>
    </w:rPr>
  </w:style>
  <w:style w:type="character" w:styleId="ListLabel16">
    <w:name w:val="ListLabel 16"/>
    <w:qFormat/>
    <w:rPr>
      <w:rFonts w:cs="Wingdings"/>
    </w:rPr>
  </w:style>
  <w:style w:type="character" w:styleId="ListLabel17">
    <w:name w:val="ListLabel 17"/>
    <w:qFormat/>
    <w:rPr>
      <w:rFonts w:cs="Symbol"/>
    </w:rPr>
  </w:style>
  <w:style w:type="character" w:styleId="ListLabel18">
    <w:name w:val="ListLabel 18"/>
    <w:qFormat/>
    <w:rPr>
      <w:rFonts w:cs="Courier New"/>
    </w:rPr>
  </w:style>
  <w:style w:type="character" w:styleId="ListLabel19">
    <w:name w:val="ListLabel 19"/>
    <w:qFormat/>
    <w:rPr>
      <w:rFonts w:cs="Wingdings"/>
    </w:rPr>
  </w:style>
  <w:style w:type="character" w:styleId="ListLabel20">
    <w:name w:val="ListLabel 20"/>
    <w:qFormat/>
    <w:rPr>
      <w:rFonts w:cs="Symbol"/>
      <w:sz w:val="16"/>
    </w:rPr>
  </w:style>
  <w:style w:type="character" w:styleId="ListLabel21">
    <w:name w:val="ListLabel 21"/>
    <w:qFormat/>
    <w:rPr>
      <w:rFonts w:cs="Courier New"/>
    </w:rPr>
  </w:style>
  <w:style w:type="character" w:styleId="ListLabel22">
    <w:name w:val="ListLabel 22"/>
    <w:qFormat/>
    <w:rPr>
      <w:rFonts w:cs="Wingdings"/>
    </w:rPr>
  </w:style>
  <w:style w:type="character" w:styleId="ListLabel23">
    <w:name w:val="ListLabel 23"/>
    <w:qFormat/>
    <w:rPr>
      <w:rFonts w:cs="Symbol"/>
    </w:rPr>
  </w:style>
  <w:style w:type="character" w:styleId="ListLabel24">
    <w:name w:val="ListLabel 24"/>
    <w:qFormat/>
    <w:rPr>
      <w:rFonts w:cs="Courier New"/>
    </w:rPr>
  </w:style>
  <w:style w:type="character" w:styleId="ListLabel25">
    <w:name w:val="ListLabel 25"/>
    <w:qFormat/>
    <w:rPr>
      <w:rFonts w:cs="Wingdings"/>
    </w:rPr>
  </w:style>
  <w:style w:type="character" w:styleId="ListLabel26">
    <w:name w:val="ListLabel 26"/>
    <w:qFormat/>
    <w:rPr>
      <w:rFonts w:cs="Symbol"/>
    </w:rPr>
  </w:style>
  <w:style w:type="character" w:styleId="ListLabel27">
    <w:name w:val="ListLabel 27"/>
    <w:qFormat/>
    <w:rPr>
      <w:rFonts w:cs="Courier New"/>
    </w:rPr>
  </w:style>
  <w:style w:type="character" w:styleId="ListLabel28">
    <w:name w:val="ListLabel 28"/>
    <w:qFormat/>
    <w:rPr>
      <w:rFonts w:cs="Wingdings"/>
    </w:rPr>
  </w:style>
  <w:style w:type="character" w:styleId="ListLabel29">
    <w:name w:val="ListLabel 29"/>
    <w:qFormat/>
    <w:rPr>
      <w:rFonts w:cs="Symbol"/>
      <w:sz w:val="16"/>
    </w:rPr>
  </w:style>
  <w:style w:type="character" w:styleId="ListLabel30">
    <w:name w:val="ListLabel 30"/>
    <w:qFormat/>
    <w:rPr>
      <w:rFonts w:cs="Courier New"/>
    </w:rPr>
  </w:style>
  <w:style w:type="character" w:styleId="ListLabel31">
    <w:name w:val="ListLabel 31"/>
    <w:qFormat/>
    <w:rPr>
      <w:rFonts w:cs="Wingdings"/>
    </w:rPr>
  </w:style>
  <w:style w:type="character" w:styleId="ListLabel32">
    <w:name w:val="ListLabel 32"/>
    <w:qFormat/>
    <w:rPr>
      <w:rFonts w:cs="Symbol"/>
    </w:rPr>
  </w:style>
  <w:style w:type="character" w:styleId="ListLabel33">
    <w:name w:val="ListLabel 33"/>
    <w:qFormat/>
    <w:rPr>
      <w:rFonts w:cs="Courier New"/>
    </w:rPr>
  </w:style>
  <w:style w:type="character" w:styleId="ListLabel34">
    <w:name w:val="ListLabel 34"/>
    <w:qFormat/>
    <w:rPr>
      <w:rFonts w:cs="Wingdings"/>
    </w:rPr>
  </w:style>
  <w:style w:type="character" w:styleId="ListLabel35">
    <w:name w:val="ListLabel 35"/>
    <w:qFormat/>
    <w:rPr>
      <w:rFonts w:cs="Symbol"/>
    </w:rPr>
  </w:style>
  <w:style w:type="character" w:styleId="ListLabel36">
    <w:name w:val="ListLabel 36"/>
    <w:qFormat/>
    <w:rPr>
      <w:rFonts w:cs="Courier New"/>
    </w:rPr>
  </w:style>
  <w:style w:type="character" w:styleId="ListLabel37">
    <w:name w:val="ListLabel 37"/>
    <w:qFormat/>
    <w:rPr>
      <w:rFonts w:cs="Wingdings"/>
    </w:rPr>
  </w:style>
  <w:style w:type="character" w:styleId="ListLabel38">
    <w:name w:val="ListLabel 38"/>
    <w:qFormat/>
    <w:rPr>
      <w:rFonts w:cs="Arial Narrow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A"/>
      <w:spacing w:val="0"/>
      <w:w w:val="100"/>
      <w:position w:val="0"/>
      <w:sz w:val="24"/>
      <w:sz w:val="24"/>
      <w:szCs w:val="24"/>
      <w:u w:val="none"/>
      <w:vertAlign w:val="baseline"/>
    </w:rPr>
  </w:style>
  <w:style w:type="character" w:styleId="ListLabel39">
    <w:name w:val="ListLabel 39"/>
    <w:qFormat/>
    <w:rPr>
      <w:rFonts w:cs="Symbol"/>
      <w:sz w:val="20"/>
      <w:szCs w:val="20"/>
    </w:rPr>
  </w:style>
  <w:style w:type="character" w:styleId="ListLabel40">
    <w:name w:val="ListLabel 40"/>
    <w:qFormat/>
    <w:rPr>
      <w:rFonts w:cs="Courier New"/>
      <w:sz w:val="20"/>
      <w:szCs w:val="20"/>
    </w:rPr>
  </w:style>
  <w:style w:type="character" w:styleId="ListLabel41">
    <w:name w:val="ListLabel 41"/>
    <w:qFormat/>
    <w:rPr>
      <w:rFonts w:cs="Wingdings"/>
      <w:sz w:val="20"/>
      <w:szCs w:val="20"/>
    </w:rPr>
  </w:style>
  <w:style w:type="character" w:styleId="ListLabel42">
    <w:name w:val="ListLabel 42"/>
    <w:qFormat/>
    <w:rPr>
      <w:rFonts w:cs="Wingdings"/>
      <w:sz w:val="20"/>
      <w:szCs w:val="20"/>
    </w:rPr>
  </w:style>
  <w:style w:type="character" w:styleId="ListLabel43">
    <w:name w:val="ListLabel 43"/>
    <w:qFormat/>
    <w:rPr>
      <w:rFonts w:cs="Wingdings"/>
      <w:sz w:val="20"/>
      <w:szCs w:val="20"/>
    </w:rPr>
  </w:style>
  <w:style w:type="character" w:styleId="ListLabel44">
    <w:name w:val="ListLabel 44"/>
    <w:qFormat/>
    <w:rPr>
      <w:rFonts w:cs="Wingdings"/>
      <w:sz w:val="20"/>
      <w:szCs w:val="20"/>
    </w:rPr>
  </w:style>
  <w:style w:type="character" w:styleId="ListLabel45">
    <w:name w:val="ListLabel 45"/>
    <w:qFormat/>
    <w:rPr>
      <w:rFonts w:cs="Wingdings"/>
      <w:sz w:val="20"/>
      <w:szCs w:val="20"/>
    </w:rPr>
  </w:style>
  <w:style w:type="character" w:styleId="ListLabel46">
    <w:name w:val="ListLabel 46"/>
    <w:qFormat/>
    <w:rPr>
      <w:rFonts w:cs="Wingdings"/>
      <w:sz w:val="20"/>
      <w:szCs w:val="20"/>
    </w:rPr>
  </w:style>
  <w:style w:type="character" w:styleId="ListLabel47">
    <w:name w:val="ListLabel 47"/>
    <w:qFormat/>
    <w:rPr>
      <w:rFonts w:cs="Wingdings"/>
      <w:sz w:val="20"/>
      <w:szCs w:val="20"/>
    </w:rPr>
  </w:style>
  <w:style w:type="character" w:styleId="ListLabel48">
    <w:name w:val="ListLabel 48"/>
    <w:qFormat/>
    <w:rPr>
      <w:rFonts w:cs="Symbol"/>
      <w:sz w:val="20"/>
      <w:szCs w:val="20"/>
    </w:rPr>
  </w:style>
  <w:style w:type="character" w:styleId="ListLabel49">
    <w:name w:val="ListLabel 49"/>
    <w:qFormat/>
    <w:rPr>
      <w:rFonts w:cs="Courier New"/>
      <w:sz w:val="20"/>
      <w:szCs w:val="20"/>
    </w:rPr>
  </w:style>
  <w:style w:type="character" w:styleId="ListLabel50">
    <w:name w:val="ListLabel 50"/>
    <w:qFormat/>
    <w:rPr>
      <w:rFonts w:cs="Wingdings"/>
      <w:sz w:val="20"/>
      <w:szCs w:val="20"/>
    </w:rPr>
  </w:style>
  <w:style w:type="character" w:styleId="ListLabel51">
    <w:name w:val="ListLabel 51"/>
    <w:qFormat/>
    <w:rPr>
      <w:rFonts w:cs="Wingdings"/>
      <w:sz w:val="20"/>
      <w:szCs w:val="20"/>
    </w:rPr>
  </w:style>
  <w:style w:type="character" w:styleId="ListLabel52">
    <w:name w:val="ListLabel 52"/>
    <w:qFormat/>
    <w:rPr>
      <w:rFonts w:cs="Wingdings"/>
      <w:sz w:val="20"/>
      <w:szCs w:val="20"/>
    </w:rPr>
  </w:style>
  <w:style w:type="character" w:styleId="ListLabel53">
    <w:name w:val="ListLabel 53"/>
    <w:qFormat/>
    <w:rPr>
      <w:rFonts w:cs="Wingdings"/>
      <w:sz w:val="20"/>
      <w:szCs w:val="20"/>
    </w:rPr>
  </w:style>
  <w:style w:type="character" w:styleId="ListLabel54">
    <w:name w:val="ListLabel 54"/>
    <w:qFormat/>
    <w:rPr>
      <w:rFonts w:cs="Wingdings"/>
      <w:sz w:val="20"/>
      <w:szCs w:val="20"/>
    </w:rPr>
  </w:style>
  <w:style w:type="character" w:styleId="ListLabel55">
    <w:name w:val="ListLabel 55"/>
    <w:qFormat/>
    <w:rPr>
      <w:rFonts w:cs="Wingdings"/>
      <w:sz w:val="20"/>
      <w:szCs w:val="20"/>
    </w:rPr>
  </w:style>
  <w:style w:type="character" w:styleId="ListLabel56">
    <w:name w:val="ListLabel 56"/>
    <w:qFormat/>
    <w:rPr>
      <w:rFonts w:cs="Wingdings"/>
      <w:sz w:val="20"/>
      <w:szCs w:val="20"/>
    </w:rPr>
  </w:style>
  <w:style w:type="character" w:styleId="ListLabel57">
    <w:name w:val="ListLabel 57"/>
    <w:qFormat/>
    <w:rPr>
      <w:rFonts w:cs="Arial"/>
      <w:b/>
      <w:bCs/>
      <w:i w:val="false"/>
      <w:iCs w:val="false"/>
      <w:sz w:val="24"/>
      <w:szCs w:val="24"/>
    </w:rPr>
  </w:style>
  <w:style w:type="character" w:styleId="ListLabel58">
    <w:name w:val="ListLabel 58"/>
    <w:qFormat/>
    <w:rPr>
      <w:b/>
      <w:bCs/>
      <w:i w:val="false"/>
      <w:iCs w:val="false"/>
    </w:rPr>
  </w:style>
  <w:style w:type="character" w:styleId="ListLabel59">
    <w:name w:val="ListLabel 59"/>
    <w:qFormat/>
    <w:rPr>
      <w:b w:val="false"/>
      <w:bCs w:val="false"/>
      <w:i w:val="false"/>
      <w:iCs w:val="false"/>
      <w:sz w:val="16"/>
    </w:rPr>
  </w:style>
  <w:style w:type="character" w:styleId="ListLabel60">
    <w:name w:val="ListLabel 60"/>
    <w:qFormat/>
    <w:rPr>
      <w:b w:val="false"/>
      <w:bCs w:val="false"/>
      <w:i w:val="false"/>
      <w:iCs w:val="false"/>
      <w:sz w:val="18"/>
    </w:rPr>
  </w:style>
  <w:style w:type="character" w:styleId="ListLabel61">
    <w:name w:val="ListLabel 61"/>
    <w:qFormat/>
    <w:rPr>
      <w:rFonts w:cs="Symbol"/>
      <w:b/>
      <w:sz w:val="16"/>
    </w:rPr>
  </w:style>
  <w:style w:type="character" w:styleId="ListLabel62">
    <w:name w:val="ListLabel 62"/>
    <w:qFormat/>
    <w:rPr>
      <w:rFonts w:cs="Courier New"/>
    </w:rPr>
  </w:style>
  <w:style w:type="character" w:styleId="ListLabel63">
    <w:name w:val="ListLabel 63"/>
    <w:qFormat/>
    <w:rPr>
      <w:rFonts w:cs="Wingdings"/>
    </w:rPr>
  </w:style>
  <w:style w:type="character" w:styleId="ListLabel64">
    <w:name w:val="ListLabel 64"/>
    <w:qFormat/>
    <w:rPr>
      <w:rFonts w:cs="Symbol"/>
    </w:rPr>
  </w:style>
  <w:style w:type="character" w:styleId="ListLabel65">
    <w:name w:val="ListLabel 65"/>
    <w:qFormat/>
    <w:rPr>
      <w:rFonts w:cs="Courier New"/>
    </w:rPr>
  </w:style>
  <w:style w:type="character" w:styleId="ListLabel66">
    <w:name w:val="ListLabel 66"/>
    <w:qFormat/>
    <w:rPr>
      <w:rFonts w:cs="Wingdings"/>
    </w:rPr>
  </w:style>
  <w:style w:type="character" w:styleId="ListLabel67">
    <w:name w:val="ListLabel 67"/>
    <w:qFormat/>
    <w:rPr>
      <w:rFonts w:cs="Symbol"/>
    </w:rPr>
  </w:style>
  <w:style w:type="character" w:styleId="ListLabel68">
    <w:name w:val="ListLabel 68"/>
    <w:qFormat/>
    <w:rPr>
      <w:rFonts w:cs="Courier New"/>
    </w:rPr>
  </w:style>
  <w:style w:type="character" w:styleId="ListLabel69">
    <w:name w:val="ListLabel 69"/>
    <w:qFormat/>
    <w:rPr>
      <w:rFonts w:cs="Wingdings"/>
    </w:rPr>
  </w:style>
  <w:style w:type="character" w:styleId="ListLabel70">
    <w:name w:val="ListLabel 70"/>
    <w:qFormat/>
    <w:rPr>
      <w:rFonts w:cs="Symbol"/>
      <w:sz w:val="16"/>
    </w:rPr>
  </w:style>
  <w:style w:type="character" w:styleId="ListLabel71">
    <w:name w:val="ListLabel 71"/>
    <w:qFormat/>
    <w:rPr>
      <w:rFonts w:cs="Courier New"/>
    </w:rPr>
  </w:style>
  <w:style w:type="character" w:styleId="ListLabel72">
    <w:name w:val="ListLabel 72"/>
    <w:qFormat/>
    <w:rPr>
      <w:rFonts w:cs="Wingdings"/>
    </w:rPr>
  </w:style>
  <w:style w:type="character" w:styleId="ListLabel73">
    <w:name w:val="ListLabel 73"/>
    <w:qFormat/>
    <w:rPr>
      <w:rFonts w:cs="Symbol"/>
    </w:rPr>
  </w:style>
  <w:style w:type="character" w:styleId="ListLabel74">
    <w:name w:val="ListLabel 74"/>
    <w:qFormat/>
    <w:rPr>
      <w:rFonts w:cs="Courier New"/>
    </w:rPr>
  </w:style>
  <w:style w:type="character" w:styleId="ListLabel75">
    <w:name w:val="ListLabel 75"/>
    <w:qFormat/>
    <w:rPr>
      <w:rFonts w:cs="Wingdings"/>
    </w:rPr>
  </w:style>
  <w:style w:type="character" w:styleId="ListLabel76">
    <w:name w:val="ListLabel 76"/>
    <w:qFormat/>
    <w:rPr>
      <w:rFonts w:cs="Symbol"/>
    </w:rPr>
  </w:style>
  <w:style w:type="character" w:styleId="ListLabel77">
    <w:name w:val="ListLabel 77"/>
    <w:qFormat/>
    <w:rPr>
      <w:rFonts w:cs="Courier New"/>
    </w:rPr>
  </w:style>
  <w:style w:type="character" w:styleId="ListLabel78">
    <w:name w:val="ListLabel 78"/>
    <w:qFormat/>
    <w:rPr>
      <w:rFonts w:cs="Wingdings"/>
    </w:rPr>
  </w:style>
  <w:style w:type="character" w:styleId="ListLabel79">
    <w:name w:val="ListLabel 79"/>
    <w:qFormat/>
    <w:rPr>
      <w:rFonts w:cs="Symbol"/>
      <w:sz w:val="16"/>
    </w:rPr>
  </w:style>
  <w:style w:type="character" w:styleId="ListLabel80">
    <w:name w:val="ListLabel 80"/>
    <w:qFormat/>
    <w:rPr>
      <w:rFonts w:cs="Courier New"/>
    </w:rPr>
  </w:style>
  <w:style w:type="character" w:styleId="ListLabel81">
    <w:name w:val="ListLabel 81"/>
    <w:qFormat/>
    <w:rPr>
      <w:rFonts w:cs="Wingdings"/>
    </w:rPr>
  </w:style>
  <w:style w:type="character" w:styleId="ListLabel82">
    <w:name w:val="ListLabel 82"/>
    <w:qFormat/>
    <w:rPr>
      <w:rFonts w:cs="Symbol"/>
    </w:rPr>
  </w:style>
  <w:style w:type="character" w:styleId="ListLabel83">
    <w:name w:val="ListLabel 83"/>
    <w:qFormat/>
    <w:rPr>
      <w:rFonts w:cs="Courier New"/>
    </w:rPr>
  </w:style>
  <w:style w:type="character" w:styleId="ListLabel84">
    <w:name w:val="ListLabel 84"/>
    <w:qFormat/>
    <w:rPr>
      <w:rFonts w:cs="Wingdings"/>
    </w:rPr>
  </w:style>
  <w:style w:type="character" w:styleId="ListLabel85">
    <w:name w:val="ListLabel 85"/>
    <w:qFormat/>
    <w:rPr>
      <w:rFonts w:cs="Symbol"/>
    </w:rPr>
  </w:style>
  <w:style w:type="character" w:styleId="ListLabel86">
    <w:name w:val="ListLabel 86"/>
    <w:qFormat/>
    <w:rPr>
      <w:rFonts w:cs="Courier New"/>
    </w:rPr>
  </w:style>
  <w:style w:type="character" w:styleId="ListLabel87">
    <w:name w:val="ListLabel 87"/>
    <w:qFormat/>
    <w:rPr>
      <w:rFonts w:cs="Wingdings"/>
    </w:rPr>
  </w:style>
  <w:style w:type="character" w:styleId="ListLabel88">
    <w:name w:val="ListLabel 88"/>
    <w:qFormat/>
    <w:rPr>
      <w:rFonts w:cs="Arial"/>
      <w:b/>
      <w:bCs/>
      <w:i w:val="false"/>
      <w:iCs w:val="false"/>
      <w:sz w:val="24"/>
      <w:szCs w:val="24"/>
    </w:rPr>
  </w:style>
  <w:style w:type="character" w:styleId="ListLabel89">
    <w:name w:val="ListLabel 89"/>
    <w:qFormat/>
    <w:rPr>
      <w:b/>
      <w:bCs/>
      <w:i w:val="false"/>
      <w:iCs w:val="false"/>
    </w:rPr>
  </w:style>
  <w:style w:type="character" w:styleId="ListLabel90">
    <w:name w:val="ListLabel 90"/>
    <w:qFormat/>
    <w:rPr>
      <w:b w:val="false"/>
      <w:bCs w:val="false"/>
      <w:i w:val="false"/>
      <w:iCs w:val="false"/>
      <w:sz w:val="16"/>
    </w:rPr>
  </w:style>
  <w:style w:type="character" w:styleId="ListLabel91">
    <w:name w:val="ListLabel 91"/>
    <w:qFormat/>
    <w:rPr>
      <w:b w:val="false"/>
      <w:bCs w:val="false"/>
      <w:i w:val="false"/>
      <w:iCs w:val="false"/>
      <w:sz w:val="18"/>
    </w:rPr>
  </w:style>
  <w:style w:type="character" w:styleId="ListLabel92">
    <w:name w:val="ListLabel 92"/>
    <w:qFormat/>
    <w:rPr>
      <w:rFonts w:cs="Symbol"/>
      <w:b/>
      <w:sz w:val="16"/>
    </w:rPr>
  </w:style>
  <w:style w:type="character" w:styleId="ListLabel93">
    <w:name w:val="ListLabel 93"/>
    <w:qFormat/>
    <w:rPr>
      <w:rFonts w:cs="Courier New"/>
    </w:rPr>
  </w:style>
  <w:style w:type="character" w:styleId="ListLabel94">
    <w:name w:val="ListLabel 94"/>
    <w:qFormat/>
    <w:rPr>
      <w:rFonts w:cs="Wingdings"/>
    </w:rPr>
  </w:style>
  <w:style w:type="character" w:styleId="ListLabel95">
    <w:name w:val="ListLabel 95"/>
    <w:qFormat/>
    <w:rPr>
      <w:rFonts w:cs="Symbol"/>
    </w:rPr>
  </w:style>
  <w:style w:type="character" w:styleId="ListLabel96">
    <w:name w:val="ListLabel 96"/>
    <w:qFormat/>
    <w:rPr>
      <w:rFonts w:cs="Courier New"/>
    </w:rPr>
  </w:style>
  <w:style w:type="character" w:styleId="ListLabel97">
    <w:name w:val="ListLabel 97"/>
    <w:qFormat/>
    <w:rPr>
      <w:rFonts w:cs="Wingdings"/>
    </w:rPr>
  </w:style>
  <w:style w:type="character" w:styleId="ListLabel98">
    <w:name w:val="ListLabel 98"/>
    <w:qFormat/>
    <w:rPr>
      <w:rFonts w:cs="Symbol"/>
    </w:rPr>
  </w:style>
  <w:style w:type="character" w:styleId="ListLabel99">
    <w:name w:val="ListLabel 99"/>
    <w:qFormat/>
    <w:rPr>
      <w:rFonts w:cs="Courier New"/>
    </w:rPr>
  </w:style>
  <w:style w:type="character" w:styleId="ListLabel100">
    <w:name w:val="ListLabel 100"/>
    <w:qFormat/>
    <w:rPr>
      <w:rFonts w:cs="Wingdings"/>
    </w:rPr>
  </w:style>
  <w:style w:type="character" w:styleId="ListLabel101">
    <w:name w:val="ListLabel 101"/>
    <w:qFormat/>
    <w:rPr>
      <w:rFonts w:cs="Symbol"/>
      <w:sz w:val="16"/>
    </w:rPr>
  </w:style>
  <w:style w:type="character" w:styleId="ListLabel102">
    <w:name w:val="ListLabel 102"/>
    <w:qFormat/>
    <w:rPr>
      <w:rFonts w:cs="Courier New"/>
    </w:rPr>
  </w:style>
  <w:style w:type="character" w:styleId="ListLabel103">
    <w:name w:val="ListLabel 103"/>
    <w:qFormat/>
    <w:rPr>
      <w:rFonts w:cs="Wingdings"/>
    </w:rPr>
  </w:style>
  <w:style w:type="character" w:styleId="ListLabel104">
    <w:name w:val="ListLabel 104"/>
    <w:qFormat/>
    <w:rPr>
      <w:rFonts w:cs="Symbol"/>
    </w:rPr>
  </w:style>
  <w:style w:type="character" w:styleId="ListLabel105">
    <w:name w:val="ListLabel 105"/>
    <w:qFormat/>
    <w:rPr>
      <w:rFonts w:cs="Courier New"/>
    </w:rPr>
  </w:style>
  <w:style w:type="character" w:styleId="ListLabel106">
    <w:name w:val="ListLabel 106"/>
    <w:qFormat/>
    <w:rPr>
      <w:rFonts w:cs="Wingdings"/>
    </w:rPr>
  </w:style>
  <w:style w:type="character" w:styleId="ListLabel107">
    <w:name w:val="ListLabel 107"/>
    <w:qFormat/>
    <w:rPr>
      <w:rFonts w:cs="Symbol"/>
    </w:rPr>
  </w:style>
  <w:style w:type="character" w:styleId="ListLabel108">
    <w:name w:val="ListLabel 108"/>
    <w:qFormat/>
    <w:rPr>
      <w:rFonts w:cs="Courier New"/>
    </w:rPr>
  </w:style>
  <w:style w:type="character" w:styleId="ListLabel109">
    <w:name w:val="ListLabel 109"/>
    <w:qFormat/>
    <w:rPr>
      <w:rFonts w:cs="Wingdings"/>
    </w:rPr>
  </w:style>
  <w:style w:type="character" w:styleId="ListLabel110">
    <w:name w:val="ListLabel 110"/>
    <w:qFormat/>
    <w:rPr>
      <w:rFonts w:cs="Symbol"/>
      <w:sz w:val="16"/>
    </w:rPr>
  </w:style>
  <w:style w:type="character" w:styleId="ListLabel111">
    <w:name w:val="ListLabel 111"/>
    <w:qFormat/>
    <w:rPr>
      <w:rFonts w:cs="Courier New"/>
    </w:rPr>
  </w:style>
  <w:style w:type="character" w:styleId="ListLabel112">
    <w:name w:val="ListLabel 112"/>
    <w:qFormat/>
    <w:rPr>
      <w:rFonts w:cs="Wingdings"/>
    </w:rPr>
  </w:style>
  <w:style w:type="character" w:styleId="ListLabel113">
    <w:name w:val="ListLabel 113"/>
    <w:qFormat/>
    <w:rPr>
      <w:rFonts w:cs="Symbol"/>
    </w:rPr>
  </w:style>
  <w:style w:type="character" w:styleId="ListLabel114">
    <w:name w:val="ListLabel 114"/>
    <w:qFormat/>
    <w:rPr>
      <w:rFonts w:cs="Courier New"/>
    </w:rPr>
  </w:style>
  <w:style w:type="character" w:styleId="ListLabel115">
    <w:name w:val="ListLabel 115"/>
    <w:qFormat/>
    <w:rPr>
      <w:rFonts w:cs="Wingdings"/>
    </w:rPr>
  </w:style>
  <w:style w:type="character" w:styleId="ListLabel116">
    <w:name w:val="ListLabel 116"/>
    <w:qFormat/>
    <w:rPr>
      <w:rFonts w:cs="Symbol"/>
    </w:rPr>
  </w:style>
  <w:style w:type="character" w:styleId="ListLabel117">
    <w:name w:val="ListLabel 117"/>
    <w:qFormat/>
    <w:rPr>
      <w:rFonts w:cs="Courier New"/>
    </w:rPr>
  </w:style>
  <w:style w:type="character" w:styleId="ListLabel118">
    <w:name w:val="ListLabel 118"/>
    <w:qFormat/>
    <w:rPr>
      <w:rFonts w:cs="Wingdings"/>
    </w:rPr>
  </w:style>
  <w:style w:type="character" w:styleId="ListLabel119">
    <w:name w:val="ListLabel 119"/>
    <w:qFormat/>
    <w:rPr>
      <w:rFonts w:cs="Arial"/>
      <w:b/>
      <w:bCs/>
      <w:i w:val="false"/>
      <w:iCs w:val="false"/>
      <w:sz w:val="24"/>
      <w:szCs w:val="24"/>
    </w:rPr>
  </w:style>
  <w:style w:type="character" w:styleId="ListLabel120">
    <w:name w:val="ListLabel 120"/>
    <w:qFormat/>
    <w:rPr>
      <w:b/>
      <w:bCs/>
      <w:i w:val="false"/>
      <w:iCs w:val="false"/>
    </w:rPr>
  </w:style>
  <w:style w:type="character" w:styleId="ListLabel121">
    <w:name w:val="ListLabel 121"/>
    <w:qFormat/>
    <w:rPr>
      <w:b w:val="false"/>
      <w:bCs w:val="false"/>
      <w:i w:val="false"/>
      <w:iCs w:val="false"/>
      <w:sz w:val="16"/>
    </w:rPr>
  </w:style>
  <w:style w:type="character" w:styleId="ListLabel122">
    <w:name w:val="ListLabel 122"/>
    <w:qFormat/>
    <w:rPr>
      <w:b w:val="false"/>
      <w:bCs w:val="false"/>
      <w:i w:val="false"/>
      <w:iCs w:val="false"/>
      <w:sz w:val="18"/>
    </w:rPr>
  </w:style>
  <w:style w:type="character" w:styleId="ListLabel123">
    <w:name w:val="ListLabel 123"/>
    <w:qFormat/>
    <w:rPr>
      <w:rFonts w:cs="Symbol"/>
      <w:b/>
      <w:sz w:val="16"/>
    </w:rPr>
  </w:style>
  <w:style w:type="character" w:styleId="ListLabel124">
    <w:name w:val="ListLabel 124"/>
    <w:qFormat/>
    <w:rPr>
      <w:rFonts w:cs="Courier New"/>
    </w:rPr>
  </w:style>
  <w:style w:type="character" w:styleId="ListLabel125">
    <w:name w:val="ListLabel 125"/>
    <w:qFormat/>
    <w:rPr>
      <w:rFonts w:cs="Wingdings"/>
    </w:rPr>
  </w:style>
  <w:style w:type="character" w:styleId="ListLabel126">
    <w:name w:val="ListLabel 126"/>
    <w:qFormat/>
    <w:rPr>
      <w:rFonts w:cs="Symbol"/>
    </w:rPr>
  </w:style>
  <w:style w:type="character" w:styleId="ListLabel127">
    <w:name w:val="ListLabel 127"/>
    <w:qFormat/>
    <w:rPr>
      <w:rFonts w:cs="Courier New"/>
    </w:rPr>
  </w:style>
  <w:style w:type="character" w:styleId="ListLabel128">
    <w:name w:val="ListLabel 128"/>
    <w:qFormat/>
    <w:rPr>
      <w:rFonts w:cs="Wingdings"/>
    </w:rPr>
  </w:style>
  <w:style w:type="character" w:styleId="ListLabel129">
    <w:name w:val="ListLabel 129"/>
    <w:qFormat/>
    <w:rPr>
      <w:rFonts w:cs="Symbol"/>
    </w:rPr>
  </w:style>
  <w:style w:type="character" w:styleId="ListLabel130">
    <w:name w:val="ListLabel 130"/>
    <w:qFormat/>
    <w:rPr>
      <w:rFonts w:cs="Courier New"/>
    </w:rPr>
  </w:style>
  <w:style w:type="character" w:styleId="ListLabel131">
    <w:name w:val="ListLabel 131"/>
    <w:qFormat/>
    <w:rPr>
      <w:rFonts w:cs="Wingdings"/>
    </w:rPr>
  </w:style>
  <w:style w:type="character" w:styleId="ListLabel132">
    <w:name w:val="ListLabel 132"/>
    <w:qFormat/>
    <w:rPr>
      <w:rFonts w:cs="Symbol"/>
      <w:sz w:val="16"/>
    </w:rPr>
  </w:style>
  <w:style w:type="character" w:styleId="ListLabel133">
    <w:name w:val="ListLabel 133"/>
    <w:qFormat/>
    <w:rPr>
      <w:rFonts w:cs="Courier New"/>
    </w:rPr>
  </w:style>
  <w:style w:type="character" w:styleId="ListLabel134">
    <w:name w:val="ListLabel 134"/>
    <w:qFormat/>
    <w:rPr>
      <w:rFonts w:cs="Wingdings"/>
    </w:rPr>
  </w:style>
  <w:style w:type="character" w:styleId="ListLabel135">
    <w:name w:val="ListLabel 135"/>
    <w:qFormat/>
    <w:rPr>
      <w:rFonts w:cs="Symbol"/>
    </w:rPr>
  </w:style>
  <w:style w:type="character" w:styleId="ListLabel136">
    <w:name w:val="ListLabel 136"/>
    <w:qFormat/>
    <w:rPr>
      <w:rFonts w:cs="Courier New"/>
    </w:rPr>
  </w:style>
  <w:style w:type="character" w:styleId="ListLabel137">
    <w:name w:val="ListLabel 137"/>
    <w:qFormat/>
    <w:rPr>
      <w:rFonts w:cs="Wingdings"/>
    </w:rPr>
  </w:style>
  <w:style w:type="character" w:styleId="ListLabel138">
    <w:name w:val="ListLabel 138"/>
    <w:qFormat/>
    <w:rPr>
      <w:rFonts w:cs="Symbol"/>
    </w:rPr>
  </w:style>
  <w:style w:type="character" w:styleId="ListLabel139">
    <w:name w:val="ListLabel 139"/>
    <w:qFormat/>
    <w:rPr>
      <w:rFonts w:cs="Courier New"/>
    </w:rPr>
  </w:style>
  <w:style w:type="character" w:styleId="ListLabel140">
    <w:name w:val="ListLabel 140"/>
    <w:qFormat/>
    <w:rPr>
      <w:rFonts w:cs="Wingdings"/>
    </w:rPr>
  </w:style>
  <w:style w:type="character" w:styleId="ListLabel141">
    <w:name w:val="ListLabel 141"/>
    <w:qFormat/>
    <w:rPr>
      <w:rFonts w:cs="Symbol"/>
      <w:sz w:val="16"/>
    </w:rPr>
  </w:style>
  <w:style w:type="character" w:styleId="ListLabel142">
    <w:name w:val="ListLabel 142"/>
    <w:qFormat/>
    <w:rPr>
      <w:rFonts w:cs="Courier New"/>
    </w:rPr>
  </w:style>
  <w:style w:type="character" w:styleId="ListLabel143">
    <w:name w:val="ListLabel 143"/>
    <w:qFormat/>
    <w:rPr>
      <w:rFonts w:cs="Wingdings"/>
    </w:rPr>
  </w:style>
  <w:style w:type="character" w:styleId="ListLabel144">
    <w:name w:val="ListLabel 144"/>
    <w:qFormat/>
    <w:rPr>
      <w:rFonts w:cs="Symbol"/>
    </w:rPr>
  </w:style>
  <w:style w:type="character" w:styleId="ListLabel145">
    <w:name w:val="ListLabel 145"/>
    <w:qFormat/>
    <w:rPr>
      <w:rFonts w:cs="Courier New"/>
    </w:rPr>
  </w:style>
  <w:style w:type="character" w:styleId="ListLabel146">
    <w:name w:val="ListLabel 146"/>
    <w:qFormat/>
    <w:rPr>
      <w:rFonts w:cs="Wingdings"/>
    </w:rPr>
  </w:style>
  <w:style w:type="character" w:styleId="ListLabel147">
    <w:name w:val="ListLabel 147"/>
    <w:qFormat/>
    <w:rPr>
      <w:rFonts w:cs="Symbol"/>
    </w:rPr>
  </w:style>
  <w:style w:type="character" w:styleId="ListLabel148">
    <w:name w:val="ListLabel 148"/>
    <w:qFormat/>
    <w:rPr>
      <w:rFonts w:cs="Courier New"/>
    </w:rPr>
  </w:style>
  <w:style w:type="character" w:styleId="ListLabel149">
    <w:name w:val="ListLabel 149"/>
    <w:qFormat/>
    <w:rPr>
      <w:rFonts w:cs="Wingdings"/>
    </w:rPr>
  </w:style>
  <w:style w:type="character" w:styleId="ListLabel150">
    <w:name w:val="ListLabel 150"/>
    <w:qFormat/>
    <w:rPr>
      <w:rFonts w:cs="Arial"/>
      <w:b/>
      <w:bCs/>
      <w:i w:val="false"/>
      <w:iCs w:val="false"/>
      <w:sz w:val="24"/>
      <w:szCs w:val="24"/>
    </w:rPr>
  </w:style>
  <w:style w:type="character" w:styleId="ListLabel151">
    <w:name w:val="ListLabel 151"/>
    <w:qFormat/>
    <w:rPr>
      <w:b/>
      <w:bCs/>
      <w:i w:val="false"/>
      <w:iCs w:val="false"/>
    </w:rPr>
  </w:style>
  <w:style w:type="character" w:styleId="ListLabel152">
    <w:name w:val="ListLabel 152"/>
    <w:qFormat/>
    <w:rPr>
      <w:b w:val="false"/>
      <w:bCs w:val="false"/>
      <w:i w:val="false"/>
      <w:iCs w:val="false"/>
      <w:sz w:val="16"/>
    </w:rPr>
  </w:style>
  <w:style w:type="character" w:styleId="ListLabel153">
    <w:name w:val="ListLabel 153"/>
    <w:qFormat/>
    <w:rPr>
      <w:b w:val="false"/>
      <w:bCs w:val="false"/>
      <w:i w:val="false"/>
      <w:iCs w:val="false"/>
      <w:sz w:val="18"/>
    </w:rPr>
  </w:style>
  <w:style w:type="character" w:styleId="ListLabel154">
    <w:name w:val="ListLabel 154"/>
    <w:qFormat/>
    <w:rPr>
      <w:rFonts w:cs="Symbol"/>
      <w:b/>
      <w:sz w:val="16"/>
    </w:rPr>
  </w:style>
  <w:style w:type="character" w:styleId="ListLabel155">
    <w:name w:val="ListLabel 155"/>
    <w:qFormat/>
    <w:rPr>
      <w:rFonts w:cs="Courier New"/>
    </w:rPr>
  </w:style>
  <w:style w:type="character" w:styleId="ListLabel156">
    <w:name w:val="ListLabel 156"/>
    <w:qFormat/>
    <w:rPr>
      <w:rFonts w:cs="Wingdings"/>
    </w:rPr>
  </w:style>
  <w:style w:type="character" w:styleId="ListLabel157">
    <w:name w:val="ListLabel 157"/>
    <w:qFormat/>
    <w:rPr>
      <w:rFonts w:cs="Symbol"/>
    </w:rPr>
  </w:style>
  <w:style w:type="character" w:styleId="ListLabel158">
    <w:name w:val="ListLabel 158"/>
    <w:qFormat/>
    <w:rPr>
      <w:rFonts w:cs="Courier New"/>
    </w:rPr>
  </w:style>
  <w:style w:type="character" w:styleId="ListLabel159">
    <w:name w:val="ListLabel 159"/>
    <w:qFormat/>
    <w:rPr>
      <w:rFonts w:cs="Wingdings"/>
    </w:rPr>
  </w:style>
  <w:style w:type="character" w:styleId="ListLabel160">
    <w:name w:val="ListLabel 160"/>
    <w:qFormat/>
    <w:rPr>
      <w:rFonts w:cs="Symbol"/>
    </w:rPr>
  </w:style>
  <w:style w:type="character" w:styleId="ListLabel161">
    <w:name w:val="ListLabel 161"/>
    <w:qFormat/>
    <w:rPr>
      <w:rFonts w:cs="Courier New"/>
    </w:rPr>
  </w:style>
  <w:style w:type="character" w:styleId="ListLabel162">
    <w:name w:val="ListLabel 162"/>
    <w:qFormat/>
    <w:rPr>
      <w:rFonts w:cs="Wingdings"/>
    </w:rPr>
  </w:style>
  <w:style w:type="character" w:styleId="ListLabel163">
    <w:name w:val="ListLabel 163"/>
    <w:qFormat/>
    <w:rPr>
      <w:rFonts w:cs="Symbol"/>
      <w:sz w:val="16"/>
    </w:rPr>
  </w:style>
  <w:style w:type="character" w:styleId="ListLabel164">
    <w:name w:val="ListLabel 164"/>
    <w:qFormat/>
    <w:rPr>
      <w:rFonts w:cs="Courier New"/>
    </w:rPr>
  </w:style>
  <w:style w:type="character" w:styleId="ListLabel165">
    <w:name w:val="ListLabel 165"/>
    <w:qFormat/>
    <w:rPr>
      <w:rFonts w:cs="Wingdings"/>
    </w:rPr>
  </w:style>
  <w:style w:type="character" w:styleId="ListLabel166">
    <w:name w:val="ListLabel 166"/>
    <w:qFormat/>
    <w:rPr>
      <w:rFonts w:cs="Symbol"/>
    </w:rPr>
  </w:style>
  <w:style w:type="character" w:styleId="ListLabel167">
    <w:name w:val="ListLabel 167"/>
    <w:qFormat/>
    <w:rPr>
      <w:rFonts w:cs="Courier New"/>
    </w:rPr>
  </w:style>
  <w:style w:type="character" w:styleId="ListLabel168">
    <w:name w:val="ListLabel 168"/>
    <w:qFormat/>
    <w:rPr>
      <w:rFonts w:cs="Wingdings"/>
    </w:rPr>
  </w:style>
  <w:style w:type="character" w:styleId="ListLabel169">
    <w:name w:val="ListLabel 169"/>
    <w:qFormat/>
    <w:rPr>
      <w:rFonts w:cs="Symbol"/>
    </w:rPr>
  </w:style>
  <w:style w:type="character" w:styleId="ListLabel170">
    <w:name w:val="ListLabel 170"/>
    <w:qFormat/>
    <w:rPr>
      <w:rFonts w:cs="Courier New"/>
    </w:rPr>
  </w:style>
  <w:style w:type="character" w:styleId="ListLabel171">
    <w:name w:val="ListLabel 171"/>
    <w:qFormat/>
    <w:rPr>
      <w:rFonts w:cs="Wingdings"/>
    </w:rPr>
  </w:style>
  <w:style w:type="character" w:styleId="ListLabel172">
    <w:name w:val="ListLabel 172"/>
    <w:qFormat/>
    <w:rPr>
      <w:rFonts w:cs="Symbol"/>
      <w:sz w:val="16"/>
    </w:rPr>
  </w:style>
  <w:style w:type="character" w:styleId="ListLabel173">
    <w:name w:val="ListLabel 173"/>
    <w:qFormat/>
    <w:rPr>
      <w:rFonts w:cs="Courier New"/>
    </w:rPr>
  </w:style>
  <w:style w:type="character" w:styleId="ListLabel174">
    <w:name w:val="ListLabel 174"/>
    <w:qFormat/>
    <w:rPr>
      <w:rFonts w:cs="Wingdings"/>
    </w:rPr>
  </w:style>
  <w:style w:type="character" w:styleId="ListLabel175">
    <w:name w:val="ListLabel 175"/>
    <w:qFormat/>
    <w:rPr>
      <w:rFonts w:cs="Symbol"/>
    </w:rPr>
  </w:style>
  <w:style w:type="character" w:styleId="ListLabel176">
    <w:name w:val="ListLabel 176"/>
    <w:qFormat/>
    <w:rPr>
      <w:rFonts w:cs="Courier New"/>
    </w:rPr>
  </w:style>
  <w:style w:type="character" w:styleId="ListLabel177">
    <w:name w:val="ListLabel 177"/>
    <w:qFormat/>
    <w:rPr>
      <w:rFonts w:cs="Wingdings"/>
    </w:rPr>
  </w:style>
  <w:style w:type="character" w:styleId="ListLabel178">
    <w:name w:val="ListLabel 178"/>
    <w:qFormat/>
    <w:rPr>
      <w:rFonts w:cs="Symbol"/>
    </w:rPr>
  </w:style>
  <w:style w:type="character" w:styleId="ListLabel179">
    <w:name w:val="ListLabel 179"/>
    <w:qFormat/>
    <w:rPr>
      <w:rFonts w:cs="Courier New"/>
    </w:rPr>
  </w:style>
  <w:style w:type="character" w:styleId="ListLabel180">
    <w:name w:val="ListLabel 180"/>
    <w:qFormat/>
    <w:rPr>
      <w:rFonts w:cs="Wingdings"/>
    </w:rPr>
  </w:style>
  <w:style w:type="character" w:styleId="ListLabel181">
    <w:name w:val="ListLabel 181"/>
    <w:qFormat/>
    <w:rPr>
      <w:rFonts w:cs="Arial"/>
      <w:b/>
      <w:bCs/>
      <w:i w:val="false"/>
      <w:iCs w:val="false"/>
      <w:sz w:val="24"/>
      <w:szCs w:val="24"/>
    </w:rPr>
  </w:style>
  <w:style w:type="character" w:styleId="ListLabel182">
    <w:name w:val="ListLabel 182"/>
    <w:qFormat/>
    <w:rPr>
      <w:b/>
      <w:bCs/>
      <w:i w:val="false"/>
      <w:iCs w:val="false"/>
    </w:rPr>
  </w:style>
  <w:style w:type="character" w:styleId="ListLabel183">
    <w:name w:val="ListLabel 183"/>
    <w:qFormat/>
    <w:rPr>
      <w:b w:val="false"/>
      <w:bCs w:val="false"/>
      <w:i w:val="false"/>
      <w:iCs w:val="false"/>
      <w:sz w:val="16"/>
    </w:rPr>
  </w:style>
  <w:style w:type="character" w:styleId="ListLabel184">
    <w:name w:val="ListLabel 184"/>
    <w:qFormat/>
    <w:rPr>
      <w:b w:val="false"/>
      <w:bCs w:val="false"/>
      <w:i w:val="false"/>
      <w:iCs w:val="false"/>
      <w:sz w:val="18"/>
    </w:rPr>
  </w:style>
  <w:style w:type="character" w:styleId="ListLabel185">
    <w:name w:val="ListLabel 185"/>
    <w:qFormat/>
    <w:rPr>
      <w:rFonts w:cs="Symbol"/>
      <w:b/>
      <w:sz w:val="16"/>
    </w:rPr>
  </w:style>
  <w:style w:type="character" w:styleId="ListLabel186">
    <w:name w:val="ListLabel 186"/>
    <w:qFormat/>
    <w:rPr>
      <w:rFonts w:cs="Courier New"/>
    </w:rPr>
  </w:style>
  <w:style w:type="character" w:styleId="ListLabel187">
    <w:name w:val="ListLabel 187"/>
    <w:qFormat/>
    <w:rPr>
      <w:rFonts w:cs="Wingdings"/>
    </w:rPr>
  </w:style>
  <w:style w:type="character" w:styleId="ListLabel188">
    <w:name w:val="ListLabel 188"/>
    <w:qFormat/>
    <w:rPr>
      <w:rFonts w:cs="Symbol"/>
    </w:rPr>
  </w:style>
  <w:style w:type="character" w:styleId="ListLabel189">
    <w:name w:val="ListLabel 189"/>
    <w:qFormat/>
    <w:rPr>
      <w:rFonts w:cs="Courier New"/>
    </w:rPr>
  </w:style>
  <w:style w:type="character" w:styleId="ListLabel190">
    <w:name w:val="ListLabel 190"/>
    <w:qFormat/>
    <w:rPr>
      <w:rFonts w:cs="Wingdings"/>
    </w:rPr>
  </w:style>
  <w:style w:type="character" w:styleId="ListLabel191">
    <w:name w:val="ListLabel 191"/>
    <w:qFormat/>
    <w:rPr>
      <w:rFonts w:cs="Symbol"/>
    </w:rPr>
  </w:style>
  <w:style w:type="character" w:styleId="ListLabel192">
    <w:name w:val="ListLabel 192"/>
    <w:qFormat/>
    <w:rPr>
      <w:rFonts w:cs="Courier New"/>
    </w:rPr>
  </w:style>
  <w:style w:type="character" w:styleId="ListLabel193">
    <w:name w:val="ListLabel 193"/>
    <w:qFormat/>
    <w:rPr>
      <w:rFonts w:cs="Wingdings"/>
    </w:rPr>
  </w:style>
  <w:style w:type="character" w:styleId="ListLabel194">
    <w:name w:val="ListLabel 194"/>
    <w:qFormat/>
    <w:rPr>
      <w:rFonts w:cs="Symbol"/>
      <w:sz w:val="16"/>
    </w:rPr>
  </w:style>
  <w:style w:type="character" w:styleId="ListLabel195">
    <w:name w:val="ListLabel 195"/>
    <w:qFormat/>
    <w:rPr>
      <w:rFonts w:cs="Courier New"/>
    </w:rPr>
  </w:style>
  <w:style w:type="character" w:styleId="ListLabel196">
    <w:name w:val="ListLabel 196"/>
    <w:qFormat/>
    <w:rPr>
      <w:rFonts w:cs="Wingdings"/>
    </w:rPr>
  </w:style>
  <w:style w:type="character" w:styleId="ListLabel197">
    <w:name w:val="ListLabel 197"/>
    <w:qFormat/>
    <w:rPr>
      <w:rFonts w:cs="Symbol"/>
    </w:rPr>
  </w:style>
  <w:style w:type="character" w:styleId="ListLabel198">
    <w:name w:val="ListLabel 198"/>
    <w:qFormat/>
    <w:rPr>
      <w:rFonts w:cs="Courier New"/>
    </w:rPr>
  </w:style>
  <w:style w:type="character" w:styleId="ListLabel199">
    <w:name w:val="ListLabel 199"/>
    <w:qFormat/>
    <w:rPr>
      <w:rFonts w:cs="Wingdings"/>
    </w:rPr>
  </w:style>
  <w:style w:type="character" w:styleId="ListLabel200">
    <w:name w:val="ListLabel 200"/>
    <w:qFormat/>
    <w:rPr>
      <w:rFonts w:cs="Symbol"/>
    </w:rPr>
  </w:style>
  <w:style w:type="character" w:styleId="ListLabel201">
    <w:name w:val="ListLabel 201"/>
    <w:qFormat/>
    <w:rPr>
      <w:rFonts w:cs="Courier New"/>
    </w:rPr>
  </w:style>
  <w:style w:type="character" w:styleId="ListLabel202">
    <w:name w:val="ListLabel 202"/>
    <w:qFormat/>
    <w:rPr>
      <w:rFonts w:cs="Wingdings"/>
    </w:rPr>
  </w:style>
  <w:style w:type="character" w:styleId="ListLabel203">
    <w:name w:val="ListLabel 203"/>
    <w:qFormat/>
    <w:rPr>
      <w:rFonts w:cs="Symbol"/>
      <w:sz w:val="16"/>
    </w:rPr>
  </w:style>
  <w:style w:type="character" w:styleId="ListLabel204">
    <w:name w:val="ListLabel 204"/>
    <w:qFormat/>
    <w:rPr>
      <w:rFonts w:cs="Courier New"/>
    </w:rPr>
  </w:style>
  <w:style w:type="character" w:styleId="ListLabel205">
    <w:name w:val="ListLabel 205"/>
    <w:qFormat/>
    <w:rPr>
      <w:rFonts w:cs="Wingdings"/>
    </w:rPr>
  </w:style>
  <w:style w:type="character" w:styleId="ListLabel206">
    <w:name w:val="ListLabel 206"/>
    <w:qFormat/>
    <w:rPr>
      <w:rFonts w:cs="Symbol"/>
    </w:rPr>
  </w:style>
  <w:style w:type="character" w:styleId="ListLabel207">
    <w:name w:val="ListLabel 207"/>
    <w:qFormat/>
    <w:rPr>
      <w:rFonts w:cs="Courier New"/>
    </w:rPr>
  </w:style>
  <w:style w:type="character" w:styleId="ListLabel208">
    <w:name w:val="ListLabel 208"/>
    <w:qFormat/>
    <w:rPr>
      <w:rFonts w:cs="Wingdings"/>
    </w:rPr>
  </w:style>
  <w:style w:type="character" w:styleId="ListLabel209">
    <w:name w:val="ListLabel 209"/>
    <w:qFormat/>
    <w:rPr>
      <w:rFonts w:cs="Symbol"/>
    </w:rPr>
  </w:style>
  <w:style w:type="character" w:styleId="ListLabel210">
    <w:name w:val="ListLabel 210"/>
    <w:qFormat/>
    <w:rPr>
      <w:rFonts w:cs="Courier New"/>
    </w:rPr>
  </w:style>
  <w:style w:type="character" w:styleId="ListLabel211">
    <w:name w:val="ListLabel 211"/>
    <w:qFormat/>
    <w:rPr>
      <w:rFonts w:cs="Wingdings"/>
    </w:rPr>
  </w:style>
  <w:style w:type="character" w:styleId="ListLabel212">
    <w:name w:val="ListLabel 212"/>
    <w:qFormat/>
    <w:rPr>
      <w:rFonts w:cs="Arial"/>
      <w:b/>
      <w:bCs/>
      <w:i w:val="false"/>
      <w:iCs w:val="false"/>
      <w:sz w:val="24"/>
      <w:szCs w:val="24"/>
    </w:rPr>
  </w:style>
  <w:style w:type="character" w:styleId="ListLabel213">
    <w:name w:val="ListLabel 213"/>
    <w:qFormat/>
    <w:rPr>
      <w:b/>
      <w:bCs/>
      <w:i w:val="false"/>
      <w:iCs w:val="false"/>
    </w:rPr>
  </w:style>
  <w:style w:type="character" w:styleId="ListLabel214">
    <w:name w:val="ListLabel 214"/>
    <w:qFormat/>
    <w:rPr>
      <w:b w:val="false"/>
      <w:bCs w:val="false"/>
      <w:i w:val="false"/>
      <w:iCs w:val="false"/>
      <w:sz w:val="16"/>
    </w:rPr>
  </w:style>
  <w:style w:type="character" w:styleId="ListLabel215">
    <w:name w:val="ListLabel 215"/>
    <w:qFormat/>
    <w:rPr>
      <w:b w:val="false"/>
      <w:bCs w:val="false"/>
      <w:i w:val="false"/>
      <w:iCs w:val="false"/>
      <w:sz w:val="18"/>
    </w:rPr>
  </w:style>
  <w:style w:type="character" w:styleId="ListLabel216">
    <w:name w:val="ListLabel 216"/>
    <w:qFormat/>
    <w:rPr>
      <w:rFonts w:cs="Symbol"/>
      <w:b/>
      <w:sz w:val="16"/>
    </w:rPr>
  </w:style>
  <w:style w:type="character" w:styleId="ListLabel217">
    <w:name w:val="ListLabel 217"/>
    <w:qFormat/>
    <w:rPr>
      <w:rFonts w:cs="Courier New"/>
    </w:rPr>
  </w:style>
  <w:style w:type="character" w:styleId="ListLabel218">
    <w:name w:val="ListLabel 218"/>
    <w:qFormat/>
    <w:rPr>
      <w:rFonts w:cs="Wingdings"/>
    </w:rPr>
  </w:style>
  <w:style w:type="character" w:styleId="ListLabel219">
    <w:name w:val="ListLabel 219"/>
    <w:qFormat/>
    <w:rPr>
      <w:rFonts w:cs="Symbol"/>
    </w:rPr>
  </w:style>
  <w:style w:type="character" w:styleId="ListLabel220">
    <w:name w:val="ListLabel 220"/>
    <w:qFormat/>
    <w:rPr>
      <w:rFonts w:cs="Courier New"/>
    </w:rPr>
  </w:style>
  <w:style w:type="character" w:styleId="ListLabel221">
    <w:name w:val="ListLabel 221"/>
    <w:qFormat/>
    <w:rPr>
      <w:rFonts w:cs="Wingdings"/>
    </w:rPr>
  </w:style>
  <w:style w:type="character" w:styleId="ListLabel222">
    <w:name w:val="ListLabel 222"/>
    <w:qFormat/>
    <w:rPr>
      <w:rFonts w:cs="Symbol"/>
    </w:rPr>
  </w:style>
  <w:style w:type="character" w:styleId="ListLabel223">
    <w:name w:val="ListLabel 223"/>
    <w:qFormat/>
    <w:rPr>
      <w:rFonts w:cs="Courier New"/>
    </w:rPr>
  </w:style>
  <w:style w:type="character" w:styleId="ListLabel224">
    <w:name w:val="ListLabel 224"/>
    <w:qFormat/>
    <w:rPr>
      <w:rFonts w:cs="Wingdings"/>
    </w:rPr>
  </w:style>
  <w:style w:type="character" w:styleId="ListLabel225">
    <w:name w:val="ListLabel 225"/>
    <w:qFormat/>
    <w:rPr>
      <w:rFonts w:cs="Symbol"/>
      <w:sz w:val="16"/>
    </w:rPr>
  </w:style>
  <w:style w:type="character" w:styleId="ListLabel226">
    <w:name w:val="ListLabel 226"/>
    <w:qFormat/>
    <w:rPr>
      <w:rFonts w:cs="Courier New"/>
    </w:rPr>
  </w:style>
  <w:style w:type="character" w:styleId="ListLabel227">
    <w:name w:val="ListLabel 227"/>
    <w:qFormat/>
    <w:rPr>
      <w:rFonts w:cs="Wingdings"/>
    </w:rPr>
  </w:style>
  <w:style w:type="character" w:styleId="ListLabel228">
    <w:name w:val="ListLabel 228"/>
    <w:qFormat/>
    <w:rPr>
      <w:rFonts w:cs="Symbol"/>
    </w:rPr>
  </w:style>
  <w:style w:type="character" w:styleId="ListLabel229">
    <w:name w:val="ListLabel 229"/>
    <w:qFormat/>
    <w:rPr>
      <w:rFonts w:cs="Courier New"/>
    </w:rPr>
  </w:style>
  <w:style w:type="character" w:styleId="ListLabel230">
    <w:name w:val="ListLabel 230"/>
    <w:qFormat/>
    <w:rPr>
      <w:rFonts w:cs="Wingdings"/>
    </w:rPr>
  </w:style>
  <w:style w:type="character" w:styleId="ListLabel231">
    <w:name w:val="ListLabel 231"/>
    <w:qFormat/>
    <w:rPr>
      <w:rFonts w:cs="Symbol"/>
    </w:rPr>
  </w:style>
  <w:style w:type="character" w:styleId="ListLabel232">
    <w:name w:val="ListLabel 232"/>
    <w:qFormat/>
    <w:rPr>
      <w:rFonts w:cs="Courier New"/>
    </w:rPr>
  </w:style>
  <w:style w:type="character" w:styleId="ListLabel233">
    <w:name w:val="ListLabel 233"/>
    <w:qFormat/>
    <w:rPr>
      <w:rFonts w:cs="Wingdings"/>
    </w:rPr>
  </w:style>
  <w:style w:type="character" w:styleId="ListLabel234">
    <w:name w:val="ListLabel 234"/>
    <w:qFormat/>
    <w:rPr>
      <w:rFonts w:cs="Symbol"/>
      <w:sz w:val="16"/>
    </w:rPr>
  </w:style>
  <w:style w:type="character" w:styleId="ListLabel235">
    <w:name w:val="ListLabel 235"/>
    <w:qFormat/>
    <w:rPr>
      <w:rFonts w:cs="Courier New"/>
    </w:rPr>
  </w:style>
  <w:style w:type="character" w:styleId="ListLabel236">
    <w:name w:val="ListLabel 236"/>
    <w:qFormat/>
    <w:rPr>
      <w:rFonts w:cs="Wingdings"/>
    </w:rPr>
  </w:style>
  <w:style w:type="character" w:styleId="ListLabel237">
    <w:name w:val="ListLabel 237"/>
    <w:qFormat/>
    <w:rPr>
      <w:rFonts w:cs="Symbol"/>
    </w:rPr>
  </w:style>
  <w:style w:type="character" w:styleId="ListLabel238">
    <w:name w:val="ListLabel 238"/>
    <w:qFormat/>
    <w:rPr>
      <w:rFonts w:cs="Courier New"/>
    </w:rPr>
  </w:style>
  <w:style w:type="character" w:styleId="ListLabel239">
    <w:name w:val="ListLabel 239"/>
    <w:qFormat/>
    <w:rPr>
      <w:rFonts w:cs="Wingdings"/>
    </w:rPr>
  </w:style>
  <w:style w:type="character" w:styleId="ListLabel240">
    <w:name w:val="ListLabel 240"/>
    <w:qFormat/>
    <w:rPr>
      <w:rFonts w:cs="Symbol"/>
    </w:rPr>
  </w:style>
  <w:style w:type="character" w:styleId="ListLabel241">
    <w:name w:val="ListLabel 241"/>
    <w:qFormat/>
    <w:rPr>
      <w:rFonts w:cs="Courier New"/>
    </w:rPr>
  </w:style>
  <w:style w:type="character" w:styleId="ListLabel242">
    <w:name w:val="ListLabel 242"/>
    <w:qFormat/>
    <w:rPr>
      <w:rFonts w:cs="Wingdings"/>
    </w:rPr>
  </w:style>
  <w:style w:type="character" w:styleId="ListLabel243">
    <w:name w:val="ListLabel 243"/>
    <w:qFormat/>
    <w:rPr>
      <w:rFonts w:cs="Arial"/>
      <w:b/>
      <w:bCs/>
      <w:i w:val="false"/>
      <w:iCs w:val="false"/>
      <w:sz w:val="24"/>
      <w:szCs w:val="24"/>
    </w:rPr>
  </w:style>
  <w:style w:type="character" w:styleId="ListLabel244">
    <w:name w:val="ListLabel 244"/>
    <w:qFormat/>
    <w:rPr>
      <w:b/>
      <w:bCs/>
      <w:i w:val="false"/>
      <w:iCs w:val="false"/>
    </w:rPr>
  </w:style>
  <w:style w:type="character" w:styleId="ListLabel245">
    <w:name w:val="ListLabel 245"/>
    <w:qFormat/>
    <w:rPr>
      <w:b w:val="false"/>
      <w:bCs w:val="false"/>
      <w:i w:val="false"/>
      <w:iCs w:val="false"/>
      <w:sz w:val="16"/>
    </w:rPr>
  </w:style>
  <w:style w:type="character" w:styleId="ListLabel246">
    <w:name w:val="ListLabel 246"/>
    <w:qFormat/>
    <w:rPr>
      <w:b w:val="false"/>
      <w:bCs w:val="false"/>
      <w:i w:val="false"/>
      <w:iCs w:val="false"/>
      <w:sz w:val="18"/>
    </w:rPr>
  </w:style>
  <w:style w:type="character" w:styleId="ListLabel247">
    <w:name w:val="ListLabel 247"/>
    <w:qFormat/>
    <w:rPr>
      <w:rFonts w:cs="Symbol"/>
      <w:b/>
      <w:sz w:val="16"/>
    </w:rPr>
  </w:style>
  <w:style w:type="character" w:styleId="ListLabel248">
    <w:name w:val="ListLabel 248"/>
    <w:qFormat/>
    <w:rPr>
      <w:rFonts w:cs="Courier New"/>
    </w:rPr>
  </w:style>
  <w:style w:type="character" w:styleId="ListLabel249">
    <w:name w:val="ListLabel 249"/>
    <w:qFormat/>
    <w:rPr>
      <w:rFonts w:cs="Wingdings"/>
    </w:rPr>
  </w:style>
  <w:style w:type="character" w:styleId="ListLabel250">
    <w:name w:val="ListLabel 250"/>
    <w:qFormat/>
    <w:rPr>
      <w:rFonts w:cs="Symbol"/>
    </w:rPr>
  </w:style>
  <w:style w:type="character" w:styleId="ListLabel251">
    <w:name w:val="ListLabel 251"/>
    <w:qFormat/>
    <w:rPr>
      <w:rFonts w:cs="Courier New"/>
    </w:rPr>
  </w:style>
  <w:style w:type="character" w:styleId="ListLabel252">
    <w:name w:val="ListLabel 252"/>
    <w:qFormat/>
    <w:rPr>
      <w:rFonts w:cs="Wingdings"/>
    </w:rPr>
  </w:style>
  <w:style w:type="character" w:styleId="ListLabel253">
    <w:name w:val="ListLabel 253"/>
    <w:qFormat/>
    <w:rPr>
      <w:rFonts w:cs="Symbol"/>
    </w:rPr>
  </w:style>
  <w:style w:type="character" w:styleId="ListLabel254">
    <w:name w:val="ListLabel 254"/>
    <w:qFormat/>
    <w:rPr>
      <w:rFonts w:cs="Courier New"/>
    </w:rPr>
  </w:style>
  <w:style w:type="character" w:styleId="ListLabel255">
    <w:name w:val="ListLabel 255"/>
    <w:qFormat/>
    <w:rPr>
      <w:rFonts w:cs="Wingdings"/>
    </w:rPr>
  </w:style>
  <w:style w:type="character" w:styleId="ListLabel256">
    <w:name w:val="ListLabel 256"/>
    <w:qFormat/>
    <w:rPr>
      <w:rFonts w:cs="Symbol"/>
      <w:sz w:val="16"/>
    </w:rPr>
  </w:style>
  <w:style w:type="character" w:styleId="ListLabel257">
    <w:name w:val="ListLabel 257"/>
    <w:qFormat/>
    <w:rPr>
      <w:rFonts w:cs="Courier New"/>
    </w:rPr>
  </w:style>
  <w:style w:type="character" w:styleId="ListLabel258">
    <w:name w:val="ListLabel 258"/>
    <w:qFormat/>
    <w:rPr>
      <w:rFonts w:cs="Wingdings"/>
    </w:rPr>
  </w:style>
  <w:style w:type="character" w:styleId="ListLabel259">
    <w:name w:val="ListLabel 259"/>
    <w:qFormat/>
    <w:rPr>
      <w:rFonts w:cs="Symbol"/>
    </w:rPr>
  </w:style>
  <w:style w:type="character" w:styleId="ListLabel260">
    <w:name w:val="ListLabel 260"/>
    <w:qFormat/>
    <w:rPr>
      <w:rFonts w:cs="Courier New"/>
    </w:rPr>
  </w:style>
  <w:style w:type="character" w:styleId="ListLabel261">
    <w:name w:val="ListLabel 261"/>
    <w:qFormat/>
    <w:rPr>
      <w:rFonts w:cs="Wingdings"/>
    </w:rPr>
  </w:style>
  <w:style w:type="character" w:styleId="ListLabel262">
    <w:name w:val="ListLabel 262"/>
    <w:qFormat/>
    <w:rPr>
      <w:rFonts w:cs="Symbol"/>
    </w:rPr>
  </w:style>
  <w:style w:type="character" w:styleId="ListLabel263">
    <w:name w:val="ListLabel 263"/>
    <w:qFormat/>
    <w:rPr>
      <w:rFonts w:cs="Courier New"/>
    </w:rPr>
  </w:style>
  <w:style w:type="character" w:styleId="ListLabel264">
    <w:name w:val="ListLabel 264"/>
    <w:qFormat/>
    <w:rPr>
      <w:rFonts w:cs="Wingdings"/>
    </w:rPr>
  </w:style>
  <w:style w:type="character" w:styleId="ListLabel265">
    <w:name w:val="ListLabel 265"/>
    <w:qFormat/>
    <w:rPr>
      <w:rFonts w:cs="Symbol"/>
      <w:sz w:val="16"/>
    </w:rPr>
  </w:style>
  <w:style w:type="character" w:styleId="ListLabel266">
    <w:name w:val="ListLabel 266"/>
    <w:qFormat/>
    <w:rPr>
      <w:rFonts w:cs="Courier New"/>
    </w:rPr>
  </w:style>
  <w:style w:type="character" w:styleId="ListLabel267">
    <w:name w:val="ListLabel 267"/>
    <w:qFormat/>
    <w:rPr>
      <w:rFonts w:cs="Wingdings"/>
    </w:rPr>
  </w:style>
  <w:style w:type="character" w:styleId="ListLabel268">
    <w:name w:val="ListLabel 268"/>
    <w:qFormat/>
    <w:rPr>
      <w:rFonts w:cs="Symbol"/>
    </w:rPr>
  </w:style>
  <w:style w:type="character" w:styleId="ListLabel269">
    <w:name w:val="ListLabel 269"/>
    <w:qFormat/>
    <w:rPr>
      <w:rFonts w:cs="Courier New"/>
    </w:rPr>
  </w:style>
  <w:style w:type="character" w:styleId="ListLabel270">
    <w:name w:val="ListLabel 270"/>
    <w:qFormat/>
    <w:rPr>
      <w:rFonts w:cs="Wingdings"/>
    </w:rPr>
  </w:style>
  <w:style w:type="character" w:styleId="ListLabel271">
    <w:name w:val="ListLabel 271"/>
    <w:qFormat/>
    <w:rPr>
      <w:rFonts w:cs="Symbol"/>
    </w:rPr>
  </w:style>
  <w:style w:type="character" w:styleId="ListLabel272">
    <w:name w:val="ListLabel 272"/>
    <w:qFormat/>
    <w:rPr>
      <w:rFonts w:cs="Courier New"/>
    </w:rPr>
  </w:style>
  <w:style w:type="character" w:styleId="ListLabel273">
    <w:name w:val="ListLabel 273"/>
    <w:qFormat/>
    <w:rPr>
      <w:rFonts w:cs="Wingdings"/>
    </w:rPr>
  </w:style>
  <w:style w:type="character" w:styleId="ListLabel274">
    <w:name w:val="ListLabel 274"/>
    <w:qFormat/>
    <w:rPr>
      <w:rFonts w:cs="Arial"/>
      <w:b/>
      <w:bCs/>
      <w:i w:val="false"/>
      <w:iCs w:val="false"/>
      <w:sz w:val="24"/>
      <w:szCs w:val="24"/>
    </w:rPr>
  </w:style>
  <w:style w:type="character" w:styleId="ListLabel275">
    <w:name w:val="ListLabel 275"/>
    <w:qFormat/>
    <w:rPr>
      <w:b/>
      <w:bCs/>
      <w:i w:val="false"/>
      <w:iCs w:val="false"/>
    </w:rPr>
  </w:style>
  <w:style w:type="character" w:styleId="ListLabel276">
    <w:name w:val="ListLabel 276"/>
    <w:qFormat/>
    <w:rPr>
      <w:b w:val="false"/>
      <w:bCs w:val="false"/>
      <w:i w:val="false"/>
      <w:iCs w:val="false"/>
      <w:sz w:val="16"/>
    </w:rPr>
  </w:style>
  <w:style w:type="character" w:styleId="ListLabel277">
    <w:name w:val="ListLabel 277"/>
    <w:qFormat/>
    <w:rPr>
      <w:b w:val="false"/>
      <w:bCs w:val="false"/>
      <w:i w:val="false"/>
      <w:iCs w:val="false"/>
      <w:sz w:val="18"/>
    </w:rPr>
  </w:style>
  <w:style w:type="character" w:styleId="ListLabel278">
    <w:name w:val="ListLabel 278"/>
    <w:qFormat/>
    <w:rPr>
      <w:rFonts w:cs="Symbol"/>
      <w:b/>
      <w:sz w:val="16"/>
    </w:rPr>
  </w:style>
  <w:style w:type="character" w:styleId="ListLabel279">
    <w:name w:val="ListLabel 279"/>
    <w:qFormat/>
    <w:rPr>
      <w:rFonts w:cs="Courier New"/>
    </w:rPr>
  </w:style>
  <w:style w:type="character" w:styleId="ListLabel280">
    <w:name w:val="ListLabel 280"/>
    <w:qFormat/>
    <w:rPr>
      <w:rFonts w:cs="Wingdings"/>
    </w:rPr>
  </w:style>
  <w:style w:type="character" w:styleId="ListLabel281">
    <w:name w:val="ListLabel 281"/>
    <w:qFormat/>
    <w:rPr>
      <w:rFonts w:cs="Symbol"/>
    </w:rPr>
  </w:style>
  <w:style w:type="character" w:styleId="ListLabel282">
    <w:name w:val="ListLabel 282"/>
    <w:qFormat/>
    <w:rPr>
      <w:rFonts w:cs="Courier New"/>
    </w:rPr>
  </w:style>
  <w:style w:type="character" w:styleId="ListLabel283">
    <w:name w:val="ListLabel 283"/>
    <w:qFormat/>
    <w:rPr>
      <w:rFonts w:cs="Wingdings"/>
    </w:rPr>
  </w:style>
  <w:style w:type="character" w:styleId="ListLabel284">
    <w:name w:val="ListLabel 284"/>
    <w:qFormat/>
    <w:rPr>
      <w:rFonts w:cs="Symbol"/>
    </w:rPr>
  </w:style>
  <w:style w:type="character" w:styleId="ListLabel285">
    <w:name w:val="ListLabel 285"/>
    <w:qFormat/>
    <w:rPr>
      <w:rFonts w:cs="Courier New"/>
    </w:rPr>
  </w:style>
  <w:style w:type="character" w:styleId="ListLabel286">
    <w:name w:val="ListLabel 286"/>
    <w:qFormat/>
    <w:rPr>
      <w:rFonts w:cs="Wingdings"/>
    </w:rPr>
  </w:style>
  <w:style w:type="character" w:styleId="ListLabel287">
    <w:name w:val="ListLabel 287"/>
    <w:qFormat/>
    <w:rPr>
      <w:rFonts w:cs="Symbol"/>
      <w:sz w:val="16"/>
    </w:rPr>
  </w:style>
  <w:style w:type="character" w:styleId="ListLabel288">
    <w:name w:val="ListLabel 288"/>
    <w:qFormat/>
    <w:rPr>
      <w:rFonts w:cs="Courier New"/>
    </w:rPr>
  </w:style>
  <w:style w:type="character" w:styleId="ListLabel289">
    <w:name w:val="ListLabel 289"/>
    <w:qFormat/>
    <w:rPr>
      <w:rFonts w:cs="Wingdings"/>
    </w:rPr>
  </w:style>
  <w:style w:type="character" w:styleId="ListLabel290">
    <w:name w:val="ListLabel 290"/>
    <w:qFormat/>
    <w:rPr>
      <w:rFonts w:cs="Symbol"/>
    </w:rPr>
  </w:style>
  <w:style w:type="character" w:styleId="ListLabel291">
    <w:name w:val="ListLabel 291"/>
    <w:qFormat/>
    <w:rPr>
      <w:rFonts w:cs="Courier New"/>
    </w:rPr>
  </w:style>
  <w:style w:type="character" w:styleId="ListLabel292">
    <w:name w:val="ListLabel 292"/>
    <w:qFormat/>
    <w:rPr>
      <w:rFonts w:cs="Wingdings"/>
    </w:rPr>
  </w:style>
  <w:style w:type="character" w:styleId="ListLabel293">
    <w:name w:val="ListLabel 293"/>
    <w:qFormat/>
    <w:rPr>
      <w:rFonts w:cs="Symbol"/>
    </w:rPr>
  </w:style>
  <w:style w:type="character" w:styleId="ListLabel294">
    <w:name w:val="ListLabel 294"/>
    <w:qFormat/>
    <w:rPr>
      <w:rFonts w:cs="Courier New"/>
    </w:rPr>
  </w:style>
  <w:style w:type="character" w:styleId="ListLabel295">
    <w:name w:val="ListLabel 295"/>
    <w:qFormat/>
    <w:rPr>
      <w:rFonts w:cs="Wingdings"/>
    </w:rPr>
  </w:style>
  <w:style w:type="character" w:styleId="ListLabel296">
    <w:name w:val="ListLabel 296"/>
    <w:qFormat/>
    <w:rPr>
      <w:rFonts w:cs="Symbol"/>
      <w:sz w:val="16"/>
    </w:rPr>
  </w:style>
  <w:style w:type="character" w:styleId="ListLabel297">
    <w:name w:val="ListLabel 297"/>
    <w:qFormat/>
    <w:rPr>
      <w:rFonts w:cs="Courier New"/>
    </w:rPr>
  </w:style>
  <w:style w:type="character" w:styleId="ListLabel298">
    <w:name w:val="ListLabel 298"/>
    <w:qFormat/>
    <w:rPr>
      <w:rFonts w:cs="Wingdings"/>
    </w:rPr>
  </w:style>
  <w:style w:type="character" w:styleId="ListLabel299">
    <w:name w:val="ListLabel 299"/>
    <w:qFormat/>
    <w:rPr>
      <w:rFonts w:cs="Symbol"/>
    </w:rPr>
  </w:style>
  <w:style w:type="character" w:styleId="ListLabel300">
    <w:name w:val="ListLabel 300"/>
    <w:qFormat/>
    <w:rPr>
      <w:rFonts w:cs="Courier New"/>
    </w:rPr>
  </w:style>
  <w:style w:type="character" w:styleId="ListLabel301">
    <w:name w:val="ListLabel 301"/>
    <w:qFormat/>
    <w:rPr>
      <w:rFonts w:cs="Wingdings"/>
    </w:rPr>
  </w:style>
  <w:style w:type="character" w:styleId="ListLabel302">
    <w:name w:val="ListLabel 302"/>
    <w:qFormat/>
    <w:rPr>
      <w:rFonts w:cs="Symbol"/>
    </w:rPr>
  </w:style>
  <w:style w:type="character" w:styleId="ListLabel303">
    <w:name w:val="ListLabel 303"/>
    <w:qFormat/>
    <w:rPr>
      <w:rFonts w:cs="Courier New"/>
    </w:rPr>
  </w:style>
  <w:style w:type="character" w:styleId="ListLabel304">
    <w:name w:val="ListLabel 304"/>
    <w:qFormat/>
    <w:rPr>
      <w:rFonts w:cs="Wingdings"/>
    </w:rPr>
  </w:style>
  <w:style w:type="paragraph" w:styleId="Nadpis">
    <w:name w:val="Nadpis"/>
    <w:basedOn w:val="Normal"/>
    <w:next w:val="Telotextu"/>
    <w:qFormat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link w:val="ZkladntextChar"/>
    <w:uiPriority w:val="99"/>
    <w:rsid w:val="00497323"/>
    <w:pPr>
      <w:spacing w:lineRule="auto" w:line="240" w:before="0" w:after="0"/>
    </w:pPr>
    <w:rPr>
      <w:rFonts w:ascii="Arial" w:hAnsi="Arial" w:cs="Arial"/>
      <w:sz w:val="24"/>
      <w:szCs w:val="24"/>
      <w:lang w:val="de-DE"/>
    </w:rPr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Tl11ptTuniernaPodaokrajaVavo019cmRiadkova" w:customStyle="1">
    <w:name w:val="Štýl 11 pt Tučné Čierna Podľa okraja Vľavo:  019 cm Riadkova..."/>
    <w:uiPriority w:val="99"/>
    <w:qFormat/>
    <w:rsid w:val="00d71ffb"/>
    <w:pPr>
      <w:widowControl/>
      <w:bidi w:val="0"/>
      <w:spacing w:lineRule="auto" w:line="360"/>
      <w:jc w:val="both"/>
    </w:pPr>
    <w:rPr>
      <w:rFonts w:ascii="Arial" w:hAnsi="Arial" w:eastAsia="Times New Roman" w:cs="Arial"/>
      <w:color w:val="000000"/>
      <w:sz w:val="24"/>
      <w:szCs w:val="24"/>
      <w:lang w:val="sk-SK" w:eastAsia="cs-CZ" w:bidi="ar-SA"/>
    </w:rPr>
  </w:style>
  <w:style w:type="paragraph" w:styleId="TlPodaokrajaVavo019cmRiadkovanie15riadka" w:customStyle="1">
    <w:name w:val="Štýl Podľa okraja Vľavo:  019 cm Riadkovanie:  15 riadka"/>
    <w:basedOn w:val="Normal"/>
    <w:autoRedefine/>
    <w:uiPriority w:val="99"/>
    <w:qFormat/>
    <w:rsid w:val="00d71ffb"/>
    <w:pPr>
      <w:ind w:left="108" w:hanging="0"/>
    </w:pPr>
    <w:rPr/>
  </w:style>
  <w:style w:type="paragraph" w:styleId="Bododvodnenie" w:customStyle="1">
    <w:name w:val="Bod odôvodnenie"/>
    <w:uiPriority w:val="99"/>
    <w:qFormat/>
    <w:rsid w:val="00d440d5"/>
    <w:pPr>
      <w:widowControl/>
      <w:bidi w:val="0"/>
      <w:spacing w:before="120" w:after="120"/>
      <w:jc w:val="left"/>
    </w:pPr>
    <w:rPr>
      <w:rFonts w:ascii="Arial" w:hAnsi="Arial" w:eastAsia="Times New Roman" w:cs="Arial"/>
      <w:b/>
      <w:bCs/>
      <w:color w:val="00000A"/>
      <w:sz w:val="24"/>
      <w:szCs w:val="24"/>
      <w:lang w:val="sk-SK" w:eastAsia="cs-CZ" w:bidi="ar-SA"/>
    </w:rPr>
  </w:style>
  <w:style w:type="paragraph" w:styleId="TlArialPodaokraja" w:customStyle="1">
    <w:name w:val="Štýl Arial Podľa okraja"/>
    <w:autoRedefine/>
    <w:uiPriority w:val="99"/>
    <w:qFormat/>
    <w:rsid w:val="004337d2"/>
    <w:pPr>
      <w:widowControl/>
      <w:bidi w:val="0"/>
      <w:jc w:val="both"/>
    </w:pPr>
    <w:rPr>
      <w:rFonts w:ascii="Arial" w:hAnsi="Arial" w:eastAsia="Times New Roman" w:cs="Arial"/>
      <w:color w:val="00000A"/>
      <w:sz w:val="16"/>
      <w:szCs w:val="16"/>
      <w:lang w:val="sk-SK" w:eastAsia="cs-CZ" w:bidi="ar-SA"/>
    </w:rPr>
  </w:style>
  <w:style w:type="paragraph" w:styleId="Textpoznmky" w:customStyle="1">
    <w:name w:val="Text poznámky"/>
    <w:basedOn w:val="Normal"/>
    <w:autoRedefine/>
    <w:uiPriority w:val="99"/>
    <w:qFormat/>
    <w:rsid w:val="001f67e7"/>
    <w:pPr>
      <w:spacing w:lineRule="auto" w:line="240"/>
    </w:pPr>
    <w:rPr/>
  </w:style>
  <w:style w:type="paragraph" w:styleId="Pta">
    <w:name w:val="Footer"/>
    <w:basedOn w:val="Normal"/>
    <w:link w:val="PtaChar"/>
    <w:uiPriority w:val="99"/>
    <w:rsid w:val="0072048d"/>
    <w:pPr>
      <w:tabs>
        <w:tab w:val="center" w:pos="4536" w:leader="none"/>
        <w:tab w:val="right" w:pos="9072" w:leader="none"/>
      </w:tabs>
    </w:pPr>
    <w:rPr>
      <w:rFonts w:ascii="Arial" w:hAnsi="Arial" w:cs="Arial"/>
      <w:sz w:val="24"/>
      <w:szCs w:val="24"/>
    </w:rPr>
  </w:style>
  <w:style w:type="paragraph" w:styleId="Normlny1" w:customStyle="1">
    <w:name w:val="Normálny1"/>
    <w:uiPriority w:val="99"/>
    <w:qFormat/>
    <w:rsid w:val="00a40be6"/>
    <w:pPr>
      <w:widowControl/>
      <w:bidi w:val="0"/>
      <w:spacing w:lineRule="auto" w:line="360" w:before="120" w:after="120"/>
      <w:ind w:firstLine="709"/>
      <w:jc w:val="both"/>
    </w:pPr>
    <w:rPr>
      <w:rFonts w:ascii="Arial" w:hAnsi="Arial" w:eastAsia="Times New Roman" w:cs="Arial"/>
      <w:color w:val="00000A"/>
      <w:sz w:val="24"/>
      <w:szCs w:val="24"/>
      <w:lang w:val="sk-SK" w:eastAsia="cs-CZ" w:bidi="ar-SA"/>
    </w:rPr>
  </w:style>
  <w:style w:type="paragraph" w:styleId="Textopatrenia" w:customStyle="1">
    <w:name w:val="Text opatrenia"/>
    <w:uiPriority w:val="99"/>
    <w:qFormat/>
    <w:rsid w:val="00503a66"/>
    <w:pPr>
      <w:widowControl/>
      <w:bidi w:val="0"/>
      <w:spacing w:before="120" w:after="120"/>
      <w:jc w:val="both"/>
    </w:pPr>
    <w:rPr>
      <w:rFonts w:ascii="Arial Narrow" w:hAnsi="Arial Narrow" w:eastAsia="Times New Roman" w:cs="Arial Narrow"/>
      <w:color w:val="00000A"/>
      <w:sz w:val="20"/>
      <w:szCs w:val="22"/>
      <w:lang w:val="sk-SK" w:eastAsia="cs-CZ" w:bidi="ar-SA"/>
    </w:rPr>
  </w:style>
  <w:style w:type="paragraph" w:styleId="TopHeader" w:customStyle="1">
    <w:name w:val="Top Header"/>
    <w:basedOn w:val="Normal"/>
    <w:uiPriority w:val="99"/>
    <w:qFormat/>
    <w:rsid w:val="00322d87"/>
    <w:pPr>
      <w:spacing w:lineRule="auto" w:line="240" w:before="0" w:after="0"/>
      <w:jc w:val="center"/>
    </w:pPr>
    <w:rPr>
      <w:b/>
      <w:bCs/>
      <w:sz w:val="22"/>
      <w:szCs w:val="22"/>
      <w:lang w:eastAsia="en-US"/>
    </w:rPr>
  </w:style>
  <w:style w:type="paragraph" w:styleId="ListParagraph">
    <w:name w:val="List Paragraph"/>
    <w:basedOn w:val="Normal"/>
    <w:uiPriority w:val="99"/>
    <w:qFormat/>
    <w:rsid w:val="00497323"/>
    <w:pPr>
      <w:ind w:left="708" w:hanging="0"/>
    </w:pPr>
    <w:rPr/>
  </w:style>
  <w:style w:type="paragraph" w:styleId="Hlavika">
    <w:name w:val="Header"/>
    <w:basedOn w:val="Normal"/>
    <w:link w:val="HlavikaChar"/>
    <w:uiPriority w:val="99"/>
    <w:rsid w:val="00804636"/>
    <w:pPr>
      <w:tabs>
        <w:tab w:val="center" w:pos="4536" w:leader="none"/>
        <w:tab w:val="right" w:pos="9072" w:leader="none"/>
      </w:tabs>
    </w:pPr>
    <w:rPr/>
  </w:style>
  <w:style w:type="paragraph" w:styleId="BalloonText">
    <w:name w:val="Balloon Text"/>
    <w:basedOn w:val="Normal"/>
    <w:link w:val="TextbublinyChar"/>
    <w:uiPriority w:val="99"/>
    <w:semiHidden/>
    <w:qFormat/>
    <w:rsid w:val="001058f5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qFormat/>
    <w:rsid w:val="0049724f"/>
    <w:pPr>
      <w:spacing w:lineRule="auto" w:line="240" w:beforeAutospacing="1" w:afterAutospacing="1"/>
      <w:jc w:val="left"/>
    </w:pPr>
    <w:rPr>
      <w:sz w:val="24"/>
      <w:szCs w:val="24"/>
      <w:lang w:eastAsia="sk-SK"/>
    </w:rPr>
  </w:style>
  <w:style w:type="paragraph" w:styleId="Obsahtabuky">
    <w:name w:val="Obsah tabuľky"/>
    <w:basedOn w:val="Normal"/>
    <w:qFormat/>
    <w:pPr/>
    <w:rPr/>
  </w:style>
  <w:style w:type="paragraph" w:styleId="Nadpistabuky">
    <w:name w:val="Nadpis tabuľky"/>
    <w:basedOn w:val="Obsahtabuky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Mriekatabuky">
    <w:name w:val="Table Grid"/>
    <w:basedOn w:val="Normlnatabuka"/>
    <w:uiPriority w:val="99"/>
    <w:rsid w:val="00db1285"/>
    <w:rPr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Application>LibreOffice/5.3.3.2$Windows_X86_64 LibreOffice_project/3d9a8b4b4e538a85e0782bd6c2d430bafe583448</Application>
  <Pages>12</Pages>
  <Words>3516</Words>
  <Characters>20992</Characters>
  <CharactersWithSpaces>24014</CharactersWithSpaces>
  <Paragraphs>1071</Paragraphs>
  <Company>MF-SR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2018-03-12T10:24:00Z</dcterms:created>
  <dc:creator>Vlaďka</dc:creator>
  <dc:description/>
  <dc:language>sk-SK</dc:language>
  <cp:lastModifiedBy/>
  <cp:lastPrinted>2017-03-15T10:39:00Z</cp:lastPrinted>
  <dcterms:modified xsi:type="dcterms:W3CDTF">2022-02-14T13:26:56Z</dcterms:modified>
  <cp:revision>8</cp:revision>
  <dc:subject/>
  <dc:title>Príloha č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MF-SR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