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ind w:left="0" w:hanging="0"/>
        <w:jc w:val="center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4"/>
        </w:numPr>
        <w:jc w:val="center"/>
        <w:rPr>
          <w:szCs w:val="18"/>
        </w:rPr>
      </w:pPr>
      <w:r>
        <w:rPr>
          <w:szCs w:val="18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Názov spoločnosti a jej sídlo</w:t>
      </w:r>
    </w:p>
    <w:p>
      <w:pPr>
        <w:pStyle w:val="Telotextu"/>
        <w:rPr/>
      </w:pPr>
      <w:r>
        <w:rPr/>
        <w:t>Spoločnosť TPT</w:t>
      </w:r>
      <w:r>
        <w:rPr>
          <w:b/>
        </w:rPr>
        <w:t xml:space="preserve"> s.r.o</w:t>
      </w:r>
      <w:r>
        <w:rPr/>
        <w:t xml:space="preserve">. so sídlom 930 14  Trstená na Ostrove (ďalej len Spoločnosť), bola založená v roku 2010 a do obchodného registra bola zapísaná 1.júla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 xml:space="preserve">Počet zamestnancov </w:t>
      </w:r>
    </w:p>
    <w:p>
      <w:pPr>
        <w:pStyle w:val="Telotextu"/>
        <w:rPr/>
      </w:pPr>
      <w:r>
        <w:rPr/>
        <w:t>Údaje o počte zamestnancov za bežné účtovné obdobie a bezprostredne predchádzajúce účtovné obdobie sú uvedené v nasledujúcom prehľade: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                                                                                                                                         </w:t>
      </w:r>
      <w:r>
        <w:rPr/>
        <w:t>202</w:t>
      </w:r>
      <w:r>
        <w:rPr/>
        <w:t>1</w:t>
      </w:r>
      <w:r>
        <w:rPr/>
        <w:t xml:space="preserve">                                 20</w:t>
      </w:r>
      <w:r>
        <w:rPr/>
        <w:t>20</w:t>
      </w:r>
    </w:p>
    <w:p>
      <w:pPr>
        <w:pStyle w:val="Telotextu"/>
        <w:rPr/>
      </w:pPr>
      <w:r>
        <w:rPr/>
        <w:t>Priemerný počet zamestnancov</w:t>
      </w:r>
    </w:p>
    <w:p>
      <w:pPr>
        <w:pStyle w:val="Telotextu"/>
        <w:rPr/>
      </w:pPr>
      <w:r>
        <w:rPr/>
        <w:t>Stav zamestnancov ku dňu, ku ktorému sa zostavuje účt.závierka                                    2                                       2</w:t>
      </w:r>
    </w:p>
    <w:p>
      <w:pPr>
        <w:pStyle w:val="Telotextu"/>
        <w:rPr/>
      </w:pPr>
      <w:r>
        <w:rPr/>
        <w:t xml:space="preserve"> </w:t>
      </w:r>
      <w:r>
        <w:rPr/>
        <w:t>z toho: počet vedúcich zamestnancov                                                                                1                                       1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Údaje o neobmedzenom ručení</w:t>
      </w:r>
    </w:p>
    <w:p>
      <w:pPr>
        <w:pStyle w:val="Normal"/>
        <w:ind w:left="450" w:hanging="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Telotextu"/>
        <w:rPr/>
      </w:pPr>
      <w:r>
        <w:rPr/>
      </w:r>
    </w:p>
    <w:p>
      <w:pPr>
        <w:pStyle w:val="Nadpis2"/>
        <w:numPr>
          <w:ilvl w:val="0"/>
          <w:numId w:val="0"/>
        </w:numPr>
        <w:rPr/>
      </w:pPr>
      <w:r>
        <w:rPr/>
        <w:t>Právny dôvod na zostavenie účtovnej závierky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1</w:t>
      </w:r>
      <w:r>
        <w:rPr/>
        <w:t xml:space="preserve"> je zostavená ako riadna účtovná závierka podľa § 17 ods. 6 zákona NR SR č. 431/2002 Z. z. o účtovníctve za účtovné obdobie od 1. januára 2020 do 31. decembra 202</w:t>
      </w:r>
      <w:r>
        <w:rPr/>
        <w:t>1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50" w:hanging="0"/>
        <w:rPr/>
      </w:pPr>
      <w:r>
        <w:rPr/>
        <w:t>Informácie o konsolidovanom celku</w:t>
      </w:r>
    </w:p>
    <w:p>
      <w:pPr>
        <w:pStyle w:val="Telotextu"/>
        <w:rPr/>
      </w:pPr>
      <w:r>
        <w:rPr/>
      </w:r>
    </w:p>
    <w:p>
      <w:pPr>
        <w:pStyle w:val="Telotextu"/>
        <w:ind w:left="0" w:hanging="0"/>
        <w:rPr/>
      </w:pPr>
      <w:r>
        <w:rPr/>
        <w:t xml:space="preserve">Spoločnosť sa nezahŕňa do konsolidovanej účtovnej závierky. </w:t>
      </w:r>
    </w:p>
    <w:p>
      <w:pPr>
        <w:pStyle w:val="Telotextu"/>
        <w:rPr/>
      </w:pPr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50" w:hanging="0"/>
        <w:rPr/>
      </w:pPr>
      <w:bookmarkStart w:id="0" w:name="_Toc530739899"/>
      <w:bookmarkStart w:id="1" w:name="_Toc530739899"/>
      <w:r>
        <w:rPr/>
      </w:r>
    </w:p>
    <w:p>
      <w:pPr>
        <w:pStyle w:val="Nadpis1"/>
        <w:numPr>
          <w:ilvl w:val="0"/>
          <w:numId w:val="4"/>
        </w:numPr>
        <w:spacing w:before="120" w:after="60"/>
        <w:jc w:val="center"/>
        <w:rPr/>
      </w:pPr>
      <w:bookmarkStart w:id="2" w:name="_Toc530739899"/>
      <w:r>
        <w:rPr/>
        <w:t xml:space="preserve"> </w:t>
      </w:r>
      <w:bookmarkEnd w:id="2"/>
      <w:r>
        <w:rPr/>
        <w:t>Informácie o PRIJATÝCH POSTUPOCH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Východiská pre zostavenie účtovnej závierky</w:t>
      </w:r>
    </w:p>
    <w:p>
      <w:pPr>
        <w:pStyle w:val="Telotextu"/>
        <w:ind w:left="450" w:hanging="0"/>
        <w:rPr/>
      </w:pPr>
      <w:r>
        <w:rPr/>
        <w:t>Účtovná závierka bola zostavená za predpokladu nepretržitého trvania Spoločnosti (going concern).</w:t>
      </w:r>
    </w:p>
    <w:p>
      <w:pPr>
        <w:pStyle w:val="Telotextu"/>
        <w:ind w:left="450" w:hanging="0"/>
        <w:rPr/>
      </w:pPr>
      <w:r>
        <w:rPr/>
      </w:r>
    </w:p>
    <w:p>
      <w:pPr>
        <w:pStyle w:val="Telotextu"/>
        <w:ind w:left="450" w:hanging="0"/>
        <w:rPr/>
      </w:pPr>
      <w:r>
        <w:rPr/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Dlhodobý nehmotný majetok a dlhodobý hmotný majetok</w:t>
      </w:r>
    </w:p>
    <w:p>
      <w:pPr>
        <w:pStyle w:val="Telotextu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/>
      </w:pPr>
      <w:r>
        <w:rPr/>
        <w:t xml:space="preserve"> </w:t>
      </w:r>
    </w:p>
    <w:p>
      <w:pPr>
        <w:pStyle w:val="Telotextu"/>
        <w:rPr/>
      </w:pPr>
      <w:r>
        <w:rPr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/>
      </w:pPr>
      <w:r>
        <w:rPr/>
      </w:r>
    </w:p>
    <w:tbl>
      <w:tblPr>
        <w:tblW w:w="8977" w:type="dxa"/>
        <w:jc w:val="left"/>
        <w:tblInd w:w="456" w:type="dxa"/>
        <w:tblBorders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426"/>
        <w:gridCol w:w="1559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Predpokladaná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Metóda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42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doba používania</w:t>
              <w:br/>
              <w:t>v rokoch</w:t>
            </w:r>
          </w:p>
        </w:tc>
        <w:tc>
          <w:tcPr>
            <w:tcW w:w="22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odpisovania</w:t>
            </w:r>
          </w:p>
        </w:tc>
        <w:tc>
          <w:tcPr>
            <w:tcW w:w="223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Aktivované náklady na vývoj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5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20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Softvér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25</w:t>
            </w:r>
          </w:p>
        </w:tc>
      </w:tr>
      <w:tr>
        <w:trPr>
          <w:trHeight w:val="245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ind w:hanging="84"/>
              <w:rPr/>
            </w:pPr>
            <w:r>
              <w:rPr/>
              <w:t>Oceniteľné práva (licencia)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8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12,5</w:t>
            </w:r>
          </w:p>
        </w:tc>
      </w:tr>
      <w:tr>
        <w:trPr>
          <w:trHeight w:val="245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ind w:hanging="84"/>
              <w:rPr/>
            </w:pPr>
            <w:r>
              <w:rPr/>
              <w:t>Drobný dlhodobý nehmotný majetok</w:t>
            </w:r>
          </w:p>
        </w:tc>
        <w:tc>
          <w:tcPr>
            <w:tcW w:w="1559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rôzna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jednorazový odpis</w:t>
            </w:r>
          </w:p>
        </w:tc>
        <w:tc>
          <w:tcPr>
            <w:tcW w:w="223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28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7" w:type="dxa"/>
        <w:jc w:val="left"/>
        <w:tblInd w:w="456" w:type="dxa"/>
        <w:tblBorders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6"/>
        <w:gridCol w:w="141"/>
        <w:gridCol w:w="1985"/>
        <w:gridCol w:w="142"/>
        <w:gridCol w:w="1701"/>
        <w:gridCol w:w="141"/>
        <w:gridCol w:w="1700"/>
      </w:tblGrid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Predpokladaná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Metóda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6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4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2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odpisovania</w:t>
            </w:r>
          </w:p>
        </w:tc>
        <w:tc>
          <w:tcPr>
            <w:tcW w:w="141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A"/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rPr/>
            </w:pPr>
            <w:r>
              <w:rPr/>
              <w:t>Stavby</w:t>
            </w:r>
          </w:p>
        </w:tc>
        <w:tc>
          <w:tcPr>
            <w:tcW w:w="1985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20-40</w:t>
            </w:r>
          </w:p>
        </w:tc>
        <w:tc>
          <w:tcPr>
            <w:tcW w:w="142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141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4" w:space="0" w:color="00000A"/>
            </w:tcBorders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2,5-5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Stroje, prístroje a zariadenia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 až 12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lineárna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8,3 až 25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Dopravné prostriedky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4 až 6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degresívna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16 až 25</w:t>
            </w:r>
          </w:p>
        </w:tc>
      </w:tr>
      <w:tr>
        <w:trPr>
          <w:trHeight w:val="250" w:hRule="atLeast"/>
        </w:trPr>
        <w:tc>
          <w:tcPr>
            <w:tcW w:w="3117" w:type="dxa"/>
            <w:gridSpan w:val="2"/>
            <w:tcBorders/>
            <w:shd w:fill="auto" w:val="clear"/>
          </w:tcPr>
          <w:p>
            <w:pPr>
              <w:pStyle w:val="Tabulka"/>
              <w:rPr/>
            </w:pPr>
            <w:r>
              <w:rPr/>
              <w:t>Drobný dlhodobý hmotný majetok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rôzna</w:t>
            </w:r>
          </w:p>
        </w:tc>
        <w:tc>
          <w:tcPr>
            <w:tcW w:w="142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jednorazový odpis</w:t>
            </w:r>
          </w:p>
        </w:tc>
        <w:tc>
          <w:tcPr>
            <w:tcW w:w="141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</w:r>
          </w:p>
        </w:tc>
        <w:tc>
          <w:tcPr>
            <w:tcW w:w="1700" w:type="dxa"/>
            <w:tcBorders/>
            <w:shd w:fill="auto" w:val="clear"/>
          </w:tcPr>
          <w:p>
            <w:pPr>
              <w:pStyle w:val="Tabulka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426" w:hanging="426"/>
        <w:rPr/>
      </w:pPr>
      <w:r>
        <w:rPr/>
      </w:r>
    </w:p>
    <w:p>
      <w:pPr>
        <w:pStyle w:val="Pismenka"/>
        <w:numPr>
          <w:ilvl w:val="0"/>
          <w:numId w:val="0"/>
        </w:numPr>
        <w:ind w:left="426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Cenné papiere a podiely</w:t>
      </w:r>
    </w:p>
    <w:p>
      <w:pPr>
        <w:pStyle w:val="Telotextu"/>
        <w:rPr/>
      </w:pPr>
      <w:r>
        <w:rPr/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 xml:space="preserve">Zásoby </w:t>
      </w:r>
    </w:p>
    <w:p>
      <w:pPr>
        <w:pStyle w:val="Telotextu"/>
        <w:rPr/>
      </w:pPr>
      <w:r>
        <w:rPr/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Zníženie hodnoty zásob sa upravuje vytvorením opravnej položky.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Pohľadávky</w:t>
      </w:r>
    </w:p>
    <w:p>
      <w:pPr>
        <w:pStyle w:val="Telotextu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Peňažné prostriedky a ceniny</w:t>
      </w:r>
    </w:p>
    <w:p>
      <w:pPr>
        <w:pStyle w:val="Telotextu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Náklady budúcich období a príjmy budúcich období</w:t>
      </w:r>
    </w:p>
    <w:p>
      <w:pPr>
        <w:pStyle w:val="Telotextu"/>
        <w:rPr/>
      </w:pPr>
      <w:r>
        <w:rPr/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Rezervy</w:t>
      </w:r>
    </w:p>
    <w:p>
      <w:pPr>
        <w:pStyle w:val="Telotextu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Záväzky</w:t>
      </w:r>
    </w:p>
    <w:p>
      <w:pPr>
        <w:pStyle w:val="Telotextu"/>
        <w:rPr>
          <w:sz w:val="24"/>
        </w:rPr>
      </w:pPr>
      <w:r>
        <w:rPr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426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Odložené dane</w:t>
      </w:r>
    </w:p>
    <w:p>
      <w:pPr>
        <w:pStyle w:val="Telotextu"/>
        <w:rPr/>
      </w:pPr>
      <w:r>
        <w:rPr/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/>
      </w:pPr>
      <w:r>
        <w:rPr/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/>
      </w:pPr>
      <w:r>
        <w:rPr/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/>
      </w:pPr>
      <w:r>
        <w:rPr/>
        <w:t>možnosť previesť nevyužité daňové odpočty a iné daňové nároky do budúcich období.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Výdavky budúcich období a výnosy budúcich období</w:t>
      </w:r>
    </w:p>
    <w:p>
      <w:pPr>
        <w:pStyle w:val="Telotextu"/>
        <w:rPr/>
      </w:pPr>
      <w:r>
        <w:rPr/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Cudzia mena</w:t>
      </w:r>
    </w:p>
    <w:p>
      <w:pPr>
        <w:pStyle w:val="Telotextu"/>
        <w:rPr/>
      </w:pPr>
      <w:r>
        <w:rPr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 xml:space="preserve">Prijaté a poskytnuté preddavky sa ku dňu, ku ktorému sa zostavuje účtovná závierka, na menu euro už neprepočítavajú. 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/>
      </w:pPr>
      <w:r>
        <w:rPr/>
        <w:t>Výnosy</w:t>
      </w:r>
    </w:p>
    <w:p>
      <w:pPr>
        <w:pStyle w:val="Telotextu"/>
        <w:rPr/>
      </w:pPr>
      <w:r>
        <w:rPr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Telotextu"/>
        <w:rPr/>
      </w:pPr>
      <w:r>
        <w:rPr/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</w:rPr>
      </w:pPr>
      <w:bookmarkStart w:id="3" w:name="_Toc530739900"/>
      <w:bookmarkEnd w:id="3"/>
      <w:r>
        <w:rPr/>
        <w:t>Opravy významných chýb minulých období</w:t>
      </w:r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</w:rPr>
      </w:pPr>
      <w:r>
        <w:rPr>
          <w:b w:val="false"/>
        </w:rPr>
      </w:r>
    </w:p>
    <w:p>
      <w:pPr>
        <w:pStyle w:val="Telotextu"/>
        <w:jc w:val="center"/>
        <w:rPr>
          <w:b/>
          <w:b/>
        </w:rPr>
      </w:pPr>
      <w:r>
        <w:rPr>
          <w:b/>
        </w:rPr>
      </w:r>
    </w:p>
    <w:p>
      <w:pPr>
        <w:pStyle w:val="Telotextu"/>
        <w:numPr>
          <w:ilvl w:val="0"/>
          <w:numId w:val="4"/>
        </w:numPr>
        <w:jc w:val="center"/>
        <w:rPr>
          <w:b/>
          <w:b/>
        </w:rPr>
      </w:pPr>
      <w:r>
        <w:rPr>
          <w:b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</w:rPr>
      </w:pPr>
      <w:r>
        <w:rPr>
          <w:b/>
        </w:rPr>
      </w:r>
    </w:p>
    <w:p>
      <w:pPr>
        <w:pStyle w:val="Telotextu"/>
        <w:jc w:val="left"/>
        <w:rPr>
          <w:b/>
          <w:b/>
        </w:rPr>
      </w:pPr>
      <w:r>
        <w:rPr>
          <w:b/>
        </w:rPr>
      </w:r>
    </w:p>
    <w:p>
      <w:pPr>
        <w:pStyle w:val="Telotextu"/>
        <w:rPr/>
      </w:pPr>
      <w:r>
        <w:rPr/>
        <w:t>Pre túto časť Poznámok účtovná jednotka nemá náplň.</w:t>
      </w:r>
    </w:p>
    <w:p>
      <w:pPr>
        <w:pStyle w:val="Telotextu"/>
        <w:rPr/>
      </w:pPr>
      <w:bookmarkStart w:id="4" w:name="_MON_1395817569"/>
      <w:bookmarkStart w:id="5" w:name="_MON_1393346048"/>
      <w:bookmarkStart w:id="6" w:name="_MON_1393345959"/>
      <w:bookmarkStart w:id="7" w:name="_MON_1394182391"/>
      <w:bookmarkStart w:id="8" w:name="_MON_1393348817"/>
      <w:bookmarkStart w:id="9" w:name="_MON_1392366934"/>
      <w:bookmarkStart w:id="10" w:name="_MON_1392367054"/>
      <w:bookmarkStart w:id="11" w:name="_MON_1394182987"/>
      <w:bookmarkStart w:id="12" w:name="_MON_1396423556"/>
      <w:bookmarkStart w:id="13" w:name="_MON_1395817569"/>
      <w:bookmarkStart w:id="14" w:name="_MON_1393346048"/>
      <w:bookmarkStart w:id="15" w:name="_MON_1393345959"/>
      <w:bookmarkStart w:id="16" w:name="_MON_1394182391"/>
      <w:bookmarkStart w:id="17" w:name="_MON_1393348817"/>
      <w:bookmarkStart w:id="18" w:name="_MON_1392366934"/>
      <w:bookmarkStart w:id="19" w:name="_MON_1392367054"/>
      <w:bookmarkStart w:id="20" w:name="_MON_1394182987"/>
      <w:bookmarkStart w:id="21" w:name="_MON_1396423556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rPr/>
      </w:r>
    </w:p>
    <w:p>
      <w:pPr>
        <w:pStyle w:val="Nadpis1"/>
        <w:numPr>
          <w:ilvl w:val="0"/>
          <w:numId w:val="0"/>
        </w:numPr>
        <w:spacing w:before="120" w:after="60"/>
        <w:ind w:left="426" w:hanging="0"/>
        <w:rPr/>
      </w:pPr>
      <w:bookmarkStart w:id="22" w:name="_Toc530739925"/>
      <w:bookmarkEnd w:id="22"/>
      <w:r>
        <w:rPr/>
        <w:t>Informácie o skutočnostiach, ktoré nastali po dni, ku ktorému sa zostavuje účtovná závierka, do dňa zostavenia účtovnej závierky</w:t>
      </w:r>
    </w:p>
    <w:p>
      <w:pPr>
        <w:pStyle w:val="Telotextu"/>
        <w:rPr/>
      </w:pPr>
      <w:r>
        <w:rPr/>
      </w:r>
    </w:p>
    <w:p>
      <w:pPr>
        <w:pStyle w:val="Telotextu"/>
        <w:rPr/>
      </w:pPr>
      <w:r>
        <w:rPr/>
        <w:t>Po 31. decembri 202</w:t>
      </w:r>
      <w:r>
        <w:rPr/>
        <w:t>1</w:t>
      </w:r>
      <w:r>
        <w:rPr/>
        <w:t xml:space="preserve"> nenastali udalosti majúce významný vplyv na verné zobrazenie skutočností, ktoré sú predmetom účtovníctva.</w:t>
      </w:r>
    </w:p>
    <w:sectPr>
      <w:headerReference w:type="default" r:id="rId2"/>
      <w:footerReference w:type="default" r:id="rId3"/>
      <w:type w:val="nextPage"/>
      <w:pgSz w:w="11906" w:h="16838"/>
      <w:pgMar w:left="851" w:right="1021" w:header="675" w:top="1979" w:footer="408" w:bottom="1134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11" w:type="dxa"/>
      <w:jc w:val="left"/>
      <w:tblInd w:w="50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8"/>
      <w:gridCol w:w="709"/>
      <w:gridCol w:w="349"/>
      <w:gridCol w:w="346"/>
      <w:gridCol w:w="345"/>
      <w:gridCol w:w="345"/>
      <w:gridCol w:w="346"/>
      <w:gridCol w:w="345"/>
      <w:gridCol w:w="346"/>
      <w:gridCol w:w="345"/>
      <w:gridCol w:w="681"/>
      <w:gridCol w:w="344"/>
      <w:gridCol w:w="344"/>
      <w:gridCol w:w="346"/>
      <w:gridCol w:w="344"/>
      <w:gridCol w:w="346"/>
      <w:gridCol w:w="344"/>
      <w:gridCol w:w="344"/>
      <w:gridCol w:w="346"/>
      <w:gridCol w:w="344"/>
      <w:gridCol w:w="341"/>
    </w:tblGrid>
    <w:tr>
      <w:trPr>
        <w:trHeight w:val="330" w:hRule="atLeast"/>
      </w:trPr>
      <w:tc>
        <w:tcPr>
          <w:tcW w:w="270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8 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3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7 </w:t>
          </w:r>
        </w:p>
      </w:tc>
    </w:tr>
    <w:tr>
      <w:trPr>
        <w:trHeight w:val="330" w:hRule="atLeast"/>
      </w:trPr>
      <w:tc>
        <w:tcPr>
          <w:tcW w:w="270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70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6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  <w:tc>
        <w:tcPr>
          <w:tcW w:w="3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/>
          </w:r>
        </w:p>
      </w:tc>
    </w:tr>
  </w:tbl>
  <w:p>
    <w:pPr>
      <w:pStyle w:val="Hlavika"/>
      <w:tabs>
        <w:tab w:val="center" w:pos="3969" w:leader="none"/>
        <w:tab w:val="center" w:pos="4536" w:leader="none"/>
        <w:tab w:val="right" w:pos="9072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en-US" w:bidi="ar-SA"/>
    </w:rPr>
  </w:style>
  <w:style w:type="paragraph" w:styleId="Nadpis1">
    <w:name w:val="Heading 1"/>
    <w:basedOn w:val="Normal"/>
    <w:link w:val="Nadpis1Char"/>
    <w:qFormat/>
    <w:rsid w:val="00e95128"/>
    <w:pPr>
      <w:keepNext/>
      <w:tabs>
        <w:tab w:val="left" w:pos="450" w:leader="none"/>
      </w:tabs>
      <w:ind w:left="450" w:hanging="0"/>
    </w:pPr>
    <w:rPr>
      <w:b/>
      <w:caps/>
      <w:sz w:val="18"/>
    </w:rPr>
  </w:style>
  <w:style w:type="paragraph" w:styleId="Nadpis2">
    <w:name w:val="Heading 2"/>
    <w:basedOn w:val="Normal"/>
    <w:link w:val="Nadpis2Char"/>
    <w:qFormat/>
    <w:rsid w:val="00e95128"/>
    <w:pPr>
      <w:keepNext/>
      <w:numPr>
        <w:ilvl w:val="0"/>
        <w:numId w:val="1"/>
      </w:numPr>
      <w:outlineLvl w:val="0"/>
      <w:outlineLvl w:val="0"/>
    </w:pPr>
    <w:rPr>
      <w:b/>
      <w:sz w:val="18"/>
    </w:rPr>
  </w:style>
  <w:style w:type="paragraph" w:styleId="Nadpis6">
    <w:name w:val="Heading 6"/>
    <w:basedOn w:val="Normal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al"/>
    <w:link w:val="Nadpis9Char"/>
    <w:uiPriority w:val="9"/>
    <w:semiHidden/>
    <w:unhideWhenUsed/>
    <w:qFormat/>
    <w:rsid w:val="003e0fa2"/>
    <w:pPr>
      <w:keepNext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semiHidden/>
    <w:qFormat/>
    <w:rsid w:val="00e95128"/>
    <w:rPr/>
  </w:style>
  <w:style w:type="character" w:styleId="PtaChar" w:customStyle="1">
    <w:name w:val="Päta Char"/>
    <w:basedOn w:val="DefaultParagraphFont"/>
    <w:link w:val="Pta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link w:val="Nadpis1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link w:val="Nadpis2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link w:val="Nadpis6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link w:val="Zkladntex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Footnotereference">
    <w:name w:val="footnote reference"/>
    <w:basedOn w:val="DefaultParagraphFont"/>
    <w:semiHidden/>
    <w:qFormat/>
    <w:rsid w:val="00e95128"/>
    <w:rPr>
      <w:rFonts w:cs="Times New Roman"/>
      <w:sz w:val="16"/>
      <w:szCs w:val="16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link w:val="Nadpis9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link w:val="Nzov"/>
    <w:uiPriority w:val="99"/>
    <w:qFormat/>
    <w:rsid w:val="00c6200c"/>
    <w:rPr>
      <w:rFonts w:ascii="Arial Narrow" w:hAnsi="Arial Narrow" w:eastAsia="Times New Roman" w:cs="Times New Roman"/>
      <w:b/>
      <w:bCs/>
      <w:szCs w:val="32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  <w:b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color w:val="00000A"/>
      <w:sz w:val="22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eastAsia="Times New Roman" w:cs="Times New Roman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eastAsia="Times New Roman" w:cs="Times New Roman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sz w:val="20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  <w:b w:val="false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lavikaChar"/>
    <w:unhideWhenUsed/>
    <w:rsid w:val="00e9512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tabs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link w:val="NzovChar"/>
    <w:uiPriority w:val="99"/>
    <w:qFormat/>
    <w:rsid w:val="00c6200c"/>
    <w:pPr>
      <w:keepNext/>
      <w:spacing w:beforeAutospacing="1" w:after="220"/>
      <w:jc w:val="center"/>
      <w:outlineLvl w:val="0"/>
    </w:pPr>
    <w:rPr>
      <w:rFonts w:ascii="Arial Narrow" w:hAnsi="Arial Narrow"/>
      <w:b/>
      <w:bCs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BB82E-4AF6-40A4-94C0-C2A1792A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LibreOffice/5.1.3.2$Windows_x86 LibreOffice_project/644e4637d1d8544fd9f56425bd6cec110e49301b</Application>
  <Pages>3</Pages>
  <Words>1406</Words>
  <Characters>8228</Characters>
  <CharactersWithSpaces>9874</CharactersWithSpaces>
  <Paragraphs>132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2020-02-27T08:44:00Z</dcterms:created>
  <dc:creator>lstankovits</dc:creator>
  <dc:description/>
  <dc:language>sk-SK</dc:language>
  <cp:lastModifiedBy/>
  <cp:lastPrinted>2021-03-23T08:00:19Z</cp:lastPrinted>
  <dcterms:modified xsi:type="dcterms:W3CDTF">2022-03-01T08:22:45Z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KPMG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