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D407F" w:rsidRDefault="00ED407F">
      <w:pPr>
        <w:spacing w:before="2" w:line="140" w:lineRule="exact"/>
        <w:rPr>
          <w:sz w:val="14"/>
          <w:szCs w:val="14"/>
          <w:lang w:val="en-US"/>
        </w:rPr>
      </w:pPr>
      <w:bookmarkStart w:id="0" w:name="_GoBack"/>
      <w:bookmarkEnd w:id="0"/>
    </w:p>
    <w:p w:rsidR="00ED407F" w:rsidRDefault="00ED407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mikro účtovnej závierke za rok 20</w:t>
      </w:r>
      <w:r w:rsidR="00534F09">
        <w:rPr>
          <w:rFonts w:ascii="Arial Narrow" w:hAnsi="Arial Narrow" w:cs="Arial Narrow"/>
          <w:b/>
        </w:rPr>
        <w:t>21</w:t>
      </w:r>
    </w:p>
    <w:p w:rsidR="00ED407F" w:rsidRDefault="00ED407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>
        <w:rPr>
          <w:rFonts w:ascii="Arial Narrow" w:hAnsi="Arial Narrow" w:cs="Arial Narrow"/>
          <w:b/>
        </w:rPr>
        <w:t>mikro účtovné jednotky</w:t>
      </w:r>
      <w:r>
        <w:rPr>
          <w:rFonts w:ascii="Arial Narrow" w:hAnsi="Arial Narrow" w:cs="Arial Narrow"/>
        </w:rPr>
        <w:t xml:space="preserve"> v znení neskorších predpisov</w:t>
      </w:r>
    </w:p>
    <w:p w:rsidR="00ED407F" w:rsidRDefault="00ED407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</w:pPr>
      <w:r>
        <w:rPr>
          <w:rFonts w:ascii="Arial Narrow" w:hAnsi="Arial Narrow" w:cs="Arial Narrow"/>
        </w:rPr>
        <w:t>(ostatná novela č.MF/18008/2014-74 – FS č.10/2014)</w:t>
      </w:r>
    </w:p>
    <w:p w:rsidR="00ED407F" w:rsidRDefault="00ED407F">
      <w:pPr>
        <w:spacing w:before="7" w:line="240" w:lineRule="exact"/>
        <w:jc w:val="both"/>
        <w:rPr>
          <w:rFonts w:ascii="Arial" w:hAnsi="Arial" w:cs="Arial"/>
        </w:rPr>
      </w:pPr>
    </w:p>
    <w:p w:rsidR="00ED407F" w:rsidRDefault="00ED407F">
      <w:pPr>
        <w:pStyle w:val="Nadpis1"/>
        <w:spacing w:before="69"/>
        <w:ind w:right="836"/>
        <w:jc w:val="center"/>
      </w:pPr>
      <w:r>
        <w:rPr>
          <w:rFonts w:ascii="Arial" w:hAnsi="Arial" w:cs="Arial"/>
          <w:sz w:val="22"/>
          <w:szCs w:val="22"/>
        </w:rPr>
        <w:t>Článok I</w:t>
      </w:r>
    </w:p>
    <w:p w:rsidR="00ED407F" w:rsidRDefault="00ED407F">
      <w:pPr>
        <w:ind w:right="841"/>
        <w:jc w:val="center"/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ED407F" w:rsidRDefault="00ED407F">
      <w:pPr>
        <w:spacing w:before="7" w:line="240" w:lineRule="exact"/>
        <w:jc w:val="both"/>
        <w:rPr>
          <w:rFonts w:ascii="Arial" w:eastAsia="Times New Roman" w:hAnsi="Arial" w:cs="Arial"/>
        </w:rPr>
      </w:pPr>
    </w:p>
    <w:p w:rsidR="00ED407F" w:rsidRDefault="00ED407F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ED407F" w:rsidRDefault="00ED407F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3085"/>
        <w:gridCol w:w="6612"/>
      </w:tblGrid>
      <w:tr w:rsidR="00ED407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LC Medical, s.r.o.</w:t>
            </w:r>
          </w:p>
        </w:tc>
      </w:tr>
      <w:tr w:rsidR="00ED407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36832383</w:t>
            </w:r>
          </w:p>
        </w:tc>
      </w:tr>
      <w:tr w:rsidR="00ED407F"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Ulica Ľ. Štúra 1170/16, 984 01 Lučenec</w:t>
            </w:r>
          </w:p>
        </w:tc>
      </w:tr>
    </w:tbl>
    <w:p w:rsidR="00ED407F" w:rsidRDefault="00ED407F">
      <w:pPr>
        <w:spacing w:line="260" w:lineRule="exact"/>
        <w:jc w:val="both"/>
        <w:rPr>
          <w:rFonts w:ascii="Arial" w:hAnsi="Arial" w:cs="Arial"/>
        </w:rPr>
      </w:pPr>
    </w:p>
    <w:p w:rsidR="00ED407F" w:rsidRDefault="00ED407F">
      <w:pPr>
        <w:spacing w:line="260" w:lineRule="exact"/>
        <w:jc w:val="both"/>
        <w:rPr>
          <w:rFonts w:ascii="Arial" w:hAnsi="Arial" w:cs="Arial"/>
        </w:rPr>
      </w:pPr>
    </w:p>
    <w:p w:rsidR="00ED407F" w:rsidRDefault="00ED407F">
      <w:pPr>
        <w:pStyle w:val="Zkladntext"/>
        <w:tabs>
          <w:tab w:val="left" w:pos="808"/>
        </w:tabs>
        <w:ind w:left="0" w:firstLine="0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- </w:t>
      </w:r>
      <w:r>
        <w:rPr>
          <w:rFonts w:ascii="Arial" w:hAnsi="Arial" w:cs="Arial"/>
          <w:sz w:val="22"/>
          <w:szCs w:val="22"/>
        </w:rPr>
        <w:t>ob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hodné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síd</w:t>
      </w:r>
      <w:r>
        <w:rPr>
          <w:rFonts w:ascii="Arial" w:hAnsi="Arial" w:cs="Arial"/>
          <w:spacing w:val="3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konsolidujú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ED407F" w:rsidRDefault="00ED407F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ED407F" w:rsidRDefault="00ED407F">
      <w:pPr>
        <w:pStyle w:val="Zkladntext"/>
        <w:tabs>
          <w:tab w:val="left" w:pos="808"/>
        </w:tabs>
        <w:ind w:left="0" w:firstLine="0"/>
        <w:rPr>
          <w:rFonts w:ascii="Arial" w:hAnsi="Arial" w:cs="Arial"/>
          <w:b/>
          <w:spacing w:val="-5"/>
          <w:sz w:val="22"/>
          <w:szCs w:val="22"/>
        </w:rPr>
      </w:pPr>
    </w:p>
    <w:p w:rsidR="00ED407F" w:rsidRDefault="00ED407F">
      <w:pPr>
        <w:spacing w:line="260" w:lineRule="exact"/>
        <w:jc w:val="both"/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ED407F" w:rsidRDefault="00ED407F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219"/>
        <w:gridCol w:w="2126"/>
        <w:gridCol w:w="3352"/>
      </w:tblGrid>
      <w:tr w:rsidR="00ED407F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ED407F" w:rsidRDefault="00ED407F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ED407F">
        <w:tc>
          <w:tcPr>
            <w:tcW w:w="4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spacing w:line="260" w:lineRule="exact"/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</w:t>
            </w:r>
            <w:r>
              <w:rPr>
                <w:rFonts w:ascii="Arial" w:hAnsi="Arial" w:cs="Arial"/>
              </w:rPr>
              <w:t>0</w:t>
            </w:r>
          </w:p>
        </w:tc>
        <w:tc>
          <w:tcPr>
            <w:tcW w:w="3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spacing w:line="260" w:lineRule="exact"/>
              <w:jc w:val="both"/>
            </w:pPr>
            <w:r>
              <w:rPr>
                <w:rFonts w:ascii="Arial" w:eastAsia="Arial" w:hAnsi="Arial" w:cs="Arial"/>
              </w:rPr>
              <w:t xml:space="preserve">                     </w:t>
            </w:r>
            <w:r>
              <w:rPr>
                <w:rFonts w:ascii="Arial" w:hAnsi="Arial" w:cs="Arial"/>
              </w:rPr>
              <w:t>0</w:t>
            </w:r>
          </w:p>
        </w:tc>
      </w:tr>
    </w:tbl>
    <w:p w:rsidR="00ED407F" w:rsidRDefault="00ED407F">
      <w:pPr>
        <w:spacing w:line="260" w:lineRule="exact"/>
        <w:jc w:val="both"/>
        <w:rPr>
          <w:rFonts w:ascii="Arial" w:hAnsi="Arial" w:cs="Arial"/>
        </w:rPr>
      </w:pPr>
    </w:p>
    <w:p w:rsidR="00ED407F" w:rsidRDefault="00ED407F">
      <w:pPr>
        <w:spacing w:before="1" w:line="280" w:lineRule="exact"/>
        <w:jc w:val="both"/>
        <w:rPr>
          <w:rFonts w:ascii="Arial" w:hAnsi="Arial" w:cs="Arial"/>
        </w:rPr>
      </w:pPr>
    </w:p>
    <w:p w:rsidR="00ED407F" w:rsidRDefault="00ED407F">
      <w:pPr>
        <w:pStyle w:val="Nadpis1"/>
        <w:ind w:right="839"/>
        <w:jc w:val="center"/>
      </w:pPr>
      <w:r>
        <w:rPr>
          <w:rFonts w:ascii="Arial" w:hAnsi="Arial" w:cs="Arial"/>
          <w:sz w:val="22"/>
          <w:szCs w:val="22"/>
        </w:rPr>
        <w:t>Článok II</w:t>
      </w:r>
    </w:p>
    <w:p w:rsidR="00ED407F" w:rsidRDefault="00ED407F">
      <w:pPr>
        <w:ind w:right="836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ED407F" w:rsidRDefault="00ED407F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innosti: </w:t>
      </w: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</w:t>
      </w: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                               </w:t>
      </w:r>
      <w:r>
        <w:rPr>
          <w:rFonts w:ascii="Arial" w:hAnsi="Arial" w:cs="Arial"/>
          <w:b/>
          <w:sz w:val="22"/>
          <w:szCs w:val="22"/>
        </w:rPr>
        <w:t>účtovná jednotka nepredpokladá ukončenie činnosti.</w:t>
      </w: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to:</w:t>
      </w: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5" w:type="dxa"/>
        <w:tblLayout w:type="fixed"/>
        <w:tblLook w:val="0000" w:firstRow="0" w:lastRow="0" w:firstColumn="0" w:lastColumn="0" w:noHBand="0" w:noVBand="0"/>
      </w:tblPr>
      <w:tblGrid>
        <w:gridCol w:w="4843"/>
        <w:gridCol w:w="4854"/>
      </w:tblGrid>
      <w:tr w:rsidR="00ED407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ED407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ED407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hmotný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ED407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Dlhodobý fin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ED407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Zásoby obst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kúpo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 vrátane dopravného</w:t>
            </w:r>
          </w:p>
        </w:tc>
      </w:tr>
      <w:tr w:rsidR="00ED407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 xml:space="preserve">soby </w:t>
            </w:r>
            <w:r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>
              <w:rPr>
                <w:rFonts w:ascii="Arial" w:hAnsi="Arial" w:cs="Arial"/>
                <w:sz w:val="22"/>
                <w:szCs w:val="22"/>
              </w:rPr>
              <w:t>tvor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ED407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Vlastné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ED407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Kúpené pohľ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ED407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>
              <w:rPr>
                <w:rFonts w:ascii="Arial" w:hAnsi="Arial" w:cs="Arial"/>
                <w:sz w:val="22"/>
                <w:szCs w:val="22"/>
              </w:rPr>
              <w:t>ina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>
              <w:rPr>
                <w:rFonts w:ascii="Arial" w:hAnsi="Arial" w:cs="Arial"/>
                <w:sz w:val="22"/>
                <w:szCs w:val="22"/>
              </w:rPr>
              <w:t>ný maj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ED407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>
              <w:rPr>
                <w:rFonts w:ascii="Arial" w:hAnsi="Arial" w:cs="Arial"/>
                <w:sz w:val="22"/>
                <w:szCs w:val="22"/>
              </w:rPr>
              <w:t>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z w:val="22"/>
                <w:szCs w:val="22"/>
              </w:rPr>
              <w:t>ky 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z w:val="22"/>
                <w:szCs w:val="22"/>
              </w:rPr>
              <w:t>tane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ED407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  <w:tr w:rsidR="00ED407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Pô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>
              <w:rPr>
                <w:rFonts w:ascii="Arial" w:hAnsi="Arial" w:cs="Arial"/>
                <w:sz w:val="22"/>
                <w:szCs w:val="22"/>
              </w:rPr>
              <w:t>ičky a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>
              <w:rPr>
                <w:rFonts w:ascii="Arial" w:hAnsi="Arial" w:cs="Arial"/>
                <w:sz w:val="22"/>
                <w:szCs w:val="22"/>
              </w:rPr>
              <w:t>úv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 xml:space="preserve">Menovitá hodnota </w:t>
            </w:r>
          </w:p>
        </w:tc>
      </w:tr>
      <w:tr w:rsidR="00ED407F">
        <w:tc>
          <w:tcPr>
            <w:tcW w:w="4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D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riv</w:t>
            </w:r>
            <w:r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>
              <w:rPr>
                <w:rFonts w:ascii="Arial" w:hAnsi="Arial" w:cs="Arial"/>
                <w:sz w:val="22"/>
                <w:szCs w:val="22"/>
              </w:rPr>
              <w:t>to</w:t>
            </w:r>
            <w:r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>
              <w:rPr>
                <w:rFonts w:ascii="Arial" w:hAnsi="Arial" w:cs="Arial"/>
                <w:sz w:val="22"/>
                <w:szCs w:val="22"/>
              </w:rPr>
              <w:t>op</w:t>
            </w:r>
            <w:r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>
              <w:rPr>
                <w:rFonts w:ascii="Arial" w:hAnsi="Arial" w:cs="Arial"/>
                <w:sz w:val="22"/>
                <w:szCs w:val="22"/>
              </w:rPr>
              <w:t>rá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407F" w:rsidRDefault="00ED407F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" w:hAnsi="Arial" w:cs="Arial"/>
                <w:sz w:val="22"/>
                <w:szCs w:val="22"/>
              </w:rPr>
              <w:t>„Bez náplne“</w:t>
            </w:r>
          </w:p>
        </w:tc>
      </w:tr>
    </w:tbl>
    <w:p w:rsidR="00ED407F" w:rsidRDefault="00ED407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 xml:space="preserve">ní odpisov: </w:t>
      </w: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 xml:space="preserve">účtovné odpisy DHM – budova, spôsob odpisovania – časové, zaradené v účtovnej   </w:t>
      </w: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hAnsi="Arial" w:cs="Arial"/>
          <w:b/>
          <w:sz w:val="22"/>
          <w:szCs w:val="22"/>
        </w:rPr>
        <w:t xml:space="preserve">skupine č. 5 </w:t>
      </w: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-  daňové odpisy DHM – budova, spôsob odpisovania - </w:t>
      </w:r>
      <w:r w:rsidR="00534F09">
        <w:rPr>
          <w:rFonts w:ascii="Arial" w:hAnsi="Arial" w:cs="Arial"/>
          <w:b/>
          <w:sz w:val="22"/>
          <w:szCs w:val="22"/>
        </w:rPr>
        <w:t>rovnomerné</w:t>
      </w: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 </w:t>
      </w:r>
      <w:r>
        <w:rPr>
          <w:rFonts w:ascii="Arial" w:hAnsi="Arial" w:cs="Arial"/>
          <w:b/>
          <w:sz w:val="22"/>
          <w:szCs w:val="22"/>
        </w:rPr>
        <w:t xml:space="preserve">-  iný DHM organizácia nemá </w:t>
      </w: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pacing w:val="-5"/>
          <w:sz w:val="22"/>
          <w:szCs w:val="22"/>
        </w:rPr>
        <w:t xml:space="preserve">-  </w:t>
      </w:r>
      <w:r>
        <w:rPr>
          <w:rFonts w:ascii="Arial" w:hAnsi="Arial" w:cs="Arial"/>
          <w:b/>
          <w:sz w:val="22"/>
          <w:szCs w:val="22"/>
        </w:rPr>
        <w:t>„Bez náplne“</w:t>
      </w: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dotá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</w:t>
      </w:r>
      <w:r>
        <w:rPr>
          <w:rFonts w:ascii="Arial" w:hAnsi="Arial" w:cs="Arial"/>
          <w:spacing w:val="1"/>
          <w:sz w:val="22"/>
          <w:szCs w:val="22"/>
          <w:u w:val="single"/>
        </w:rPr>
        <w:t>á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ich o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ňov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íctv</w:t>
      </w:r>
      <w:r>
        <w:rPr>
          <w:rFonts w:ascii="Arial" w:hAnsi="Arial" w:cs="Arial"/>
          <w:spacing w:val="-1"/>
          <w:sz w:val="22"/>
          <w:szCs w:val="22"/>
        </w:rPr>
        <w:t>e:</w:t>
      </w: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- „Bez náplne“</w:t>
      </w: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4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</w:t>
      </w:r>
    </w:p>
    <w:p w:rsidR="00ED407F" w:rsidRDefault="00ED407F">
      <w:pPr>
        <w:spacing w:before="1" w:line="280" w:lineRule="exact"/>
        <w:jc w:val="both"/>
        <w:rPr>
          <w:rFonts w:ascii="Arial" w:hAnsi="Arial" w:cs="Arial"/>
        </w:rPr>
      </w:pP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ED407F" w:rsidRDefault="00ED407F">
      <w:pPr>
        <w:pStyle w:val="Nadpis1"/>
        <w:ind w:right="157"/>
        <w:jc w:val="center"/>
      </w:pPr>
      <w:r>
        <w:rPr>
          <w:rFonts w:ascii="Arial" w:hAnsi="Arial" w:cs="Arial"/>
          <w:sz w:val="22"/>
          <w:szCs w:val="22"/>
        </w:rPr>
        <w:t>Článok III</w:t>
      </w:r>
    </w:p>
    <w:p w:rsidR="00ED407F" w:rsidRDefault="00ED407F">
      <w:pPr>
        <w:ind w:right="157"/>
        <w:jc w:val="center"/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ED407F" w:rsidRDefault="00ED407F">
      <w:pPr>
        <w:spacing w:before="11" w:line="260" w:lineRule="exact"/>
        <w:jc w:val="both"/>
        <w:rPr>
          <w:rFonts w:ascii="Arial" w:eastAsia="Times New Roman" w:hAnsi="Arial" w:cs="Arial"/>
        </w:rPr>
      </w:pP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</w:t>
      </w: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4"/>
          <w:sz w:val="22"/>
          <w:szCs w:val="22"/>
        </w:rPr>
      </w:pP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</w:t>
      </w: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  </w:t>
      </w: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1"/>
          <w:sz w:val="22"/>
          <w:szCs w:val="22"/>
        </w:rPr>
      </w:pP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</w:t>
      </w: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 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</w:t>
      </w:r>
      <w:r>
        <w:rPr>
          <w:rFonts w:ascii="Arial" w:hAnsi="Arial" w:cs="Arial"/>
          <w:spacing w:val="-1"/>
          <w:sz w:val="22"/>
          <w:szCs w:val="22"/>
        </w:rPr>
        <w:t>čet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</w:t>
      </w: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 to:</w:t>
      </w: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eastAsia="Arial" w:hAnsi="Arial" w:cs="Arial"/>
          <w:sz w:val="22"/>
          <w:szCs w:val="22"/>
        </w:rPr>
        <w:t xml:space="preserve">  </w:t>
      </w: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 xml:space="preserve">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obdobia 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</w:t>
      </w: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</w:t>
      </w: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tovať:</w:t>
      </w: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a 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</w:t>
      </w:r>
      <w:r>
        <w:rPr>
          <w:rFonts w:ascii="Arial" w:hAnsi="Arial" w:cs="Arial"/>
          <w:spacing w:val="-2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</w:t>
      </w: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ED407F" w:rsidRDefault="00ED407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pacing w:val="-8"/>
          <w:sz w:val="22"/>
          <w:szCs w:val="22"/>
        </w:rPr>
      </w:pP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</w:t>
      </w: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ED407F" w:rsidRDefault="00ED407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1"/>
          <w:sz w:val="22"/>
          <w:szCs w:val="22"/>
          <w:u w:val="single"/>
        </w:rPr>
        <w:t>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 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</w:t>
      </w: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ED407F" w:rsidRDefault="00ED407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lastRenderedPageBreak/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> 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</w:t>
      </w: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ED407F" w:rsidRDefault="00ED407F">
      <w:pPr>
        <w:pStyle w:val="Zkladntext"/>
        <w:tabs>
          <w:tab w:val="left" w:pos="668"/>
        </w:tabs>
        <w:ind w:left="0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sz w:val="22"/>
          <w:szCs w:val="22"/>
        </w:rPr>
      </w:pPr>
    </w:p>
    <w:p w:rsidR="00ED407F" w:rsidRDefault="00ED407F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b/>
          <w:sz w:val="22"/>
          <w:szCs w:val="22"/>
        </w:rPr>
        <w:t>- „Bez náplne“</w:t>
      </w: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ED407F" w:rsidRDefault="00ED407F">
      <w:pPr>
        <w:pStyle w:val="Zkladntext"/>
        <w:tabs>
          <w:tab w:val="left" w:pos="668"/>
        </w:tabs>
        <w:ind w:left="101" w:right="116" w:firstLine="0"/>
        <w:jc w:val="both"/>
      </w:pPr>
    </w:p>
    <w:sectPr w:rsidR="00ED407F">
      <w:headerReference w:type="default" r:id="rId8"/>
      <w:footerReference w:type="default" r:id="rId9"/>
      <w:headerReference w:type="first" r:id="rId10"/>
      <w:footerReference w:type="first" r:id="rId11"/>
      <w:pgSz w:w="11906" w:h="16860"/>
      <w:pgMar w:top="1340" w:right="1300" w:bottom="800" w:left="1060" w:header="0" w:footer="6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254C" w:rsidRDefault="00C8254C">
      <w:r>
        <w:separator/>
      </w:r>
    </w:p>
  </w:endnote>
  <w:endnote w:type="continuationSeparator" w:id="0">
    <w:p w:rsidR="00C8254C" w:rsidRDefault="00C82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07F" w:rsidRDefault="003714D0">
    <w:pPr>
      <w:spacing w:line="200" w:lineRule="exact"/>
      <w:rPr>
        <w:sz w:val="20"/>
        <w:szCs w:val="20"/>
        <w:lang w:val="en-US"/>
      </w:rPr>
    </w:pPr>
    <w:r>
      <w:rPr>
        <w:noProof/>
        <w:lang w:eastAsia="sk-SK"/>
      </w:rPr>
      <mc:AlternateContent>
        <mc:Choice Requires="wps">
          <w:drawing>
            <wp:anchor distT="0" distB="0" distL="114935" distR="114935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0385" cy="177165"/>
              <wp:effectExtent l="1905" t="6985" r="635" b="635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0385" cy="17716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407F" w:rsidRDefault="00ED407F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3714D0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55pt;height:13.95pt;z-index:-251658752;visibility:visible;mso-wrap-style:square;mso-width-percent:0;mso-height-percent:0;mso-wrap-distance-left:9.05pt;mso-wrap-distance-top:0;mso-wrap-distance-right:9.0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" stroked="f">
              <v:fill opacity="0"/>
              <v:textbox inset=".05pt,.05pt,.05pt,.05pt">
                <w:txbxContent>
                  <w:p w:rsidR="00ED407F" w:rsidRDefault="00ED407F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3714D0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07F" w:rsidRDefault="00ED407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254C" w:rsidRDefault="00C8254C">
      <w:r>
        <w:separator/>
      </w:r>
    </w:p>
  </w:footnote>
  <w:footnote w:type="continuationSeparator" w:id="0">
    <w:p w:rsidR="00C8254C" w:rsidRDefault="00C825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07F" w:rsidRDefault="00ED407F">
    <w:pPr>
      <w:pStyle w:val="Zhlav"/>
    </w:pPr>
  </w:p>
  <w:p w:rsidR="00ED407F" w:rsidRDefault="00ED407F">
    <w:pPr>
      <w:pStyle w:val="Zhlav"/>
    </w:pPr>
  </w:p>
  <w:p w:rsidR="00ED407F" w:rsidRDefault="00ED407F">
    <w:pPr>
      <w:pStyle w:val="Zhlav"/>
    </w:pPr>
  </w:p>
  <w:p w:rsidR="00ED407F" w:rsidRDefault="00ED407F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bdr w:val="single" w:sz="4" w:space="0" w:color="000000"/>
      </w:rPr>
      <w:t>Po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z</w:t>
    </w:r>
    <w:r>
      <w:rPr>
        <w:rFonts w:ascii="Arial" w:hAnsi="Arial" w:cs="Arial"/>
        <w:sz w:val="22"/>
        <w:szCs w:val="22"/>
        <w:bdr w:val="single" w:sz="4" w:space="0" w:color="000000"/>
      </w:rPr>
      <w:t>n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>á</w:t>
    </w:r>
    <w:r>
      <w:rPr>
        <w:rFonts w:ascii="Arial" w:hAnsi="Arial" w:cs="Arial"/>
        <w:sz w:val="22"/>
        <w:szCs w:val="22"/>
        <w:bdr w:val="single" w:sz="4" w:space="0" w:color="000000"/>
      </w:rPr>
      <w:t>m</w:t>
    </w:r>
    <w:r>
      <w:rPr>
        <w:rFonts w:ascii="Arial" w:hAnsi="Arial" w:cs="Arial"/>
        <w:spacing w:val="2"/>
        <w:sz w:val="22"/>
        <w:szCs w:val="22"/>
        <w:bdr w:val="single" w:sz="4" w:space="0" w:color="000000"/>
      </w:rPr>
      <w:t>k</w:t>
    </w:r>
    <w:r>
      <w:rPr>
        <w:rFonts w:ascii="Arial" w:hAnsi="Arial" w:cs="Arial"/>
        <w:sz w:val="22"/>
        <w:szCs w:val="22"/>
        <w:bdr w:val="single" w:sz="4" w:space="0" w:color="000000"/>
      </w:rPr>
      <w:t>y</w:t>
    </w:r>
    <w:r>
      <w:rPr>
        <w:rFonts w:ascii="Arial" w:hAnsi="Arial" w:cs="Arial"/>
        <w:spacing w:val="-8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Ú</w:t>
    </w:r>
    <w:r>
      <w:rPr>
        <w:rFonts w:ascii="Arial" w:hAnsi="Arial" w:cs="Arial"/>
        <w:sz w:val="22"/>
        <w:szCs w:val="22"/>
        <w:bdr w:val="single" w:sz="4" w:space="0" w:color="000000"/>
      </w:rPr>
      <w:t>č MÚJ 3 –</w:t>
    </w:r>
    <w:r>
      <w:rPr>
        <w:rFonts w:ascii="Arial" w:hAnsi="Arial" w:cs="Arial"/>
        <w:spacing w:val="-1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ČO: 36832383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000000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000000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000000"/>
      </w:rPr>
      <w:t>I</w:t>
    </w:r>
    <w:r>
      <w:rPr>
        <w:rFonts w:ascii="Arial" w:hAnsi="Arial" w:cs="Arial"/>
        <w:sz w:val="22"/>
        <w:szCs w:val="22"/>
        <w:bdr w:val="single" w:sz="4" w:space="0" w:color="000000"/>
      </w:rPr>
      <w:t>Č: 2022442169</w:t>
    </w:r>
  </w:p>
  <w:p w:rsidR="00ED407F" w:rsidRDefault="00ED407F">
    <w:pPr>
      <w:pStyle w:val="Zhlav"/>
      <w:rPr>
        <w:rFonts w:ascii="Times New Roman" w:hAnsi="Times New Roman"/>
        <w:sz w:val="24"/>
        <w:szCs w:val="24"/>
      </w:rPr>
    </w:pPr>
  </w:p>
  <w:p w:rsidR="00ED407F" w:rsidRDefault="00ED407F">
    <w:pPr>
      <w:pStyle w:val="Zhlav"/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07F" w:rsidRDefault="00ED407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F09"/>
    <w:rsid w:val="003714D0"/>
    <w:rsid w:val="00534F09"/>
    <w:rsid w:val="00C8254C"/>
    <w:rsid w:val="00ED4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ascii="Calibri" w:eastAsia="Calibri" w:hAnsi="Calibri"/>
      <w:sz w:val="22"/>
      <w:szCs w:val="22"/>
      <w:lang w:eastAsia="zh-CN"/>
    </w:rPr>
  </w:style>
  <w:style w:type="paragraph" w:styleId="Nadpis1">
    <w:name w:val="heading 1"/>
    <w:basedOn w:val="Normln"/>
    <w:next w:val="Zkladntext"/>
    <w:qFormat/>
    <w:pPr>
      <w:numPr>
        <w:numId w:val="1"/>
      </w:num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1z1">
    <w:name w:val="WW8Num1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1z3">
    <w:name w:val="WW8Num1z3"/>
    <w:rPr>
      <w:rFonts w:hint="default"/>
    </w:rPr>
  </w:style>
  <w:style w:type="character" w:customStyle="1" w:styleId="WW8Num2z0">
    <w:name w:val="WW8Num2z0"/>
    <w:rPr>
      <w:rFonts w:ascii="Arial" w:eastAsia="Times New Roman" w:hAnsi="Arial" w:cs="Aria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ascii="Arial" w:eastAsia="Times New Roman" w:hAnsi="Arial" w:cs="Aria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Arial" w:eastAsia="Times New Roman" w:hAnsi="Arial" w:cs="Arial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6z1">
    <w:name w:val="WW8Num6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6z3">
    <w:name w:val="WW8Num6z3"/>
    <w:rPr>
      <w:rFonts w:hint="default"/>
    </w:rPr>
  </w:style>
  <w:style w:type="character" w:customStyle="1" w:styleId="WW8Num7z0">
    <w:name w:val="WW8Num7z0"/>
    <w:rPr>
      <w:rFonts w:ascii="Times New Roman" w:eastAsia="Times New Roman" w:hAnsi="Times New Roman" w:cs="Times New Roman" w:hint="default"/>
      <w:sz w:val="24"/>
      <w:szCs w:val="24"/>
    </w:rPr>
  </w:style>
  <w:style w:type="character" w:customStyle="1" w:styleId="WW8Num7z1">
    <w:name w:val="WW8Num7z1"/>
    <w:rPr>
      <w:rFonts w:ascii="Times New Roman" w:eastAsia="Times New Roman" w:hAnsi="Times New Roman" w:cs="Times New Roman" w:hint="default"/>
      <w:spacing w:val="-1"/>
      <w:sz w:val="24"/>
      <w:szCs w:val="24"/>
    </w:rPr>
  </w:style>
  <w:style w:type="character" w:customStyle="1" w:styleId="WW8Num7z2">
    <w:name w:val="WW8Num7z2"/>
    <w:rPr>
      <w:rFonts w:hint="default"/>
    </w:rPr>
  </w:style>
  <w:style w:type="character" w:customStyle="1" w:styleId="Predvolenpsmoodseku">
    <w:name w:val="Predvolené písmo odseku"/>
  </w:style>
  <w:style w:type="character" w:customStyle="1" w:styleId="HlavikaChar">
    <w:name w:val="Hlavička Char"/>
    <w:basedOn w:val="Predvolenpsmoodseku"/>
  </w:style>
  <w:style w:type="character" w:customStyle="1" w:styleId="PtaChar">
    <w:name w:val="Päta Char"/>
    <w:basedOn w:val="Predvolenpsmoodseku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Seznam">
    <w:name w:val="List"/>
    <w:basedOn w:val="Zkladntext"/>
    <w:rPr>
      <w:rFonts w:cs="Mangal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Mangal"/>
    </w:rPr>
  </w:style>
  <w:style w:type="paragraph" w:customStyle="1" w:styleId="Odsekzoznamu">
    <w:name w:val="Odsek zoznamu"/>
    <w:basedOn w:val="Normln"/>
  </w:style>
  <w:style w:type="paragraph" w:customStyle="1" w:styleId="TableParagraph">
    <w:name w:val="Table Paragraph"/>
    <w:basedOn w:val="Normln"/>
  </w:style>
  <w:style w:type="paragraph" w:customStyle="1" w:styleId="Hlavikaapta">
    <w:name w:val="Hlavička a päta"/>
    <w:basedOn w:val="Normln"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</w:style>
  <w:style w:type="paragraph" w:styleId="Zpat">
    <w:name w:val="footer"/>
    <w:basedOn w:val="Normln"/>
  </w:style>
  <w:style w:type="paragraph" w:customStyle="1" w:styleId="Obsahtabuky">
    <w:name w:val="Obsah tabuľky"/>
    <w:basedOn w:val="Normln"/>
    <w:pPr>
      <w:suppressLineNumbers/>
    </w:pPr>
  </w:style>
  <w:style w:type="paragraph" w:customStyle="1" w:styleId="Zhlavietabuky">
    <w:name w:val="Záhlavie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Normln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1074</Words>
  <Characters>6128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/>
  <LinksUpToDate>false</LinksUpToDate>
  <CharactersWithSpaces>7188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EKOS</cp:lastModifiedBy>
  <cp:revision>2</cp:revision>
  <cp:lastPrinted>1995-11-21T16:41:00Z</cp:lastPrinted>
  <dcterms:created xsi:type="dcterms:W3CDTF">2022-03-08T15:52:00Z</dcterms:created>
  <dcterms:modified xsi:type="dcterms:W3CDTF">2022-03-08T15:52:00Z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