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B23" w:rsidRDefault="00BA2B23" w:rsidP="00BA2B23">
      <w:pPr>
        <w:pStyle w:val="Bezriadkovania"/>
        <w:pBdr>
          <w:bottom w:val="single" w:sz="6" w:space="1" w:color="auto"/>
        </w:pBdr>
      </w:pPr>
      <w:r>
        <w:t>POZNÁMKY  Úč  MÚJ 3-01                       IČO: 36009377                            DIČ: 2020431292</w:t>
      </w:r>
    </w:p>
    <w:p w:rsidR="00BA2B23" w:rsidRDefault="00BA2B23" w:rsidP="00BA2B23">
      <w:pPr>
        <w:pStyle w:val="Bezriadkovania"/>
      </w:pPr>
      <w:r>
        <w:t>K 31.12.2021</w:t>
      </w:r>
    </w:p>
    <w:p w:rsidR="00BA2B23" w:rsidRDefault="00BA2B23" w:rsidP="00BA2B23">
      <w:pPr>
        <w:pStyle w:val="Bezriadkovania"/>
      </w:pPr>
    </w:p>
    <w:p w:rsidR="00BA2B23" w:rsidRDefault="00BA2B23" w:rsidP="00BA2B23">
      <w:pPr>
        <w:pStyle w:val="Bezriadkovania"/>
      </w:pPr>
    </w:p>
    <w:p w:rsidR="00BA2B23" w:rsidRDefault="00BA2B23" w:rsidP="00BA2B23">
      <w:pPr>
        <w:pStyle w:val="Bezriadkovania"/>
        <w:rPr>
          <w:sz w:val="24"/>
          <w:szCs w:val="24"/>
        </w:rPr>
      </w:pPr>
      <w:r>
        <w:t xml:space="preserve">                                                                            Čl.  I</w:t>
      </w: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Všeobecné údaje</w:t>
      </w:r>
    </w:p>
    <w:p w:rsidR="00BA2B23" w:rsidRDefault="00BA2B23" w:rsidP="00BA2B23">
      <w:pPr>
        <w:pStyle w:val="Bezriadkovania"/>
        <w:rPr>
          <w:sz w:val="24"/>
          <w:szCs w:val="24"/>
        </w:rPr>
      </w:pP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Právnická osoba</w:t>
      </w: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KTJ ENGINEERING s.r.o.</w:t>
      </w: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Pražská ulica 778/19</w:t>
      </w: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034 84 Liptovské Sliače</w:t>
      </w:r>
    </w:p>
    <w:p w:rsidR="00BA2B23" w:rsidRDefault="00BA2B23" w:rsidP="00BA2B23">
      <w:pPr>
        <w:pStyle w:val="Bezriadkovania"/>
        <w:rPr>
          <w:sz w:val="24"/>
          <w:szCs w:val="24"/>
        </w:rPr>
      </w:pP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2, Účtovná jednotka nie je materskou účtovnou jednotkou, ani nemá dcérske účtovné jednotky.</w:t>
      </w: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Priemerný počet zamestnancov:  0</w:t>
      </w:r>
    </w:p>
    <w:p w:rsidR="00BA2B23" w:rsidRDefault="00BA2B23" w:rsidP="00BA2B23">
      <w:pPr>
        <w:pStyle w:val="Bezriadkovania"/>
        <w:rPr>
          <w:sz w:val="24"/>
          <w:szCs w:val="24"/>
        </w:rPr>
      </w:pP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Čl. II </w:t>
      </w: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Informácie o prijatých postupoch</w:t>
      </w:r>
    </w:p>
    <w:p w:rsidR="00BA2B23" w:rsidRDefault="00BA2B23" w:rsidP="00BA2B23">
      <w:pPr>
        <w:pStyle w:val="Bezriadkovania"/>
        <w:rPr>
          <w:sz w:val="24"/>
          <w:szCs w:val="24"/>
        </w:rPr>
      </w:pP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Účtovná závierka je zostavená za splnenia predpokladu, že účtovná jednotka bude nepretržite pokračovať vo svojej činnosti.</w:t>
      </w:r>
    </w:p>
    <w:p w:rsidR="00BA2B23" w:rsidRDefault="00BA2B23" w:rsidP="00BA2B2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2, Oceňovanie majetku a záväzkov: </w:t>
      </w:r>
    </w:p>
    <w:p w:rsidR="00BA2B23" w:rsidRDefault="00BA2B23" w:rsidP="00BA2B23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DHM – oceňovanie obstarávacou cenou</w:t>
      </w:r>
    </w:p>
    <w:p w:rsidR="00BA2B23" w:rsidRDefault="00BA2B23" w:rsidP="00BA2B23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Zásoby obstarané kúpou – oceňované obstarávacou cenou</w:t>
      </w:r>
    </w:p>
    <w:p w:rsidR="00BA2B23" w:rsidRDefault="00BA2B23" w:rsidP="00BA2B23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Zásoby vytvorené vlastnou činnosťou – oceňované vlastnými nákladmi</w:t>
      </w:r>
    </w:p>
    <w:p w:rsidR="00BC029E" w:rsidRDefault="00BC029E" w:rsidP="00BC029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Pohľadávky – oceňované menovitou hodnotou</w:t>
      </w:r>
    </w:p>
    <w:p w:rsidR="00BC029E" w:rsidRDefault="00BC029E" w:rsidP="00BC029E">
      <w:pPr>
        <w:pStyle w:val="Bezriadkovania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Záväzky, pôžičky, krátkodobé úvery- oceňované menovitou hodnotou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3, Odpisy hmotného majetku – dlhodobý hmotný majetok je zaradený do odpisových skupín,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Používaný je rovnomerný spôsob odpisovania.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Ročný odpis = daňový odpis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DHM – 5.odpisová skupina, RO 1/20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DDHM do 1000 Eur zaúčtovaný do nákladov.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4, V sledovanom období r. 2021 nedošlo k zmene účtovných zásad ani účtovných metód.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Od 1.1.2014 účtovná jednotka postupuje ako mikro účtovná jednotka. Boli splnené všetky     podmienky: r. 2012, 2013 – majetok nepresiahol 350 000 Eur, čistý obrat nepresiahol 700 000 Eur, priemerný počet zamestnancov do 10. Aj v r. 2021 bola účtovná jednotka považovaná za mikro účtovnú jednotku. Od 1.1.2021 účtovná jednotka nespĺňa inštitút mikrodaňovníka, nakoľko úhrn zdaniteľných príjmov r.2021 presiahol sumu 49790 Eur.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5, Dotácie neboli čerpané.</w:t>
      </w: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6, Významné opravy chýb minulých účtovných období sa v bežnom ÚO nevyskytli.</w:t>
      </w:r>
    </w:p>
    <w:p w:rsidR="00BC029E" w:rsidRDefault="00BC029E" w:rsidP="00BC029E">
      <w:pPr>
        <w:pStyle w:val="Bezriadkovania"/>
        <w:rPr>
          <w:sz w:val="24"/>
          <w:szCs w:val="24"/>
        </w:rPr>
      </w:pPr>
    </w:p>
    <w:p w:rsidR="00BC029E" w:rsidRDefault="00BC029E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Čl. III</w:t>
      </w:r>
    </w:p>
    <w:p w:rsidR="00BC029E" w:rsidRDefault="009F76EB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="00BC029E">
        <w:rPr>
          <w:sz w:val="24"/>
          <w:szCs w:val="24"/>
        </w:rPr>
        <w:t>Informácie, ktoré vysvetľujú a</w:t>
      </w:r>
      <w:r>
        <w:rPr>
          <w:sz w:val="24"/>
          <w:szCs w:val="24"/>
        </w:rPr>
        <w:t> </w:t>
      </w:r>
      <w:r w:rsidR="00BC029E">
        <w:rPr>
          <w:sz w:val="24"/>
          <w:szCs w:val="24"/>
        </w:rPr>
        <w:t>dopĺňajú</w:t>
      </w:r>
      <w:r>
        <w:rPr>
          <w:sz w:val="24"/>
          <w:szCs w:val="24"/>
        </w:rPr>
        <w:t xml:space="preserve"> súvahu a výkaz ziskov a strát</w:t>
      </w:r>
    </w:p>
    <w:p w:rsidR="009F76EB" w:rsidRDefault="009F76EB" w:rsidP="00BC029E">
      <w:pPr>
        <w:pStyle w:val="Bezriadkovania"/>
        <w:rPr>
          <w:sz w:val="24"/>
          <w:szCs w:val="24"/>
        </w:rPr>
      </w:pPr>
    </w:p>
    <w:p w:rsidR="009F76EB" w:rsidRDefault="009F76EB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1, V sledovanom období r. 2021 sa nevyskytli žiadne významné škody ani predaj podniku.</w:t>
      </w:r>
    </w:p>
    <w:p w:rsidR="009F76EB" w:rsidRDefault="009F76EB" w:rsidP="00BC029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2, Záväzky : </w:t>
      </w:r>
    </w:p>
    <w:p w:rsidR="009F76EB" w:rsidRDefault="009F76EB" w:rsidP="009F76EB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Celková suma iných záväzkov so zostatkovou dobou splatnosti dlhšou ako 5 rokov:</w:t>
      </w:r>
    </w:p>
    <w:p w:rsidR="009F76EB" w:rsidRDefault="009F76EB" w:rsidP="009F76EB">
      <w:pPr>
        <w:pStyle w:val="Bezriadkovania"/>
        <w:ind w:left="720"/>
        <w:rPr>
          <w:sz w:val="24"/>
          <w:szCs w:val="24"/>
        </w:rPr>
      </w:pPr>
      <w:r>
        <w:rPr>
          <w:sz w:val="24"/>
          <w:szCs w:val="24"/>
        </w:rPr>
        <w:t>Kontokorentný úver 10795,60 Eur.</w:t>
      </w:r>
    </w:p>
    <w:p w:rsidR="00BC029E" w:rsidRDefault="009F76EB" w:rsidP="009F76EB">
      <w:pPr>
        <w:pStyle w:val="Bezriadkovania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Záväzky z obchodného styku po lehote splatnosti dlhšej ako 360 dní, faktúra z  3/2019, menovitá hodnota 42 Eur, zvýšenie základu dane o 50% ...    21 Eur.</w:t>
      </w:r>
    </w:p>
    <w:p w:rsidR="009F76EB" w:rsidRDefault="009F76EB" w:rsidP="009F76EB">
      <w:pPr>
        <w:pStyle w:val="Bezriadkovania"/>
        <w:ind w:left="360"/>
        <w:rPr>
          <w:sz w:val="24"/>
          <w:szCs w:val="24"/>
        </w:rPr>
      </w:pPr>
    </w:p>
    <w:p w:rsidR="009F76EB" w:rsidRDefault="009F76EB" w:rsidP="009F76EB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3, Počas účtovného obdobia neboli nadobudnuté žiadne nové vlastné akcie.</w:t>
      </w:r>
    </w:p>
    <w:p w:rsidR="009F76EB" w:rsidRDefault="009F76EB" w:rsidP="009F76EB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4,V účtovnom období neboli poskytnuté pôžičky členom štatutárneho ani iného orgánu.</w:t>
      </w:r>
    </w:p>
    <w:p w:rsidR="009F76EB" w:rsidRDefault="009F76EB" w:rsidP="009F76EB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5, Účtovná jednotka nemá žiadne iné významné finančné povinnosti nevykazované v súvahe. Ku koncu roka podpísala zmluvu na kúpu investície fotovoltaického zariadenia s konateľom spoločnosti Ing. Damiánom Jelšovkom, vo výške 13706 Eur, kde už bola splatená akontácia 3706 Eur, potom mesačné splátky 147,63 Eur. Tieto finančné povinnosti sú uvádzané aj  v súvahe. Obstaranie DHM na účte 042, fotovoltaické panely sú zatiaľ nie v prevádzke.</w:t>
      </w:r>
    </w:p>
    <w:p w:rsidR="001803BC" w:rsidRDefault="001803BC" w:rsidP="009F76EB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6, Účtovná jednotka neposkytuje služby vo verejnom záujme.</w:t>
      </w:r>
    </w:p>
    <w:p w:rsidR="001803BC" w:rsidRDefault="001803BC" w:rsidP="009F76EB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7, Účtovná jednotka nevytvorila kapitálový fond z príspevkov.</w:t>
      </w:r>
    </w:p>
    <w:p w:rsidR="001803BC" w:rsidRDefault="001803BC" w:rsidP="009F76EB">
      <w:pPr>
        <w:pStyle w:val="Bezriadkovania"/>
        <w:ind w:left="360"/>
        <w:rPr>
          <w:sz w:val="24"/>
          <w:szCs w:val="24"/>
        </w:rPr>
      </w:pPr>
    </w:p>
    <w:p w:rsidR="001803BC" w:rsidRDefault="001803BC" w:rsidP="009F76EB">
      <w:pPr>
        <w:pStyle w:val="Bezriadkovania"/>
        <w:ind w:left="360"/>
        <w:rPr>
          <w:sz w:val="24"/>
          <w:szCs w:val="24"/>
        </w:rPr>
      </w:pPr>
    </w:p>
    <w:p w:rsidR="001803BC" w:rsidRDefault="001803BC" w:rsidP="009F76EB">
      <w:pPr>
        <w:pStyle w:val="Bezriadkovania"/>
        <w:ind w:left="360"/>
        <w:rPr>
          <w:sz w:val="24"/>
          <w:szCs w:val="24"/>
        </w:rPr>
      </w:pPr>
    </w:p>
    <w:p w:rsidR="001803BC" w:rsidRDefault="001803BC" w:rsidP="009F76EB">
      <w:pPr>
        <w:pStyle w:val="Bezriadkovania"/>
        <w:ind w:left="360"/>
        <w:rPr>
          <w:sz w:val="24"/>
          <w:szCs w:val="24"/>
        </w:rPr>
      </w:pPr>
      <w:r>
        <w:rPr>
          <w:sz w:val="24"/>
          <w:szCs w:val="24"/>
        </w:rPr>
        <w:t>V Liptovských Sliačoch 8.3.2022</w:t>
      </w:r>
    </w:p>
    <w:p w:rsidR="001803BC" w:rsidRDefault="001803BC" w:rsidP="009F76EB">
      <w:pPr>
        <w:pStyle w:val="Bezriadkovania"/>
        <w:ind w:left="360"/>
        <w:rPr>
          <w:sz w:val="24"/>
          <w:szCs w:val="24"/>
        </w:rPr>
      </w:pPr>
    </w:p>
    <w:p w:rsidR="001803BC" w:rsidRPr="009F76EB" w:rsidRDefault="001803BC" w:rsidP="009F76EB">
      <w:pPr>
        <w:pStyle w:val="Bezriadkovania"/>
        <w:ind w:left="360"/>
        <w:rPr>
          <w:sz w:val="24"/>
          <w:szCs w:val="24"/>
        </w:rPr>
      </w:pPr>
    </w:p>
    <w:p w:rsidR="00BA2B23" w:rsidRDefault="00BA2B23" w:rsidP="00BA2B23">
      <w:pPr>
        <w:pStyle w:val="Bezriadkovania"/>
      </w:pPr>
    </w:p>
    <w:p w:rsidR="00BA2B23" w:rsidRPr="00BA2B23" w:rsidRDefault="00BA2B23" w:rsidP="00BA2B23">
      <w:pPr>
        <w:pStyle w:val="Bezriadkovania"/>
        <w:rPr>
          <w:sz w:val="24"/>
          <w:szCs w:val="24"/>
        </w:rPr>
      </w:pPr>
    </w:p>
    <w:sectPr w:rsidR="00BA2B23" w:rsidRPr="00BA2B23" w:rsidSect="00C21D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08724F"/>
    <w:multiLevelType w:val="hybridMultilevel"/>
    <w:tmpl w:val="7E449B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CD62E95"/>
    <w:multiLevelType w:val="hybridMultilevel"/>
    <w:tmpl w:val="5B2AC5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A2B23"/>
    <w:rsid w:val="001803BC"/>
    <w:rsid w:val="001F309D"/>
    <w:rsid w:val="004E0F7D"/>
    <w:rsid w:val="009F76EB"/>
    <w:rsid w:val="00BA2B23"/>
    <w:rsid w:val="00BC029E"/>
    <w:rsid w:val="00C21D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DCA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A2B23"/>
    <w:pPr>
      <w:spacing w:after="0" w:line="240" w:lineRule="auto"/>
    </w:pPr>
    <w:rPr>
      <w:rFonts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483</Words>
  <Characters>2754</Characters>
  <Application>Microsoft Office Word</Application>
  <DocSecurity>0</DocSecurity>
  <Lines>22</Lines>
  <Paragraphs>6</Paragraphs>
  <ScaleCrop>false</ScaleCrop>
  <Company/>
  <LinksUpToDate>false</LinksUpToDate>
  <CharactersWithSpaces>3231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2022-03-09T12:54:00Z</dcterms:created>
  <dcterms:modified xsi:type="dcterms:W3CDTF">2022-03-09T12:54:00Z</dcterms:modified>
</cp:coreProperties>
</file>