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C72B0" w14:textId="77777777" w:rsidR="00C27F4C" w:rsidRPr="00F948D9" w:rsidRDefault="00C27F4C" w:rsidP="00C27F4C">
      <w:pPr>
        <w:spacing w:before="100" w:beforeAutospacing="1" w:after="100" w:afterAutospacing="1" w:line="240" w:lineRule="auto"/>
        <w:ind w:left="2124" w:firstLine="708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</w:p>
    <w:p w14:paraId="38C8A414" w14:textId="43C0D62E" w:rsidR="00B43962" w:rsidRPr="00F948D9" w:rsidRDefault="00B43962" w:rsidP="00C27F4C">
      <w:pPr>
        <w:spacing w:before="100" w:beforeAutospacing="1" w:after="100" w:afterAutospacing="1" w:line="240" w:lineRule="auto"/>
        <w:ind w:left="2124" w:firstLine="708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F948D9">
        <w:rPr>
          <w:rFonts w:eastAsia="Times New Roman" w:cstheme="minorHAnsi"/>
          <w:b/>
          <w:bCs/>
          <w:sz w:val="24"/>
          <w:szCs w:val="24"/>
          <w:lang w:eastAsia="sk-SK"/>
        </w:rPr>
        <w:t>Poznámky malej účtovnej jednotky k</w:t>
      </w:r>
      <w:r w:rsidR="00641FC1">
        <w:rPr>
          <w:rFonts w:eastAsia="Times New Roman" w:cstheme="minorHAnsi"/>
          <w:b/>
          <w:bCs/>
          <w:sz w:val="24"/>
          <w:szCs w:val="24"/>
          <w:lang w:eastAsia="sk-SK"/>
        </w:rPr>
        <w:t xml:space="preserve"> </w:t>
      </w:r>
      <w:r w:rsidRPr="00F948D9">
        <w:rPr>
          <w:rFonts w:eastAsia="Times New Roman" w:cstheme="minorHAnsi"/>
          <w:b/>
          <w:bCs/>
          <w:sz w:val="24"/>
          <w:szCs w:val="24"/>
          <w:lang w:eastAsia="sk-SK"/>
        </w:rPr>
        <w:t xml:space="preserve"> 31. 12. </w:t>
      </w:r>
      <w:r w:rsidR="00B36678">
        <w:rPr>
          <w:rFonts w:eastAsia="Times New Roman" w:cstheme="minorHAnsi"/>
          <w:b/>
          <w:bCs/>
          <w:sz w:val="24"/>
          <w:szCs w:val="24"/>
          <w:lang w:eastAsia="sk-SK"/>
        </w:rPr>
        <w:t>202</w:t>
      </w:r>
      <w:r w:rsidR="00AC08AE">
        <w:rPr>
          <w:rFonts w:eastAsia="Times New Roman" w:cstheme="minorHAnsi"/>
          <w:b/>
          <w:bCs/>
          <w:sz w:val="24"/>
          <w:szCs w:val="24"/>
          <w:lang w:eastAsia="sk-SK"/>
        </w:rPr>
        <w:t>1</w:t>
      </w:r>
    </w:p>
    <w:p w14:paraId="044B5A74" w14:textId="77777777" w:rsidR="00C27F4C" w:rsidRPr="00F948D9" w:rsidRDefault="00B43962" w:rsidP="00C27F4C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I</w:t>
      </w: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br/>
        <w:t>Všeobecné informácie</w:t>
      </w:r>
    </w:p>
    <w:p w14:paraId="59D9B6AE" w14:textId="77777777" w:rsidR="00C27F4C" w:rsidRPr="00F948D9" w:rsidRDefault="00F948D9" w:rsidP="00F948D9">
      <w:pPr>
        <w:spacing w:before="100" w:beforeAutospacing="1" w:after="100" w:afterAutospacing="1" w:line="240" w:lineRule="auto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>
        <w:rPr>
          <w:rFonts w:cstheme="minorHAnsi"/>
          <w:b/>
        </w:rPr>
        <w:t>1.</w:t>
      </w:r>
      <w:r w:rsidR="00C27F4C" w:rsidRPr="00F948D9">
        <w:rPr>
          <w:rFonts w:cstheme="minorHAnsi"/>
          <w:b/>
        </w:rPr>
        <w:t>Obchodné meno a sídlo spoločnosti:</w:t>
      </w:r>
    </w:p>
    <w:p w14:paraId="1042274D" w14:textId="77777777" w:rsidR="00C27F4C" w:rsidRDefault="00C27F4C" w:rsidP="00F948D9">
      <w:pPr>
        <w:pStyle w:val="Nzov"/>
        <w:spacing w:after="60"/>
        <w:jc w:val="left"/>
        <w:rPr>
          <w:rFonts w:asciiTheme="minorHAnsi" w:hAnsiTheme="minorHAnsi" w:cstheme="minorHAnsi"/>
          <w:b w:val="0"/>
        </w:rPr>
      </w:pPr>
      <w:r w:rsidRPr="00F948D9">
        <w:rPr>
          <w:rFonts w:asciiTheme="minorHAnsi" w:hAnsiTheme="minorHAnsi" w:cstheme="minorHAnsi"/>
          <w:b w:val="0"/>
        </w:rPr>
        <w:t>Spoločnosť UniCross s.r.o. (ďalej len Spoločnosť) bola založená spoločenskou zmluvou zo dňa  3.3.2010  na do obchodného registra bola zapísaná  31.3.2010 ako Double Cross s.r.o.(Obchodný register Okresného súdu Košice I  v Košiciach, oddiel s.r.o., vložka 25437/V). Dňa 8.8.2012 bol zápisom v Obchodnom registri zmenený názov spoločnosti  na UniCross s.r.o.</w:t>
      </w:r>
    </w:p>
    <w:p w14:paraId="54EA72A3" w14:textId="77777777" w:rsidR="001E762D" w:rsidRPr="001E762D" w:rsidRDefault="001E762D" w:rsidP="001E762D">
      <w:pPr>
        <w:pStyle w:val="Bezriadkovania"/>
        <w:rPr>
          <w:rFonts w:asciiTheme="minorHAnsi" w:hAnsiTheme="minorHAnsi" w:cstheme="minorHAnsi"/>
        </w:rPr>
      </w:pPr>
      <w:r w:rsidRPr="001E762D">
        <w:rPr>
          <w:rFonts w:asciiTheme="minorHAnsi" w:hAnsiTheme="minorHAnsi" w:cstheme="minorHAnsi"/>
        </w:rPr>
        <w:t>Sídlo: Južná trieda 66, 040 01 Košice</w:t>
      </w:r>
    </w:p>
    <w:p w14:paraId="413CC3DC" w14:textId="77777777" w:rsidR="001E762D" w:rsidRPr="001E762D" w:rsidRDefault="001E762D" w:rsidP="001E762D">
      <w:pPr>
        <w:pStyle w:val="Bezriadkovania"/>
        <w:rPr>
          <w:rFonts w:asciiTheme="minorHAnsi" w:hAnsiTheme="minorHAnsi" w:cstheme="minorHAnsi"/>
        </w:rPr>
      </w:pPr>
      <w:r w:rsidRPr="001E762D">
        <w:rPr>
          <w:rFonts w:asciiTheme="minorHAnsi" w:hAnsiTheme="minorHAnsi" w:cstheme="minorHAnsi"/>
        </w:rPr>
        <w:t>Prevádzky spoločnosti: Južná trieda 66, Košice a Južná trieda 78, Košice</w:t>
      </w:r>
    </w:p>
    <w:p w14:paraId="5332B74C" w14:textId="77777777" w:rsidR="00C27F4C" w:rsidRPr="00F948D9" w:rsidRDefault="00C27F4C" w:rsidP="00C27F4C">
      <w:pPr>
        <w:pStyle w:val="Nzov"/>
        <w:spacing w:after="60"/>
        <w:jc w:val="left"/>
        <w:rPr>
          <w:rFonts w:asciiTheme="minorHAnsi" w:hAnsiTheme="minorHAnsi" w:cstheme="minorHAnsi"/>
        </w:rPr>
      </w:pPr>
      <w:r w:rsidRPr="00F948D9">
        <w:rPr>
          <w:rFonts w:asciiTheme="minorHAnsi" w:hAnsiTheme="minorHAnsi" w:cstheme="minorHAnsi"/>
          <w:b w:val="0"/>
        </w:rPr>
        <w:t xml:space="preserve"> </w:t>
      </w:r>
      <w:r w:rsidRPr="00F948D9">
        <w:rPr>
          <w:rFonts w:asciiTheme="minorHAnsi" w:hAnsiTheme="minorHAnsi" w:cstheme="minorHAnsi"/>
        </w:rPr>
        <w:t>Hlavnými činnosťami spoločnosti sú:</w:t>
      </w:r>
    </w:p>
    <w:p w14:paraId="5BAEB96C" w14:textId="77777777" w:rsidR="00C27F4C" w:rsidRPr="00F948D9" w:rsidRDefault="00C27F4C" w:rsidP="00C27F4C">
      <w:pPr>
        <w:pStyle w:val="Bezriadkovania"/>
        <w:rPr>
          <w:rFonts w:asciiTheme="minorHAnsi" w:hAnsiTheme="minorHAnsi" w:cstheme="minorHAnsi"/>
        </w:rPr>
      </w:pPr>
      <w:r w:rsidRPr="00F948D9">
        <w:rPr>
          <w:rFonts w:asciiTheme="minorHAnsi" w:hAnsiTheme="minorHAnsi" w:cstheme="minorHAnsi"/>
        </w:rPr>
        <w:t>-  veľkoobchod a maloobchod s tovarmi, pneumatiky pre osobné, nákladné, úžitkové a zemné stroje</w:t>
      </w:r>
    </w:p>
    <w:p w14:paraId="590C43C4" w14:textId="77777777" w:rsidR="00C27F4C" w:rsidRDefault="00C27F4C" w:rsidP="00C27F4C">
      <w:pPr>
        <w:pStyle w:val="Bezriadkovania"/>
        <w:rPr>
          <w:rFonts w:asciiTheme="minorHAnsi" w:hAnsiTheme="minorHAnsi" w:cstheme="minorHAnsi"/>
        </w:rPr>
      </w:pPr>
      <w:r w:rsidRPr="00F948D9">
        <w:rPr>
          <w:rFonts w:asciiTheme="minorHAnsi" w:hAnsiTheme="minorHAnsi" w:cstheme="minorHAnsi"/>
        </w:rPr>
        <w:t>-  diagnostika a opravy cestných motorových vozidiel</w:t>
      </w:r>
    </w:p>
    <w:p w14:paraId="4690A6BF" w14:textId="77777777" w:rsidR="00F948D9" w:rsidRPr="00F948D9" w:rsidRDefault="00F948D9" w:rsidP="00F948D9">
      <w:pPr>
        <w:pStyle w:val="Bezriadkovania"/>
        <w:rPr>
          <w:rFonts w:asciiTheme="minorHAnsi" w:hAnsiTheme="minorHAnsi" w:cstheme="minorHAnsi"/>
        </w:rPr>
      </w:pPr>
      <w:r w:rsidRPr="00F948D9">
        <w:rPr>
          <w:rFonts w:asciiTheme="minorHAnsi" w:hAnsiTheme="minorHAnsi" w:cstheme="minorHAnsi"/>
        </w:rPr>
        <w:t xml:space="preserve">-  prenájom a prevádzkovanie vlastných nehnuteľností, sprostredkovateľská činnosť v oblasti obchodu a služieb </w:t>
      </w:r>
    </w:p>
    <w:p w14:paraId="3659C07C" w14:textId="77777777" w:rsidR="00F948D9" w:rsidRPr="00F948D9" w:rsidRDefault="00F948D9" w:rsidP="00C27F4C">
      <w:pPr>
        <w:pStyle w:val="Bezriadkovania"/>
        <w:rPr>
          <w:rFonts w:asciiTheme="minorHAnsi" w:hAnsiTheme="minorHAnsi" w:cstheme="minorHAnsi"/>
        </w:rPr>
      </w:pPr>
    </w:p>
    <w:p w14:paraId="2C3A1962" w14:textId="1463975E" w:rsidR="00C27F4C" w:rsidRPr="00F948D9" w:rsidRDefault="00C27F4C" w:rsidP="00C27F4C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E43302">
        <w:rPr>
          <w:rFonts w:eastAsia="Times New Roman" w:cstheme="minorHAnsi"/>
          <w:b/>
          <w:sz w:val="24"/>
          <w:szCs w:val="24"/>
          <w:lang w:eastAsia="sk-SK"/>
        </w:rPr>
        <w:t>2.</w:t>
      </w:r>
      <w:r w:rsidRPr="00F948D9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F948D9">
        <w:rPr>
          <w:rFonts w:eastAsia="Times New Roman" w:cstheme="minorHAnsi"/>
          <w:b/>
          <w:sz w:val="24"/>
          <w:szCs w:val="24"/>
          <w:lang w:eastAsia="sk-SK"/>
        </w:rPr>
        <w:t>Dátum schválenia účtovnej závierky</w:t>
      </w:r>
      <w:r w:rsidRPr="00F948D9">
        <w:rPr>
          <w:rFonts w:eastAsia="Times New Roman" w:cstheme="minorHAnsi"/>
          <w:sz w:val="24"/>
          <w:szCs w:val="24"/>
          <w:lang w:eastAsia="sk-SK"/>
        </w:rPr>
        <w:t xml:space="preserve"> za bezprostredne predchádzajúce účtovné obdobie príslušným orgánom spoločnosti: účtovná závierka k 31. 12. 20</w:t>
      </w:r>
      <w:r w:rsidR="000536D5">
        <w:rPr>
          <w:rFonts w:eastAsia="Times New Roman" w:cstheme="minorHAnsi"/>
          <w:sz w:val="24"/>
          <w:szCs w:val="24"/>
          <w:lang w:eastAsia="sk-SK"/>
        </w:rPr>
        <w:t>20</w:t>
      </w:r>
      <w:r w:rsidRPr="00F948D9">
        <w:rPr>
          <w:rFonts w:eastAsia="Times New Roman" w:cstheme="minorHAnsi"/>
          <w:sz w:val="24"/>
          <w:szCs w:val="24"/>
          <w:lang w:eastAsia="sk-SK"/>
        </w:rPr>
        <w:t xml:space="preserve"> bola schválená dňa </w:t>
      </w:r>
      <w:r w:rsidR="000536D5">
        <w:rPr>
          <w:rFonts w:eastAsia="Times New Roman" w:cstheme="minorHAnsi"/>
          <w:sz w:val="24"/>
          <w:szCs w:val="24"/>
          <w:lang w:eastAsia="sk-SK"/>
        </w:rPr>
        <w:t>18.3.2021</w:t>
      </w:r>
      <w:r w:rsidRPr="00F948D9">
        <w:rPr>
          <w:rFonts w:eastAsia="Times New Roman" w:cstheme="minorHAnsi"/>
          <w:sz w:val="24"/>
          <w:szCs w:val="24"/>
          <w:lang w:eastAsia="sk-SK"/>
        </w:rPr>
        <w:t>.</w:t>
      </w:r>
    </w:p>
    <w:p w14:paraId="4BEC9141" w14:textId="77777777" w:rsidR="00C27F4C" w:rsidRPr="00F948D9" w:rsidRDefault="00C27F4C" w:rsidP="00C27F4C">
      <w:pPr>
        <w:pStyle w:val="Bezriadkovania"/>
        <w:rPr>
          <w:rFonts w:asciiTheme="minorHAnsi" w:hAnsiTheme="minorHAnsi" w:cstheme="minorHAnsi"/>
        </w:rPr>
      </w:pPr>
    </w:p>
    <w:p w14:paraId="4D8D3D7C" w14:textId="77777777" w:rsidR="00C27F4C" w:rsidRPr="00F948D9" w:rsidRDefault="00C27F4C" w:rsidP="00C27F4C">
      <w:pPr>
        <w:spacing w:after="0" w:line="240" w:lineRule="auto"/>
        <w:rPr>
          <w:rFonts w:cstheme="minorHAnsi"/>
        </w:rPr>
      </w:pPr>
      <w:r w:rsidRPr="00E43302">
        <w:rPr>
          <w:rFonts w:cstheme="minorHAnsi"/>
          <w:b/>
        </w:rPr>
        <w:t>3.</w:t>
      </w:r>
      <w:r w:rsidRPr="00F948D9">
        <w:rPr>
          <w:rFonts w:cstheme="minorHAnsi"/>
        </w:rPr>
        <w:t xml:space="preserve"> </w:t>
      </w:r>
      <w:r w:rsidRPr="00F948D9">
        <w:rPr>
          <w:rFonts w:cstheme="minorHAnsi"/>
          <w:b/>
        </w:rPr>
        <w:t>Právny dôvod na zostavenie účtovnej závierky</w:t>
      </w:r>
    </w:p>
    <w:p w14:paraId="3E7C93D7" w14:textId="25B8A16F" w:rsidR="00C27F4C" w:rsidRPr="00F948D9" w:rsidRDefault="00C27F4C" w:rsidP="00C27F4C">
      <w:pPr>
        <w:rPr>
          <w:rFonts w:cstheme="minorHAnsi"/>
        </w:rPr>
      </w:pPr>
      <w:r w:rsidRPr="00F948D9">
        <w:rPr>
          <w:rFonts w:cstheme="minorHAnsi"/>
        </w:rPr>
        <w:t>Účtovná závierka Spoločnosti k 31. decembru 20</w:t>
      </w:r>
      <w:r w:rsidR="00B36678">
        <w:rPr>
          <w:rFonts w:cstheme="minorHAnsi"/>
        </w:rPr>
        <w:t>2</w:t>
      </w:r>
      <w:r w:rsidR="00D469C6">
        <w:rPr>
          <w:rFonts w:cstheme="minorHAnsi"/>
        </w:rPr>
        <w:t>1</w:t>
      </w:r>
      <w:r w:rsidRPr="00F948D9">
        <w:rPr>
          <w:rFonts w:cstheme="minorHAnsi"/>
        </w:rPr>
        <w:t xml:space="preserve"> je zostavená ako riadna účtovná závierka podľa § 17 ods. 6 zákona NR SR č. 431/2002 Z. z. o účtovníctve, za účtovné obdobie od 1. januára 20</w:t>
      </w:r>
      <w:r w:rsidR="00B36678">
        <w:rPr>
          <w:rFonts w:cstheme="minorHAnsi"/>
        </w:rPr>
        <w:t>2</w:t>
      </w:r>
      <w:r w:rsidR="00AC08AE">
        <w:rPr>
          <w:rFonts w:cstheme="minorHAnsi"/>
        </w:rPr>
        <w:t>1</w:t>
      </w:r>
      <w:r w:rsidRPr="00F948D9">
        <w:rPr>
          <w:rFonts w:cstheme="minorHAnsi"/>
        </w:rPr>
        <w:t xml:space="preserve"> do 31. decembra 20</w:t>
      </w:r>
      <w:r w:rsidR="00B36678">
        <w:rPr>
          <w:rFonts w:cstheme="minorHAnsi"/>
        </w:rPr>
        <w:t>2</w:t>
      </w:r>
      <w:r w:rsidR="00AC08AE">
        <w:rPr>
          <w:rFonts w:cstheme="minorHAnsi"/>
        </w:rPr>
        <w:t>1</w:t>
      </w:r>
      <w:r w:rsidRPr="00F948D9">
        <w:rPr>
          <w:rFonts w:cstheme="minorHAnsi"/>
        </w:rPr>
        <w:t>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27F4C" w:rsidRPr="00F948D9" w14:paraId="151B3619" w14:textId="77777777" w:rsidTr="003F77D1">
        <w:trPr>
          <w:tblCellSpacing w:w="15" w:type="dxa"/>
        </w:trPr>
        <w:tc>
          <w:tcPr>
            <w:tcW w:w="0" w:type="auto"/>
            <w:hideMark/>
          </w:tcPr>
          <w:p w14:paraId="4C40781F" w14:textId="77777777" w:rsidR="00C27F4C" w:rsidRDefault="00C27F4C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E43302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4. Údaje o skupine účtovných jednotiek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: spoločnosť nie je súčasťou žiadnej skupiny.</w:t>
            </w:r>
          </w:p>
          <w:p w14:paraId="604D0F02" w14:textId="77777777" w:rsidR="00E43302" w:rsidRDefault="00E43302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  <w:p w14:paraId="0745A017" w14:textId="77777777" w:rsidR="00F948D9" w:rsidRPr="00F948D9" w:rsidRDefault="00F948D9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  <w:tr w:rsidR="00C27F4C" w:rsidRPr="00F948D9" w14:paraId="57F4C512" w14:textId="77777777" w:rsidTr="003F77D1">
        <w:trPr>
          <w:tblCellSpacing w:w="15" w:type="dxa"/>
        </w:trPr>
        <w:tc>
          <w:tcPr>
            <w:tcW w:w="0" w:type="auto"/>
            <w:hideMark/>
          </w:tcPr>
          <w:p w14:paraId="4FF72935" w14:textId="77777777" w:rsidR="00C27F4C" w:rsidRPr="00F948D9" w:rsidRDefault="00C27F4C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E43302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5.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  <w:r w:rsidRPr="00F948D9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Priemerný prepočítaný počet zamestnancov spoločnosti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: 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8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</w:tr>
    </w:tbl>
    <w:p w14:paraId="6439362D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II</w:t>
      </w:r>
    </w:p>
    <w:p w14:paraId="01E0591B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Informácie o orgánoch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43962" w:rsidRPr="00F948D9" w14:paraId="70DD499C" w14:textId="77777777" w:rsidTr="00A3318C">
        <w:trPr>
          <w:tblCellSpacing w:w="15" w:type="dxa"/>
        </w:trPr>
        <w:tc>
          <w:tcPr>
            <w:tcW w:w="10406" w:type="dxa"/>
            <w:hideMark/>
          </w:tcPr>
          <w:p w14:paraId="16C724D9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 Pre členov štatutárneho orgánu neboli poskytnuté záruky, žiadne zabezpečenia, pôžičky.</w:t>
            </w:r>
          </w:p>
        </w:tc>
      </w:tr>
    </w:tbl>
    <w:p w14:paraId="745DE007" w14:textId="77777777" w:rsid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III</w:t>
      </w:r>
    </w:p>
    <w:p w14:paraId="50685E35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Informácie o prijatých postupoch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F948D9" w14:paraId="010B35E4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4EF30639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5C4292EB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Účtovná závierka bola vypracovaná v súlade so zákonom č. </w:t>
            </w:r>
            <w:hyperlink r:id="rId7" w:tgtFrame="_blank" w:history="1">
              <w:r w:rsidRPr="00F948D9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eastAsia="sk-SK"/>
                </w:rPr>
                <w:t>431/2002 Z. z.</w:t>
              </w:r>
            </w:hyperlink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o účtovníctve v znení neskorších predpisov a Opatrením MF SR č. 23054/2002-92, ktorým sa ustanovujú podrobnosti o postupoch účtovania a rámcovej účtovej osnove pre podnikateľov v znení neskorších predpisov. Menou pre vykazovanie je EURO.</w:t>
            </w:r>
          </w:p>
        </w:tc>
      </w:tr>
      <w:tr w:rsidR="00B43962" w:rsidRPr="00F948D9" w14:paraId="5918FFEC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261F0A40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2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0FD9095A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Táto účtovná závierka bola vypracovaná na základe historických cien a za predpokladu nepretržitého trvania účtovnej jednotky, t. j. vychádza z predpokladu, že spoločnosť bude realizovať svoje aktíva, záväzky a dohody v rámci riadneho chodu svojej činnosti. Zostavenie tejto účtovnej závierky si vyžaduje, aby vedenie spoločnosti robilo určité odhady, ktoré majú vplyv na vykazované hodnoty aktív a pasív spoločnosti a vykazované náklady a výnosy za vykazované obdobie. Budúce udalosti a ich 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>vplyvy sa nedajú predvídať s určitosťou, preto pri výskyte nových udalostí sa skutočné výsledky môžu líšiť od účtovných odhadov. V účtovnej závierke sa použili tieto odhady a predpoklady:</w:t>
            </w:r>
          </w:p>
          <w:p w14:paraId="14488758" w14:textId="77777777" w:rsidR="00B43962" w:rsidRPr="00F948D9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určenie doby použitia pri dlhodobom majetku,</w:t>
            </w:r>
          </w:p>
          <w:p w14:paraId="3D7CFB4C" w14:textId="77777777" w:rsidR="00B43962" w:rsidRPr="00F948D9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hodnotenie majetku, či nedošlo k zníženiu jeho hodnoty (tvorba opravných položiek),</w:t>
            </w:r>
          </w:p>
          <w:p w14:paraId="7EC156E7" w14:textId="77777777" w:rsidR="00B43962" w:rsidRPr="00F948D9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hodnotenie, či sú zásoby vykázané v realizovateľnej hodnote (tvorba opravných položiek),</w:t>
            </w:r>
          </w:p>
          <w:p w14:paraId="5A2FDE97" w14:textId="77777777" w:rsidR="00B43962" w:rsidRPr="00F948D9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hodnotenie, či úhrada pohľadávok nie je pochybná (tvorba opravných položiek),</w:t>
            </w:r>
          </w:p>
          <w:p w14:paraId="797B3EAA" w14:textId="77777777" w:rsidR="00B43962" w:rsidRPr="00F948D9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zistenie a vykázanie podmienených záväzkov a majetku.</w:t>
            </w:r>
          </w:p>
          <w:p w14:paraId="081FEA9C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Účtovníctvo je vedené na ak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t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uálnom princípe, t. j. o nákladoch a výnosoch sa účtuje v momente, keď sú plnené bez ohľadu na dátum ich úhrady, inkasa alebo deň vyrovnania iným spôsobom. Dodržuje sa pritom zásada časovej a vecnej súvislosti nákladov a výnosov. Pri oceňovaní sa uplatňuje princíp historických cien. Položky, ktoré sa oceňujú v reálnej hodnote (realizovateľné cenné papiere a deriváty držané na obchodovanie), spoločnosť nevlastní.</w:t>
            </w:r>
          </w:p>
          <w:p w14:paraId="4B78170C" w14:textId="77777777" w:rsidR="00F948D9" w:rsidRPr="00F948D9" w:rsidRDefault="00B43962" w:rsidP="00F948D9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Hlavné účtovné zásady a metódy použité pri zostavení tejto účtovnej závierky sú uvedené ďalej. Tieto zásady boli uplatnené aj v bezprostredne predchádzajúcom účtovnom období a vychádzajú z platnej legislatívy.</w:t>
            </w:r>
          </w:p>
        </w:tc>
      </w:tr>
      <w:tr w:rsidR="00B43962" w:rsidRPr="00F948D9" w14:paraId="4591C626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2F1EF566" w14:textId="77777777" w:rsidR="00B43962" w:rsidRPr="00F948D9" w:rsidRDefault="00A3318C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 xml:space="preserve">3. </w:t>
            </w:r>
          </w:p>
        </w:tc>
        <w:tc>
          <w:tcPr>
            <w:tcW w:w="0" w:type="auto"/>
            <w:hideMark/>
          </w:tcPr>
          <w:p w14:paraId="51B91CC6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Účtovná jednotka nevykonávala transakcie, ktoré sa neuvádzajú v súvahe.</w:t>
            </w:r>
          </w:p>
        </w:tc>
      </w:tr>
      <w:tr w:rsidR="00B43962" w:rsidRPr="00F948D9" w14:paraId="7FFB9B32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046B8111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4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2B4313D0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Spôsob a určenie ocenenia majetku a záväzkov:</w:t>
            </w:r>
          </w:p>
          <w:p w14:paraId="475BD39A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a) Dlhodobý nehmotný a dlhodobý hmotný majetok</w:t>
            </w:r>
          </w:p>
          <w:p w14:paraId="28D187E6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Ocenenie pri obstaraní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Dlhodobý nehmotný a hmotný majetok sa vykazuje v obstarávacích cenách znížených o oprávky a straty zo zníženia hodnoty (opravné položky). Spoločnosť opravné položky k dlhodobému majetku netvorila. Obstarávacia cena zahrnuje cenu obstarania a náklady súvisiace s obstaraním (clo, dovoznú prirážku, prepravu, montáž a pod.). Súčasťou obstarávacej ceny nie sú úroky z úverov.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Spoločnosť vedie kategóriu dlhodobého nehmotného majetku, ktorého obstarávacia cena je 2 400 EUR a vyššia.</w:t>
            </w:r>
          </w:p>
          <w:p w14:paraId="09574AF0" w14:textId="77777777" w:rsidR="00B43962" w:rsidRPr="00F948D9" w:rsidRDefault="00B43962" w:rsidP="00A3318C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Spoločnosť vedie kategóriu drobného dlhodobého hmotného majetku (ocenenie rovné alebo nižšie ako 1 700 </w:t>
            </w:r>
            <w:r w:rsidR="001D74CB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EUR</w:t>
            </w:r>
          </w:p>
          <w:p w14:paraId="74E29E7E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ind w:left="60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Tvorba odpisového plánu</w:t>
            </w:r>
          </w:p>
          <w:p w14:paraId="34E748A7" w14:textId="77777777" w:rsidR="00A3318C" w:rsidRPr="00F948D9" w:rsidRDefault="00B43962" w:rsidP="000F630E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132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Dlhodobý nehmotný majetok:</w:t>
            </w: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br/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Odpisy dlhodobého nehmotného majetku sú stanovené vychádzajúc z predpokladanej doby jeho používania. Odpisovať sa začína počnúc mesiacom zaradenia dlhodobého majetku do používania. Predpokladaná doba používania internetovej stránky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a oceniteľných práv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je</w:t>
            </w:r>
            <w:r w:rsidR="00A3318C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3 -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5 rokov, pričom sa odpisuje lineárne</w:t>
            </w:r>
          </w:p>
          <w:p w14:paraId="27DAF254" w14:textId="77777777" w:rsidR="00E43302" w:rsidRDefault="00B43962" w:rsidP="0080638F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60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E43302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Dlhodobý hmotný majetok:</w:t>
            </w:r>
            <w:r w:rsidRPr="00E43302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br/>
            </w:r>
            <w:r w:rsidRPr="00E43302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Odpisy dlhodobého hmotného majetku sú stanovené vychádzajúc z predpokladanej doby jeho používania a predpokladaného priebehu jeho opotrebovania. Odpisovať sa začína počnúc mesiacom zaradenia dlhodobého majetku do používania. Pozemky sa neodpisujú. </w:t>
            </w:r>
          </w:p>
          <w:p w14:paraId="158F5B2F" w14:textId="77777777" w:rsidR="00B43962" w:rsidRPr="00E43302" w:rsidRDefault="00B43962" w:rsidP="00E43302">
            <w:pPr>
              <w:spacing w:before="100" w:beforeAutospacing="1" w:after="100" w:afterAutospacing="1" w:line="240" w:lineRule="auto"/>
              <w:ind w:left="60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E43302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Ročná výška odpisov dlhodobého majetku predstavuje 12-násobok mesačného odpisu vypočítaného rovnomerným spôsobom zo vstupnej ceny majetku, ktorá pripadá na zostatok </w:t>
            </w:r>
            <w:r w:rsidRPr="00E43302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>doby odpisovania. U nových položiek ročný odpis predstavuje 12-násobok mesačného odpisu pripadajúceho na jeden mesiac stanovenej doby odpisovania.</w:t>
            </w:r>
          </w:p>
          <w:p w14:paraId="37A9C54F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ind w:left="60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Predpokladaná doba používania:</w:t>
            </w:r>
          </w:p>
          <w:p w14:paraId="07033A20" w14:textId="77777777" w:rsidR="001D74CB" w:rsidRPr="00F948D9" w:rsidRDefault="00B43962" w:rsidP="001A58DC">
            <w:pPr>
              <w:pStyle w:val="Odsekzoznamu"/>
              <w:numPr>
                <w:ilvl w:val="0"/>
                <w:numId w:val="6"/>
              </w:numPr>
              <w:rPr>
                <w:rFonts w:cstheme="minorHAnsi"/>
                <w:lang w:eastAsia="sk-SK"/>
              </w:rPr>
            </w:pPr>
            <w:r w:rsidRPr="00F948D9">
              <w:rPr>
                <w:rFonts w:cstheme="minorHAnsi"/>
                <w:lang w:eastAsia="sk-SK"/>
              </w:rPr>
              <w:t xml:space="preserve">osobného úžitkového automobilu je </w:t>
            </w:r>
            <w:r w:rsidR="00A3318C" w:rsidRPr="00F948D9">
              <w:rPr>
                <w:rFonts w:cstheme="minorHAnsi"/>
                <w:lang w:eastAsia="sk-SK"/>
              </w:rPr>
              <w:t>4</w:t>
            </w:r>
            <w:r w:rsidRPr="00F948D9">
              <w:rPr>
                <w:rFonts w:cstheme="minorHAnsi"/>
                <w:lang w:eastAsia="sk-SK"/>
              </w:rPr>
              <w:t xml:space="preserve"> rok</w:t>
            </w:r>
            <w:r w:rsidR="00A3318C" w:rsidRPr="00F948D9">
              <w:rPr>
                <w:rFonts w:cstheme="minorHAnsi"/>
                <w:lang w:eastAsia="sk-SK"/>
              </w:rPr>
              <w:t>y</w:t>
            </w:r>
            <w:r w:rsidRPr="00F948D9">
              <w:rPr>
                <w:rFonts w:cstheme="minorHAnsi"/>
                <w:lang w:eastAsia="sk-SK"/>
              </w:rPr>
              <w:t>, pričom sa odpisuje lineárne</w:t>
            </w:r>
          </w:p>
          <w:p w14:paraId="21D9899C" w14:textId="77777777" w:rsidR="00A3318C" w:rsidRPr="00F948D9" w:rsidRDefault="00B43962" w:rsidP="001A58DC">
            <w:pPr>
              <w:pStyle w:val="Odsekzoznamu"/>
              <w:numPr>
                <w:ilvl w:val="0"/>
                <w:numId w:val="6"/>
              </w:numPr>
              <w:rPr>
                <w:rFonts w:cstheme="minorHAnsi"/>
                <w:lang w:eastAsia="sk-SK"/>
              </w:rPr>
            </w:pPr>
            <w:r w:rsidRPr="00F948D9">
              <w:rPr>
                <w:rFonts w:cstheme="minorHAnsi"/>
                <w:lang w:eastAsia="sk-SK"/>
              </w:rPr>
              <w:t xml:space="preserve"> strojného zariadenia je 4</w:t>
            </w:r>
            <w:r w:rsidR="00A3318C" w:rsidRPr="00F948D9">
              <w:rPr>
                <w:rFonts w:cstheme="minorHAnsi"/>
                <w:lang w:eastAsia="sk-SK"/>
              </w:rPr>
              <w:t xml:space="preserve"> -6 </w:t>
            </w:r>
            <w:r w:rsidRPr="00F948D9">
              <w:rPr>
                <w:rFonts w:cstheme="minorHAnsi"/>
                <w:lang w:eastAsia="sk-SK"/>
              </w:rPr>
              <w:t>rok</w:t>
            </w:r>
            <w:r w:rsidR="00A3318C" w:rsidRPr="00F948D9">
              <w:rPr>
                <w:rFonts w:cstheme="minorHAnsi"/>
                <w:lang w:eastAsia="sk-SK"/>
              </w:rPr>
              <w:t>ov</w:t>
            </w:r>
            <w:r w:rsidRPr="00F948D9">
              <w:rPr>
                <w:rFonts w:cstheme="minorHAnsi"/>
                <w:lang w:eastAsia="sk-SK"/>
              </w:rPr>
              <w:t>, pričom sa odpisuje lineárne</w:t>
            </w:r>
          </w:p>
          <w:p w14:paraId="3180F10D" w14:textId="77777777" w:rsidR="00B43962" w:rsidRPr="00F948D9" w:rsidRDefault="00B43962" w:rsidP="001D74CB">
            <w:pPr>
              <w:spacing w:before="100" w:beforeAutospacing="1" w:after="100" w:afterAutospacing="1" w:line="240" w:lineRule="auto"/>
              <w:ind w:left="600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Zníženie hodnoty majetku – opravné položky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Zostatkové hodnoty majetku spoločnosti sa každý rok ku dňu, ku ktorému sa zostavuje účtovná závierka, preverujú, či nedochádza k zníženiu ich hodnoty v súlade s postupmi účtovania pre podnikateľov. Ak existujú predpoklady,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položky. Ak sa dá zistiť predpokladaná predajná cena majetku (znížená o náklady predaja) a táto je vyššia ako odhadnutá predpokladaná suma, ktorá bude plynúť z používania majetku, použije sa táto vyššia suma na porovnanie s účtovnou hodnotou majetku. Spoločnosť netvorila opravnú položku k dlhodobému majetku.</w:t>
            </w:r>
          </w:p>
          <w:p w14:paraId="3AAC4F39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b) </w:t>
            </w: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Zásoby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Nakupované zásoby rovnakého druhu sú na sklad účtované v obstarávacích cenách.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Zásoby obstarané bezplatne, nájdené (prebytky zásob), odpad a zvyškové produkty vrátené z výroby sa ocenia podľa odborného odhadu ich úžitkovej hodnoty. Toto ocenenie zásob sa upravuje o zníženie hodnoty zásob (tvorbou opravnej položky) zistené inventarizáciou. Ku dňu, ku ktorému sa zostavuje účtovná závierka, sa zásoby ocenia v čistej realizačnej hodnote v prípadoch, ak predpokladaná predajná cena zásob znížená o predpokladané náklady na ich dokončenie a náklady súvisiace s predajom je nižšia ako ich ocenenie v účtovníctve. Pri vyskladnení zásob sa používa ocenenie, tak ako boli prijaté na sklad.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Spoločnosť netvorila opravnú položku k zásobám.</w:t>
            </w:r>
          </w:p>
          <w:p w14:paraId="7F680CD4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c) Pohľadávky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Pohľadávky sa pri ich vzniku oceňujú ich menovitou hodnotou; postúpené pohľadávky a pohľadávky nadobudnuté vkladom do základného imania sa oceňujú obstarávacou cenou vrátane nákladov súvisiacich s obstaraním. Toto ocenenie sa znižuje tvorbou opravnej položky. Spoločnosť netvorila opravnú položku k pohľadávke.</w:t>
            </w:r>
          </w:p>
          <w:p w14:paraId="55C11A06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d) Peňažné prostriedky a ceniny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Peňažné prostriedky a ceniny sa oceňujú ich menovitou hodnotou. Zníženie ich hodnoty sa vyjadruje opravnou položkou. Spoločnosť netvorila opravnú položku k peňažným prostriedkom a ceninám.</w:t>
            </w:r>
          </w:p>
          <w:p w14:paraId="6C103F81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e) Náklady budúcich období, príjmy budúcich období, výdavky budúcich období a výnosy budúcich období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Náklady budúcich období, príjmy budúcich období, výdavky budúcich období a výnosy budúcich období sa vykazujú vo výške, ktorá je potrebná na dodržanie zásady vecnej a časovej súvislosti s účtovným obdobím.</w:t>
            </w:r>
          </w:p>
          <w:p w14:paraId="46612436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f) Rezervy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Rezervy spoločnosť tvorila</w:t>
            </w:r>
            <w:r w:rsidR="001E762D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na nevyčerpané dovolenky</w:t>
            </w:r>
          </w:p>
          <w:p w14:paraId="17B6F846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lastRenderedPageBreak/>
              <w:t>g) Záväzky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  <w:p w14:paraId="615F41EF" w14:textId="77777777" w:rsidR="00B43962" w:rsidRPr="00F948D9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h) Daň z príjmov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Daň z príjmov sa skladá zo splatnej dane, o odloženej dani spoločnosť neúčtuje. Splatná daň z príjmov sa počíta vo výške 21 % daňového základu, ktorý sa vypočítal úpravou účtovného výsledku hospodárenia pred daňou o pripočítateľné a odpočítateľné položky.</w:t>
            </w:r>
          </w:p>
          <w:p w14:paraId="1E7169FC" w14:textId="77777777" w:rsidR="001D74CB" w:rsidRPr="00F948D9" w:rsidRDefault="001D74CB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  <w:tr w:rsidR="00B43962" w:rsidRPr="00F948D9" w14:paraId="0721A8B0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727DC545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>5</w:t>
            </w:r>
            <w:r w:rsidR="001D74CB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5E05EEDC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nevykonávala opravu chýb minulých účtovných období.</w:t>
            </w:r>
          </w:p>
          <w:p w14:paraId="24A9656F" w14:textId="77777777" w:rsidR="00755401" w:rsidRPr="00F948D9" w:rsidRDefault="00755401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  <w:p w14:paraId="11A5224D" w14:textId="77777777" w:rsidR="00755401" w:rsidRPr="00F948D9" w:rsidRDefault="00755401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31510AB5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IV</w:t>
      </w:r>
    </w:p>
    <w:p w14:paraId="0D148006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Informácie, ktoré vysvetľujú a dopĺňajú súvahu a výkaz ziskov a strát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F948D9" w14:paraId="51B7BAF3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6680177B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(1)</w:t>
            </w:r>
          </w:p>
        </w:tc>
        <w:tc>
          <w:tcPr>
            <w:tcW w:w="0" w:type="auto"/>
            <w:hideMark/>
          </w:tcPr>
          <w:p w14:paraId="5B11B774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o goodwille neúčtuje.</w:t>
            </w:r>
          </w:p>
        </w:tc>
      </w:tr>
      <w:tr w:rsidR="00B43962" w:rsidRPr="00F948D9" w14:paraId="39658140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108BE601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(2)</w:t>
            </w:r>
          </w:p>
        </w:tc>
        <w:tc>
          <w:tcPr>
            <w:tcW w:w="0" w:type="auto"/>
            <w:hideMark/>
          </w:tcPr>
          <w:p w14:paraId="62037327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o derivátoch neúčtuje.</w:t>
            </w:r>
          </w:p>
        </w:tc>
      </w:tr>
      <w:tr w:rsidR="00B43962" w:rsidRPr="00F948D9" w14:paraId="7A3871EB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061C452D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(3)</w:t>
            </w:r>
          </w:p>
        </w:tc>
        <w:tc>
          <w:tcPr>
            <w:tcW w:w="0" w:type="auto"/>
            <w:hideMark/>
          </w:tcPr>
          <w:p w14:paraId="0596896C" w14:textId="62435AC8" w:rsidR="00755401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Informácie o záväzkoch: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</w:r>
            <w:r w:rsidR="00755401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- 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vykazuje záväzky so zostatkovou dobou splatnosti viac ako 1 rok</w:t>
            </w:r>
            <w:r w:rsidR="00755401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-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  <w:r w:rsidR="00755401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nesplatené úroky </w:t>
            </w:r>
            <w:r w:rsidR="001E762D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       </w:t>
            </w:r>
            <w:r w:rsidR="00755401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z poskytnutej pôžičky členom štatutárneho orgánu vo výške 205.822</w:t>
            </w:r>
            <w:r w:rsidR="00D469C6">
              <w:rPr>
                <w:rFonts w:eastAsia="Times New Roman" w:cstheme="minorHAnsi"/>
                <w:sz w:val="24"/>
                <w:szCs w:val="24"/>
                <w:lang w:eastAsia="sk-SK"/>
              </w:rPr>
              <w:t>,47</w:t>
            </w:r>
            <w:r w:rsidR="00755401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EUR</w:t>
            </w:r>
          </w:p>
          <w:p w14:paraId="7B229EF1" w14:textId="46CC28F9" w:rsidR="00B43962" w:rsidRPr="00F948D9" w:rsidRDefault="00755401" w:rsidP="0075540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-</w:t>
            </w:r>
            <w:r w:rsidR="00B43962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Suma dlhodobých bankových úverov so zostatkovou dobou splatnosti viac ako 2 roky vo výške 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="00D469C6">
              <w:rPr>
                <w:rFonts w:eastAsia="Times New Roman" w:cstheme="minorHAnsi"/>
                <w:sz w:val="24"/>
                <w:szCs w:val="24"/>
                <w:lang w:eastAsia="sk-SK"/>
              </w:rPr>
              <w:t>03.314,-</w:t>
            </w:r>
            <w:r w:rsidR="00B43962"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€.</w:t>
            </w:r>
          </w:p>
        </w:tc>
      </w:tr>
      <w:tr w:rsidR="00B43962" w:rsidRPr="00F948D9" w14:paraId="61A04FDF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627733A3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(4)</w:t>
            </w:r>
          </w:p>
        </w:tc>
        <w:tc>
          <w:tcPr>
            <w:tcW w:w="0" w:type="auto"/>
            <w:hideMark/>
          </w:tcPr>
          <w:p w14:paraId="1204EA61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Vlastné obchodné podiely spoločnosť nevlastní.</w:t>
            </w:r>
          </w:p>
        </w:tc>
      </w:tr>
      <w:tr w:rsidR="00B43962" w:rsidRPr="00F948D9" w14:paraId="27662B9C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5E250689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(5)</w:t>
            </w:r>
          </w:p>
        </w:tc>
        <w:tc>
          <w:tcPr>
            <w:tcW w:w="0" w:type="auto"/>
            <w:hideMark/>
          </w:tcPr>
          <w:p w14:paraId="4D789E85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netvorila kapitálový fond z príspevkov.</w:t>
            </w:r>
          </w:p>
        </w:tc>
      </w:tr>
      <w:tr w:rsidR="00B43962" w:rsidRPr="00F948D9" w14:paraId="6A10BB7C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15A3CA9A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(6)</w:t>
            </w:r>
          </w:p>
        </w:tc>
        <w:tc>
          <w:tcPr>
            <w:tcW w:w="0" w:type="auto"/>
            <w:hideMark/>
          </w:tcPr>
          <w:p w14:paraId="47A041FF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neúčtovala o nákladoch a výnosoch, ktoré majú výnimočný charakter.</w:t>
            </w:r>
          </w:p>
        </w:tc>
      </w:tr>
    </w:tbl>
    <w:p w14:paraId="1EF57AD0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V</w:t>
      </w:r>
    </w:p>
    <w:p w14:paraId="4A752D37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Informácie o iných aktívach a iných pasívach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F948D9" w14:paraId="13D10675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0C5484E7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(1)</w:t>
            </w:r>
          </w:p>
        </w:tc>
        <w:tc>
          <w:tcPr>
            <w:tcW w:w="0" w:type="auto"/>
            <w:hideMark/>
          </w:tcPr>
          <w:p w14:paraId="217B574E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Informácie o podmienených záväzkoch a podmienenom majetku: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Spoločnosť neeviduje žiadne iné aktíva a pasíva, okrem tých, ktoré sú uvedené v súvahe.</w:t>
            </w:r>
          </w:p>
        </w:tc>
      </w:tr>
      <w:tr w:rsidR="00B43962" w:rsidRPr="00F948D9" w14:paraId="162CAA59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54F1760B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(2)</w:t>
            </w:r>
          </w:p>
        </w:tc>
        <w:tc>
          <w:tcPr>
            <w:tcW w:w="0" w:type="auto"/>
            <w:hideMark/>
          </w:tcPr>
          <w:p w14:paraId="4E4A5F09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Spoločnosť nevykazuje žiadne iné finančné povinnosti, okrem tých, ktoré sú vykázané v súvahe.</w:t>
            </w:r>
          </w:p>
        </w:tc>
      </w:tr>
    </w:tbl>
    <w:p w14:paraId="4A8FD626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VI</w:t>
      </w: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br/>
        <w:t>Udalosti, ktoré nastali po dni, ku ktorému sa zostavuje účtovná závierka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43962" w:rsidRPr="00F948D9" w14:paraId="16997A51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0B174407" w14:textId="63483325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Po 31. 12. 20</w:t>
            </w:r>
            <w:r w:rsidR="00B36678">
              <w:rPr>
                <w:rFonts w:eastAsia="Times New Roman" w:cstheme="minorHAnsi"/>
                <w:sz w:val="24"/>
                <w:szCs w:val="24"/>
                <w:lang w:eastAsia="sk-SK"/>
              </w:rPr>
              <w:t>2</w:t>
            </w:r>
            <w:r w:rsidR="00D469C6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do dňa zostavenia účtovnej závierky nenastali žiadne významné skutočnosti, ktoré by ovplyvnili výsledok hospodárenia spoločnosti za rok 20</w:t>
            </w:r>
            <w:r w:rsidR="00D469C6">
              <w:rPr>
                <w:rFonts w:eastAsia="Times New Roman" w:cstheme="minorHAnsi"/>
                <w:sz w:val="24"/>
                <w:szCs w:val="24"/>
                <w:lang w:eastAsia="sk-SK"/>
              </w:rPr>
              <w:t>21</w:t>
            </w: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</w:tr>
    </w:tbl>
    <w:p w14:paraId="18F62AA1" w14:textId="77777777" w:rsidR="00B43962" w:rsidRPr="00F948D9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t>Čl. VII</w:t>
      </w:r>
      <w:r w:rsidRPr="00F948D9">
        <w:rPr>
          <w:rFonts w:eastAsia="Times New Roman" w:cstheme="minorHAnsi"/>
          <w:b/>
          <w:bCs/>
          <w:sz w:val="20"/>
          <w:szCs w:val="20"/>
          <w:lang w:eastAsia="sk-SK"/>
        </w:rPr>
        <w:br/>
        <w:t>Ostatné informácie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43962" w:rsidRPr="00F948D9" w14:paraId="1AF9B8BC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36CE149E" w14:textId="77777777" w:rsidR="00B43962" w:rsidRPr="00F948D9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F948D9">
              <w:rPr>
                <w:rFonts w:eastAsia="Times New Roman" w:cstheme="minorHAnsi"/>
                <w:sz w:val="24"/>
                <w:szCs w:val="24"/>
                <w:lang w:eastAsia="sk-SK"/>
              </w:rPr>
              <w:t>Pre túto časť poznámok spoločnosť nemá obsahovú náplň.</w:t>
            </w:r>
          </w:p>
        </w:tc>
      </w:tr>
    </w:tbl>
    <w:p w14:paraId="7930B4C6" w14:textId="77777777" w:rsidR="00DB6F17" w:rsidRPr="00F948D9" w:rsidRDefault="00B43962" w:rsidP="00F948D9">
      <w:pPr>
        <w:spacing w:before="100" w:beforeAutospacing="1" w:after="100" w:afterAutospacing="1" w:line="240" w:lineRule="auto"/>
        <w:rPr>
          <w:rFonts w:cstheme="minorHAnsi"/>
        </w:rPr>
      </w:pPr>
      <w:r w:rsidRPr="00F948D9">
        <w:rPr>
          <w:rFonts w:eastAsia="Times New Roman" w:cstheme="minorHAnsi"/>
          <w:sz w:val="24"/>
          <w:szCs w:val="24"/>
          <w:lang w:eastAsia="sk-SK"/>
        </w:rPr>
        <w:t> </w:t>
      </w:r>
    </w:p>
    <w:sectPr w:rsidR="00DB6F17" w:rsidRPr="00F948D9" w:rsidSect="00B4396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DAB88" w14:textId="77777777" w:rsidR="00C27F4C" w:rsidRDefault="00C27F4C" w:rsidP="00C27F4C">
      <w:pPr>
        <w:spacing w:after="0" w:line="240" w:lineRule="auto"/>
      </w:pPr>
      <w:r>
        <w:separator/>
      </w:r>
    </w:p>
  </w:endnote>
  <w:endnote w:type="continuationSeparator" w:id="0">
    <w:p w14:paraId="3145456E" w14:textId="77777777" w:rsidR="00C27F4C" w:rsidRDefault="00C27F4C" w:rsidP="00C27F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3FDC6" w14:textId="77777777" w:rsidR="00C27F4C" w:rsidRDefault="00C27F4C" w:rsidP="00C27F4C">
      <w:pPr>
        <w:spacing w:after="0" w:line="240" w:lineRule="auto"/>
      </w:pPr>
      <w:r>
        <w:separator/>
      </w:r>
    </w:p>
  </w:footnote>
  <w:footnote w:type="continuationSeparator" w:id="0">
    <w:p w14:paraId="7FFEBA18" w14:textId="77777777" w:rsidR="00C27F4C" w:rsidRDefault="00C27F4C" w:rsidP="00C27F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DE8F" w14:textId="77777777" w:rsidR="00C27F4C" w:rsidRDefault="00C27F4C" w:rsidP="00C27F4C">
    <w:pPr>
      <w:pStyle w:val="Bezriadkovania"/>
      <w:pBdr>
        <w:bottom w:val="single" w:sz="12" w:space="1" w:color="auto"/>
      </w:pBdr>
    </w:pPr>
    <w:r>
      <w:t>Poznámky Úč POD 3 – 01</w:t>
    </w:r>
    <w:r>
      <w:tab/>
      <w:t xml:space="preserve">                                      IČO: 45483051</w:t>
    </w:r>
    <w:r>
      <w:tab/>
      <w:t xml:space="preserve">                                 DIČ: 2023007525</w:t>
    </w:r>
  </w:p>
  <w:p w14:paraId="50B9C34E" w14:textId="77777777" w:rsidR="00C27F4C" w:rsidRDefault="00C27F4C" w:rsidP="00C27F4C">
    <w:pPr>
      <w:pStyle w:val="Bezriadkovani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43207"/>
    <w:multiLevelType w:val="hybridMultilevel"/>
    <w:tmpl w:val="F9A02C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41E2"/>
    <w:multiLevelType w:val="multilevel"/>
    <w:tmpl w:val="57F4898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85177F"/>
    <w:multiLevelType w:val="hybridMultilevel"/>
    <w:tmpl w:val="4EBA8F26"/>
    <w:lvl w:ilvl="0" w:tplc="2A7093C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A1251E0"/>
    <w:multiLevelType w:val="multilevel"/>
    <w:tmpl w:val="6492C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F6590B"/>
    <w:multiLevelType w:val="hybridMultilevel"/>
    <w:tmpl w:val="B5983270"/>
    <w:lvl w:ilvl="0" w:tplc="B030AC1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0242C0"/>
    <w:multiLevelType w:val="hybridMultilevel"/>
    <w:tmpl w:val="E26AB4FE"/>
    <w:lvl w:ilvl="0" w:tplc="6E0AFEC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212493"/>
    <w:multiLevelType w:val="hybridMultilevel"/>
    <w:tmpl w:val="B3345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8D2DDB"/>
    <w:multiLevelType w:val="multilevel"/>
    <w:tmpl w:val="CCA21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3"/>
  </w:num>
  <w:num w:numId="5">
    <w:abstractNumId w:val="7"/>
  </w:num>
  <w:num w:numId="6">
    <w:abstractNumId w:val="6"/>
  </w:num>
  <w:num w:numId="7">
    <w:abstractNumId w:val="0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962"/>
    <w:rsid w:val="000536D5"/>
    <w:rsid w:val="001D74CB"/>
    <w:rsid w:val="001E762D"/>
    <w:rsid w:val="002F3E5E"/>
    <w:rsid w:val="00641FC1"/>
    <w:rsid w:val="00755401"/>
    <w:rsid w:val="008C0E7B"/>
    <w:rsid w:val="00A3318C"/>
    <w:rsid w:val="00AC08AE"/>
    <w:rsid w:val="00B36678"/>
    <w:rsid w:val="00B43962"/>
    <w:rsid w:val="00C27F4C"/>
    <w:rsid w:val="00D469C6"/>
    <w:rsid w:val="00DB6F17"/>
    <w:rsid w:val="00E12231"/>
    <w:rsid w:val="00E43302"/>
    <w:rsid w:val="00F9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CEBFE5"/>
  <w15:chartTrackingRefBased/>
  <w15:docId w15:val="{970D732D-1C3A-4C2B-90E2-0ABED8F33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5">
    <w:name w:val="heading 5"/>
    <w:basedOn w:val="Normlny"/>
    <w:link w:val="Nadpis5Char"/>
    <w:uiPriority w:val="9"/>
    <w:qFormat/>
    <w:rsid w:val="00B4396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B4396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Vrazn">
    <w:name w:val="Strong"/>
    <w:basedOn w:val="Predvolenpsmoodseku"/>
    <w:uiPriority w:val="22"/>
    <w:qFormat/>
    <w:rsid w:val="00B4396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43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43962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27F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7F4C"/>
  </w:style>
  <w:style w:type="paragraph" w:styleId="Pta">
    <w:name w:val="footer"/>
    <w:basedOn w:val="Normlny"/>
    <w:link w:val="PtaChar"/>
    <w:uiPriority w:val="99"/>
    <w:unhideWhenUsed/>
    <w:rsid w:val="00C27F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7F4C"/>
  </w:style>
  <w:style w:type="paragraph" w:styleId="Bezriadkovania">
    <w:name w:val="No Spacing"/>
    <w:uiPriority w:val="1"/>
    <w:qFormat/>
    <w:rsid w:val="00C27F4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C27F4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27F4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rsid w:val="00C27F4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27F4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4C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41F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F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341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849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6707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danovecentrum.sk/form/goto.ashx?t=26&amp;p=1020274&amp;f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1495</Words>
  <Characters>8525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Rodinka Kuckovci</dc:creator>
  <cp:keywords/>
  <dc:description/>
  <cp:lastModifiedBy>Ladislav Kucko</cp:lastModifiedBy>
  <cp:revision>3</cp:revision>
  <cp:lastPrinted>2020-03-31T08:23:00Z</cp:lastPrinted>
  <dcterms:created xsi:type="dcterms:W3CDTF">2022-03-10T17:42:00Z</dcterms:created>
  <dcterms:modified xsi:type="dcterms:W3CDTF">2022-03-10T17:51:00Z</dcterms:modified>
</cp:coreProperties>
</file>