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glossary/_rels/document.xml.rels" ContentType="application/vnd.openxmlformats-package.relationships+xml"/>
  <Override PartName="/word/glossary/document.xml" ContentType="application/vnd.openxmlformats-officedocument.wordprocessingml.document.glossary+xml"/>
  <Override PartName="/word/glossary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fontTable.xml" ContentType="application/vnd.openxmlformats-officedocument.wordprocessingml.fontTabl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ListParagraph"/>
        <w:ind w:left="426" w:hanging="426"/>
        <w:jc w:val="center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ListParagraph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 - Všeobecné údaje</w:t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I.1</w:t>
        <w:tab/>
        <w:t xml:space="preserve">Názov právnickej osoby </w:t>
      </w:r>
      <w:r>
        <w:rPr>
          <w:rFonts w:cs="Arial" w:ascii="Cambria" w:hAnsi="Cambria"/>
          <w:i/>
        </w:rPr>
        <w:t xml:space="preserve">alebo </w:t>
      </w:r>
      <w:r>
        <w:rPr>
          <w:rFonts w:cs="Arial" w:ascii="Cambria" w:hAnsi="Cambria"/>
          <w:b/>
          <w:i/>
        </w:rPr>
        <w:t>Meno a priezvisko fyzickej osoby</w:t>
      </w:r>
      <w:r>
        <w:rPr>
          <w:rFonts w:cs="Arial" w:ascii="Cambria" w:hAnsi="Cambria"/>
          <w:b/>
        </w:rPr>
        <w:t xml:space="preserve">: </w:t>
      </w:r>
      <w:r>
        <w:fldChar w:fldCharType="begin">
          <w:ffData>
            <w:name w:val="__Fieldmark__38_1037"/>
            <w:enabled/>
            <w:calcOnExit w:val="0"/>
            <w:textInput/>
          </w:ffData>
        </w:fldChar>
      </w:r>
      <w:r>
        <w:rPr>
          <w:b/>
          <w:rFonts w:cs="Arial" w:ascii="Cambria" w:hAnsi="Cambria"/>
        </w:rPr>
        <w:instrText> FORMTEXT </w:instrText>
      </w:r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separate"/>
      </w:r>
      <w:r>
        <w:rPr>
          <w:rFonts w:cs="Arial" w:ascii="Cambria" w:hAnsi="Cambria"/>
          <w:b/>
        </w:rPr>
      </w:r>
      <w:r>
        <w:rPr>
          <w:rFonts w:cs="Arial" w:ascii="Cambria" w:hAnsi="Cambria"/>
          <w:b/>
        </w:rPr>
        <w:t>Bazény kOSEC</w:t>
      </w:r>
      <w:r>
        <w:rPr>
          <w:rFonts w:cs="Arial" w:ascii="Cambria" w:hAnsi="Cambria"/>
          <w:b/>
        </w:rPr>
        <w:t xml:space="preserve"> s.r.o.</w:t>
      </w:r>
      <w:bookmarkStart w:id="0" w:name="Text1911"/>
      <w:r>
        <w:rPr>
          <w:rFonts w:ascii="Cambria" w:hAnsi="Cambria"/>
        </w:rPr>
        <w:t>    </w:t>
      </w:r>
      <w:bookmarkStart w:id="1" w:name="__Fieldmark__26_11409637531"/>
      <w:bookmarkStart w:id="2" w:name="Text191"/>
      <w:bookmarkStart w:id="3" w:name="__Fieldmark__20_12467386711"/>
      <w:bookmarkStart w:id="4" w:name="__Fieldmark__32_12013591221"/>
      <w:bookmarkStart w:id="5" w:name="__Fieldmark__32_1201359122"/>
      <w:bookmarkStart w:id="6" w:name="__Fieldmark__20_1246738671"/>
      <w:bookmarkStart w:id="7" w:name="Text19"/>
      <w:bookmarkStart w:id="8" w:name="__Fieldmark__26_1140963753"/>
      <w:bookmarkStart w:id="9" w:name="__Fieldmark__38_1037778852"/>
      <w:r>
        <w:rPr>
          <w:rFonts w:cs="Arial" w:ascii="Cambria" w:hAnsi="Cambria"/>
          <w:b/>
        </w:rPr>
      </w:r>
      <w:r>
        <w:rPr>
          <w:b/>
          <w:rFonts w:cs="Arial" w:ascii="Cambria" w:hAnsi="Cambria"/>
        </w:rPr>
        <w:fldChar w:fldCharType="end"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 xml:space="preserve">        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ab/>
        <w:t>Sídlo účtovnej jednotky</w:t>
      </w:r>
      <w:r>
        <w:rPr>
          <w:rFonts w:cs="Arial" w:ascii="Cambria" w:hAnsi="Cambria"/>
        </w:rPr>
        <w:t xml:space="preserve">: </w:t>
      </w:r>
      <w:r>
        <w:fldChar w:fldCharType="begin">
          <w:ffData>
            <w:name w:val="__Fieldmark__75_1037"/>
            <w:enabled/>
            <w:calcOnExit w:val="0"/>
            <w:textInput/>
          </w:ffData>
        </w:fldChar>
      </w:r>
      <w:r>
        <w:rPr>
          <w:rFonts w:cs="Arial" w:ascii="Cambria" w:hAnsi="Cambria"/>
        </w:rPr>
        <w:instrText> FORMTEXT </w:instrText>
      </w:r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separate"/>
      </w:r>
      <w:r>
        <w:rPr>
          <w:rFonts w:cs="Arial" w:ascii="Cambria" w:hAnsi="Cambria"/>
        </w:rPr>
      </w:r>
      <w:r>
        <w:rPr>
          <w:rFonts w:cs="Arial" w:ascii="Cambria" w:hAnsi="Cambria"/>
        </w:rPr>
        <w:t xml:space="preserve">Bavlnárska 17, </w:t>
      </w:r>
      <w:bookmarkStart w:id="10" w:name="Text2011"/>
      <w:r>
        <w:rPr>
          <w:rFonts w:ascii="Cambria" w:hAnsi="Cambria"/>
        </w:rPr>
        <w:t> </w:t>
      </w:r>
      <w:r>
        <w:rPr>
          <w:rFonts w:ascii="Cambria" w:hAnsi="Cambria"/>
        </w:rPr>
        <w:t xml:space="preserve">911 05 Trenčín </w:t>
      </w:r>
      <w:r>
        <w:rPr>
          <w:rFonts w:ascii="Cambria" w:hAnsi="Cambria"/>
        </w:rPr>
        <w:t>    </w:t>
      </w:r>
      <w:bookmarkStart w:id="11" w:name="__Fieldmark__51_11409637531"/>
      <w:bookmarkStart w:id="12" w:name="Text201"/>
      <w:bookmarkStart w:id="13" w:name="__Fieldmark__40_12467386711"/>
      <w:bookmarkStart w:id="14" w:name="__Fieldmark__63_12013591221"/>
      <w:bookmarkStart w:id="15" w:name="__Fieldmark__63_1201359122"/>
      <w:bookmarkStart w:id="16" w:name="__Fieldmark__40_1246738671"/>
      <w:bookmarkStart w:id="17" w:name="Text20"/>
      <w:bookmarkStart w:id="18" w:name="__Fieldmark__51_1140963753"/>
      <w:bookmarkStart w:id="19" w:name="__Fieldmark__75_1037778852"/>
      <w:r>
        <w:rPr>
          <w:rFonts w:cs="Arial" w:ascii="Cambria" w:hAnsi="Cambria"/>
        </w:rPr>
      </w:r>
      <w:r>
        <w:rPr>
          <w:rFonts w:cs="Arial" w:ascii="Cambria" w:hAnsi="Cambria"/>
        </w:rPr>
        <w:fldChar w:fldCharType="end"/>
      </w:r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i/>
          <w:i/>
        </w:rPr>
      </w:pPr>
      <w:r>
        <w:rPr>
          <w:rFonts w:cs="Arial" w:ascii="Cambria" w:hAnsi="Cambria"/>
          <w:i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</w:rPr>
        <w:tab/>
      </w:r>
    </w:p>
    <w:p>
      <w:pPr>
        <w:pStyle w:val="Normal"/>
        <w:spacing w:lineRule="auto" w:line="240" w:before="0" w:after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  <w:t>I.2</w:t>
        <w:tab/>
        <w:t>Údaje o konsolidovanom celku, ak je účtovná jednotka jeho súčasťou: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</w:rPr>
      </w:pPr>
      <w:r>
        <w:rPr>
          <w:rFonts w:cs="Arial" w:ascii="Cambria" w:hAnsi="Cambria"/>
          <w:b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jednotkou: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sz w:val="20"/>
          <w:szCs w:val="20"/>
        </w:rPr>
        <w:t>ÚJ nemá náplň pre túto položku. </w:t>
      </w:r>
      <w:r>
        <w:rPr>
          <w:rFonts w:cs="Arial" w:ascii="Cambria" w:hAnsi="Cambria"/>
          <w:b/>
          <w:sz w:val="20"/>
          <w:szCs w:val="20"/>
        </w:rPr>
        <w:t xml:space="preserve">    </w:t>
      </w:r>
      <w:r>
        <w:fldChar w:fldCharType="begin">
          <w:ffData>
            <w:name w:val="__Fieldmark__110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20" w:name="__Fieldmark__92_12013591221"/>
      <w:bookmarkStart w:id="21" w:name="__Fieldmark__92_1201359122"/>
      <w:bookmarkStart w:id="22" w:name="__Fieldmark__60_12467386711"/>
      <w:bookmarkStart w:id="23" w:name="__Fieldmark__60_1246738671"/>
      <w:bookmarkStart w:id="24" w:name="Text5"/>
      <w:bookmarkStart w:id="25" w:name="Text51"/>
      <w:bookmarkStart w:id="26" w:name="__Fieldmark__74_1140963753"/>
      <w:bookmarkStart w:id="27" w:name="__Fieldmark__74_11409637531"/>
      <w:bookmarkStart w:id="28" w:name="__Fieldmark__110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39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29" w:name="__Fieldmark__115_12013591221"/>
      <w:bookmarkStart w:id="30" w:name="__Fieldmark__115_1201359122"/>
      <w:bookmarkStart w:id="31" w:name="__Fieldmark__71_12467386711"/>
      <w:bookmarkStart w:id="32" w:name="__Fieldmark__71_1246738671"/>
      <w:bookmarkStart w:id="33" w:name="Text6"/>
      <w:bookmarkStart w:id="34" w:name="Text61"/>
      <w:bookmarkStart w:id="35" w:name="__Fieldmark__91_1140963753"/>
      <w:bookmarkStart w:id="36" w:name="__Fieldmark__91_11409637531"/>
      <w:bookmarkStart w:id="37" w:name="__Fieldmark__139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</w:p>
    <w:p>
      <w:pPr>
        <w:pStyle w:val="Normal"/>
        <w:spacing w:before="0" w:after="0"/>
        <w:ind w:left="426" w:hanging="426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jc w:val="both"/>
        <w:rPr>
          <w:rFonts w:ascii="Cambria" w:hAnsi="Cambria" w:cs="Arial"/>
          <w:b/>
          <w:b/>
          <w:sz w:val="20"/>
          <w:szCs w:val="20"/>
        </w:rPr>
      </w:pPr>
      <w:r>
        <w:rPr>
          <w:rFonts w:cs="Arial" w:ascii="Cambria" w:hAnsi="Cambria"/>
          <w:b/>
          <w:sz w:val="20"/>
          <w:szCs w:val="20"/>
        </w:rPr>
        <w:t xml:space="preserve">b)    </w:t>
      </w:r>
      <w:r>
        <w:rPr>
          <w:rFonts w:cs="Arial" w:ascii="Cambria" w:hAnsi="Cambria"/>
          <w:sz w:val="20"/>
          <w:szCs w:val="20"/>
        </w:rPr>
        <w:t>A.</w:t>
      </w:r>
      <w:r>
        <w:rPr>
          <w:rFonts w:cs="Arial" w:ascii="Cambria" w:hAnsi="Cambria"/>
          <w:b/>
          <w:sz w:val="20"/>
          <w:szCs w:val="20"/>
        </w:rPr>
        <w:t xml:space="preserve">    </w:t>
      </w:r>
      <w:r>
        <w:rPr>
          <w:rFonts w:cs="Arial" w:ascii="Cambria" w:hAnsi="Cambria"/>
          <w:sz w:val="20"/>
          <w:szCs w:val="20"/>
        </w:rPr>
        <w:t xml:space="preserve">je </w:t>
      </w:r>
      <w:r>
        <w:rPr>
          <w:rFonts w:cs="Arial" w:ascii="Cambria" w:hAnsi="Cambria"/>
          <w:b/>
          <w:sz w:val="20"/>
          <w:szCs w:val="20"/>
        </w:rPr>
        <w:t xml:space="preserve"> </w:t>
      </w:r>
      <w:r>
        <w:rPr>
          <w:rFonts w:cs="Arial" w:ascii="Cambria" w:hAnsi="Cambria"/>
          <w:sz w:val="20"/>
          <w:szCs w:val="20"/>
        </w:rPr>
        <w:t>účtovná jednotka  materskou účtovnou jednotkou</w:t>
      </w:r>
      <w:r>
        <w:rPr>
          <w:rFonts w:cs="Arial" w:ascii="Cambria" w:hAnsi="Cambria"/>
          <w:b/>
          <w:sz w:val="20"/>
          <w:szCs w:val="20"/>
        </w:rPr>
        <w:t xml:space="preserve">: </w:t>
      </w:r>
      <w:sdt>
        <w:sdtPr>
          <w:alias w:val=""/>
          <w:dropDownList w:lastValue="2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nie</w:t>
          </w:r>
        </w:sdtContent>
      </w:sdt>
    </w:p>
    <w:p>
      <w:pPr>
        <w:pStyle w:val="ListParagraph"/>
        <w:numPr>
          <w:ilvl w:val="0"/>
          <w:numId w:val="2"/>
        </w:numPr>
        <w:spacing w:lineRule="auto" w:line="240" w:before="0" w:after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  <w:t xml:space="preserve">je materská účtovná jednotka oslobodená od povinnosti zostaviť konsolidovanú účtovnú závierku a </w:t>
      </w:r>
      <w:r>
        <w:rPr>
          <w:rFonts w:cs="Arial" w:ascii="Cambria" w:hAnsi="Cambria" w:asciiTheme="majorHAnsi" w:hAnsiTheme="majorHAnsi"/>
          <w:sz w:val="20"/>
          <w:szCs w:val="20"/>
        </w:rPr>
        <w:t>konsolidovanú výročnú správu podľa § 22 zákona o účtovníctve a to:</w:t>
      </w:r>
    </w:p>
    <w:p>
      <w:pPr>
        <w:pStyle w:val="ListParagraph"/>
        <w:spacing w:lineRule="auto" w:line="240" w:before="0" w:after="0"/>
        <w:ind w:left="851" w:hanging="0"/>
        <w:contextualSpacing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bookmarkStart w:id="38" w:name="__DdeLink__1325_1810541364"/>
      <w:bookmarkEnd w:id="38"/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  <w:bookmarkStart w:id="39" w:name="__DdeLink__1325_18105413641"/>
      <w:bookmarkStart w:id="40" w:name="__DdeLink__1325_18105413641"/>
      <w:bookmarkEnd w:id="40"/>
    </w:p>
    <w:p>
      <w:pPr>
        <w:pStyle w:val="Normal"/>
        <w:spacing w:lineRule="auto" w:line="240" w:before="0" w:after="0"/>
        <w:ind w:left="426" w:hanging="0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186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41" w:name="__Fieldmark__156_12013591221"/>
      <w:bookmarkStart w:id="42" w:name="__Fieldmark__156_1201359122"/>
      <w:bookmarkStart w:id="43" w:name="__Fieldmark__100_12467386711"/>
      <w:bookmarkStart w:id="44" w:name="__Fieldmark__100_1246738671"/>
      <w:bookmarkStart w:id="45" w:name="__Fieldmark__170_1810541364"/>
      <w:bookmarkStart w:id="46" w:name="__Fieldmark__170_18105413641"/>
      <w:bookmarkStart w:id="47" w:name="__Fieldmark__126_1140963753"/>
      <w:bookmarkStart w:id="48" w:name="__Fieldmark__126_11409637531"/>
      <w:bookmarkStart w:id="49" w:name="__Fieldmark__186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>
      <w:pPr>
        <w:pStyle w:val="Normal"/>
        <w:spacing w:before="0" w:after="0"/>
        <w:jc w:val="both"/>
        <w:rPr/>
      </w:pPr>
      <w:r>
        <w:rPr>
          <w:rFonts w:cs="Arial" w:ascii="Cambria" w:hAnsi="Cambria"/>
          <w:b/>
          <w:sz w:val="20"/>
          <w:szCs w:val="20"/>
        </w:rPr>
        <w:t xml:space="preserve"> </w:t>
      </w:r>
      <w:r>
        <w:fldChar w:fldCharType="begin">
          <w:ffData>
            <w:name w:val="__Fieldmark__215_103"/>
            <w:enabled/>
            <w:calcOnExit w:val="0"/>
            <w:textInput/>
          </w:ffData>
        </w:fldChar>
      </w:r>
      <w:r>
        <w:rPr>
          <w:sz w:val="20"/>
          <w:b/>
          <w:szCs w:val="20"/>
          <w:rFonts w:cs="Arial" w:ascii="Cambria" w:hAnsi="Cambria"/>
        </w:rPr>
        <w:instrText> FORMTEXT </w:instrText>
      </w:r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separate"/>
      </w:r>
      <w:r>
        <w:rPr>
          <w:rFonts w:cs="Arial" w:ascii="Cambria" w:hAnsi="Cambria"/>
          <w:b/>
          <w:sz w:val="20"/>
          <w:szCs w:val="20"/>
        </w:rPr>
      </w:r>
      <w:bookmarkStart w:id="50" w:name="__Fieldmark__179_12013591221"/>
      <w:bookmarkStart w:id="51" w:name="__Fieldmark__179_1201359122"/>
      <w:bookmarkStart w:id="52" w:name="__Fieldmark__111_12467386711"/>
      <w:bookmarkStart w:id="53" w:name="__Fieldmark__111_1246738671"/>
      <w:bookmarkStart w:id="54" w:name="__Fieldmark__179_1810541364"/>
      <w:bookmarkStart w:id="55" w:name="__Fieldmark__179_18105413641"/>
      <w:bookmarkStart w:id="56" w:name="__Fieldmark__143_1140963753"/>
      <w:bookmarkStart w:id="57" w:name="__Fieldmark__143_11409637531"/>
      <w:bookmarkStart w:id="58" w:name="__Fieldmark__215_1037778852"/>
      <w:r>
        <w:rPr>
          <w:rFonts w:cs="Arial" w:ascii="Cambria" w:hAnsi="Cambria"/>
          <w:b/>
          <w:sz w:val="20"/>
          <w:szCs w:val="20"/>
        </w:rPr>
      </w:r>
      <w:r>
        <w:rPr>
          <w:sz w:val="20"/>
          <w:b/>
          <w:szCs w:val="20"/>
          <w:rFonts w:cs="Arial" w:ascii="Cambria" w:hAnsi="Cambria"/>
        </w:rPr>
        <w:fldChar w:fldCharType="end"/>
      </w:r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</w:p>
    <w:p>
      <w:pPr>
        <w:pStyle w:val="Normal"/>
        <w:spacing w:before="0" w:after="0"/>
        <w:jc w:val="both"/>
        <w:rPr>
          <w:rFonts w:ascii="Cambria" w:hAnsi="Cambria" w:cs="Arial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/>
      </w:pPr>
      <w:r>
        <w:rPr>
          <w:rFonts w:cs="Arial" w:ascii="Cambria" w:hAnsi="Cambria"/>
          <w:b/>
        </w:rPr>
        <w:t>I.3</w:t>
        <w:tab/>
        <w:t>Informácie o počte zamestnancov:</w:t>
      </w:r>
    </w:p>
    <w:p>
      <w:pPr>
        <w:pStyle w:val="ListParagraph"/>
        <w:spacing w:lineRule="auto" w:line="240" w:before="0" w:after="0"/>
        <w:ind w:left="426" w:hanging="426"/>
        <w:contextualSpacing/>
        <w:jc w:val="both"/>
        <w:rPr>
          <w:rFonts w:ascii="Cambria" w:hAnsi="Cambria" w:cs="Arial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253"/>
        <w:gridCol w:w="2381"/>
        <w:gridCol w:w="2381"/>
      </w:tblGrid>
      <w:tr>
        <w:trPr/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Názov položky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Bežné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Bezprostredne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predchádzajúce</w:t>
            </w:r>
          </w:p>
          <w:p>
            <w:pPr>
              <w:pStyle w:val="Normal"/>
              <w:widowControl/>
              <w:spacing w:lineRule="auto" w:line="240" w:before="0" w:after="0"/>
              <w:ind w:left="426" w:hanging="426"/>
              <w:jc w:val="center"/>
              <w:rPr>
                <w:rFonts w:ascii="Cambria" w:hAnsi="Cambria" w:cs="Arial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0"/>
                <w:lang w:val="sk-SK" w:eastAsia="en-US" w:bidi="ar-SA"/>
              </w:rPr>
              <w:t>účtovné obdobie</w:t>
            </w:r>
          </w:p>
        </w:tc>
      </w:tr>
      <w:tr>
        <w:trPr>
          <w:trHeight w:val="378" w:hRule="atLeast"/>
        </w:trPr>
        <w:tc>
          <w:tcPr>
            <w:tcW w:w="425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1"/>
              <w:jc w:val="left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0"/>
                <w:lang w:val="sk-SK" w:eastAsia="en-US" w:bidi="ar-SA"/>
              </w:rPr>
              <w:t>Priemerný prepočítaný počet zamestnancov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b/>
                <w:kern w:val="0"/>
                <w:sz w:val="24"/>
                <w:szCs w:val="24"/>
                <w:lang w:val="sk-SK" w:eastAsia="en-US" w:bidi="ar-SA"/>
              </w:rPr>
              <w:t xml:space="preserve">   </w:t>
            </w:r>
            <w:r>
              <w:rPr>
                <w:rFonts w:eastAsia="Calibri" w:cs="Arial" w:ascii="Cambria" w:hAnsi="Cambria"/>
                <w:b/>
                <w:color w:val="00000A"/>
                <w:kern w:val="0"/>
                <w:sz w:val="24"/>
                <w:szCs w:val="24"/>
                <w:lang w:val="sk-SK" w:eastAsia="en-US" w:bidi="ar-SA"/>
              </w:rPr>
              <w:t>0</w:t>
            </w:r>
          </w:p>
        </w:tc>
        <w:tc>
          <w:tcPr>
            <w:tcW w:w="238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 w:asciiTheme="majorHAnsi" w:hAnsiTheme="majorHAnsi"/>
          <w:b/>
          <w:sz w:val="24"/>
          <w:szCs w:val="24"/>
        </w:rPr>
        <w:t>Článok II – Informácie o prijatých postupoch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1 Informácia o splnení predpokladu nepretržitého pokračovania činnosti účtovnej jednotky: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</w:rPr>
      </w:pPr>
      <w:r>
        <w:rPr>
          <w:rFonts w:cs="Arial" w:ascii="Cambria" w:hAnsi="Cambria" w:asciiTheme="majorHAnsi" w:hAnsiTheme="majorHAnsi"/>
        </w:rPr>
        <w:t xml:space="preserve">Účtovná jednotka bude nepretržite pokračovať vo svojej činnosti: </w:t>
      </w:r>
      <w:sdt>
        <w:sdtPr>
          <w:alias w:val=""/>
          <w:dropDownList w:lastValue="1">
            <w:listItem w:value="vyberte" w:displayText="vyberte"/>
            <w:listItem w:value="áno" w:displayText="áno"/>
            <w:listItem w:value="nie" w:displayText="nie"/>
          </w:dropDownList>
        </w:sdtPr>
        <w:sdtContent>
          <w:r>
            <w:rPr/>
          </w:r>
          <w:r>
            <w:t>áno</w:t>
          </w:r>
        </w:sdtContent>
      </w:sdt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/>
          <w:b/>
          <w:b/>
          <w:i/>
          <w:i/>
          <w:sz w:val="20"/>
          <w:szCs w:val="20"/>
        </w:rPr>
      </w:pPr>
      <w:r>
        <w:rPr>
          <w:rFonts w:eastAsia="MS Gothic" w:cs="Arial" w:ascii="Cambria" w:hAnsi="Cambria"/>
          <w:b/>
          <w:i/>
          <w:sz w:val="20"/>
          <w:szCs w:val="20"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 xml:space="preserve">II. 2 </w:t>
      </w:r>
      <w:r>
        <w:rPr>
          <w:rFonts w:eastAsia="MS Gothic" w:cs="Arial" w:ascii="Cambria" w:hAnsi="Cambria" w:asciiTheme="majorHAnsi" w:hAnsiTheme="majorHAnsi"/>
          <w:b/>
        </w:rPr>
        <w:t xml:space="preserve">Spôsob oceňovania jednotlivých zložiek majetku a záväzkov: 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4621"/>
        <w:gridCol w:w="2064"/>
        <w:gridCol w:w="2269"/>
      </w:tblGrid>
      <w:tr>
        <w:trPr/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majetku/záväzkov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Spôsob ocenenia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Náklady spojené</w:t>
            </w:r>
          </w:p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 obstaraním</w:t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nehmotný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hmotný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eastAsia="Calibri"/>
                <w:kern w:val="0"/>
                <w:lang w:val="sk-SK" w:eastAsia="en-US" w:bidi="ar-SA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Dlhodobý 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obstarané kúpou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Zásoby vytvorené vlastnou činnosťou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Pohľadávky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Menovitá hodnota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Krátkodobý finančný majetok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Záväzky vrátane rezerv, dlhopisov, pôžičiek a úverov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40" w:hRule="atLeast"/>
        </w:trPr>
        <w:tc>
          <w:tcPr>
            <w:tcW w:w="4621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Derivátové operácie</w:t>
            </w:r>
          </w:p>
        </w:tc>
        <w:tc>
          <w:tcPr>
            <w:tcW w:w="206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i/>
                <w:i/>
                <w:sz w:val="20"/>
                <w:szCs w:val="20"/>
              </w:rPr>
            </w:pPr>
            <w:r>
              <w:rPr>
                <w:rFonts w:eastAsia="Calibri" w:cs="Arial" w:ascii="Cambria" w:hAnsi="Cambria"/>
                <w:i/>
                <w:kern w:val="0"/>
                <w:sz w:val="20"/>
                <w:szCs w:val="20"/>
                <w:lang w:val="sk-SK" w:eastAsia="en-US" w:bidi="ar-SA"/>
              </w:rPr>
              <w:t>ÚJ neobstarávala</w:t>
            </w:r>
          </w:p>
        </w:tc>
        <w:tc>
          <w:tcPr>
            <w:tcW w:w="2269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ListParagraph"/>
        <w:spacing w:lineRule="auto" w:line="240" w:before="0" w:after="0"/>
        <w:ind w:left="0" w:hanging="0"/>
        <w:contextualSpacing/>
        <w:jc w:val="both"/>
        <w:rPr>
          <w:rFonts w:ascii="Cambria" w:hAnsi="Cambria" w:cs="Arial" w:asciiTheme="majorHAnsi" w:hAnsiTheme="majorHAnsi"/>
        </w:rPr>
      </w:pPr>
      <w:r>
        <w:rPr>
          <w:rFonts w:eastAsia="MS Gothic" w:cs="Arial" w:ascii="Cambria" w:hAnsi="Cambria" w:asciiTheme="majorHAnsi" w:hAnsiTheme="majorHAnsi"/>
          <w:b/>
        </w:rPr>
        <w:t>II. 3 Spôsob zostavenia odpisového plánu dlhodobého majetku</w:t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157"/>
        <w:gridCol w:w="2273"/>
        <w:gridCol w:w="2260"/>
        <w:gridCol w:w="2263"/>
      </w:tblGrid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majetku</w:t>
            </w:r>
          </w:p>
        </w:tc>
        <w:tc>
          <w:tcPr>
            <w:tcW w:w="227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Doba odpisovania</w:t>
            </w:r>
          </w:p>
        </w:tc>
        <w:tc>
          <w:tcPr>
            <w:tcW w:w="2260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Sadzba odpisov</w:t>
            </w:r>
          </w:p>
        </w:tc>
        <w:tc>
          <w:tcPr>
            <w:tcW w:w="226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Odpisová metóda</w:t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157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7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0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263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sdt>
        <w:sdtPr>
          <w:id w:val="885180969"/>
        </w:sdtPr>
        <w:sdtContent>
          <w:r>
            <w:rPr>
              <w:rFonts w:eastAsia="MS Mincho" w:cs="MS Mincho" w:ascii="MS Mincho" w:hAnsi="MS Mincho"/>
              <w:b/>
            </w:rPr>
            <w:t>☐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nehmotného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zostavený účtovnou jednotkou vychádza z predpokladanej doby použiteľnosti dlhodobého nehmotného majetku a/alebo iných objektívnych predpokladov (uviesť)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eastAsia="MS Gothic" w:cs="Arial" w:ascii="Cambria" w:hAnsi="Cambria" w:asciiTheme="majorHAnsi" w:hAnsiTheme="majorHAnsi"/>
          <w:sz w:val="20"/>
          <w:szCs w:val="20"/>
        </w:rPr>
        <w:t>     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/>
      </w:pPr>
      <w:sdt>
        <w:sdtPr>
          <w:id w:val="65101451"/>
        </w:sdtPr>
        <w:sdtContent>
          <w:r>
            <w:rPr>
              <w:rFonts w:eastAsia="MS Mincho" w:cs="MS Mincho" w:ascii="MS Mincho" w:hAnsi="MS Mincho"/>
              <w:b/>
            </w:rPr>
            <w:t>x</w:t>
          </w:r>
        </w:sdtContent>
      </w:sdt>
      <w:r>
        <w:rPr>
          <w:rFonts w:eastAsia="MS Gothic" w:cs="Arial" w:ascii="Cambria" w:hAnsi="Cambria" w:asciiTheme="majorHAnsi" w:hAnsiTheme="majorHAnsi"/>
          <w:b/>
        </w:rPr>
        <w:tab/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Odpisový plán účtovných odpisov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dlhodobého hmotného majetku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 xml:space="preserve"> bol zostavený účtovnou jednotkou interným predpisom tak, že za základ odhadu miery opotrebenia dlhodobého hmotného majetku vzal metódy používané pri vyčísľovaní daňových odpisov. Odpisové sadzby pre účtovné a daňové odpisy </w:t>
      </w: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sa rovnajú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. Ročný účtovný odpis sa môže odlišovať od daňového podľa počtu mesiacov od zaradenia majetku do konca roka.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 xml:space="preserve">Dodatočné informácie k tvorbe odpisového plánu: </w:t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4  Zmeny účtovných zásad a metód:</w:t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>Účtovné zásady a metódy boli účtovnou jednotkou konzistentne aplikované v rámci platného zákona o účtovníctve.</w:t>
      </w:r>
    </w:p>
    <w:p>
      <w:pPr>
        <w:pStyle w:val="Normal"/>
        <w:spacing w:lineRule="auto" w:line="240"/>
        <w:jc w:val="both"/>
        <w:rPr>
          <w:rFonts w:ascii="Cambria" w:hAnsi="Cambria" w:cs="Arial" w:asciiTheme="majorHAnsi" w:hAnsiTheme="majorHAnsi"/>
          <w:i/>
          <w:i/>
          <w:sz w:val="20"/>
          <w:szCs w:val="20"/>
        </w:rPr>
      </w:pPr>
      <w:r>
        <w:rPr>
          <w:rFonts w:cs="Arial" w:ascii="Cambria" w:hAnsi="Cambria"/>
          <w:i/>
          <w:sz w:val="20"/>
          <w:szCs w:val="20"/>
        </w:rPr>
      </w:r>
    </w:p>
    <w:p>
      <w:pPr>
        <w:pStyle w:val="Normal"/>
        <w:spacing w:lineRule="auto" w:line="240"/>
        <w:ind w:left="426" w:hanging="426"/>
        <w:jc w:val="both"/>
        <w:rPr>
          <w:rFonts w:ascii="Cambria" w:hAnsi="Cambria" w:cs="Arial" w:asciiTheme="majorHAnsi" w:hAnsiTheme="majorHAnsi"/>
          <w:sz w:val="20"/>
          <w:szCs w:val="20"/>
        </w:rPr>
      </w:pPr>
      <w:r>
        <w:rPr>
          <w:rFonts w:cs="Arial" w:ascii="Cambria" w:hAnsi="Cambria" w:asciiTheme="majorHAnsi" w:hAnsiTheme="majorHAnsi"/>
          <w:sz w:val="20"/>
          <w:szCs w:val="20"/>
        </w:rPr>
        <w:t xml:space="preserve">Účtovné metódy a zásady boli aplikované v rámci platného ZoÚ,  s nasledovnými osobitosťami: </w:t>
      </w:r>
    </w:p>
    <w:tbl>
      <w:tblPr>
        <w:tblStyle w:val="Mriekatabuky"/>
        <w:tblW w:w="901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835"/>
        <w:gridCol w:w="2976"/>
        <w:gridCol w:w="3204"/>
      </w:tblGrid>
      <w:tr>
        <w:trPr/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zmeny zásady</w:t>
            </w:r>
          </w:p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alebo metódy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Dôvod zmeny</w:t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34" w:hanging="34"/>
              <w:jc w:val="center"/>
              <w:rPr>
                <w:rFonts w:ascii="Cambria" w:hAnsi="Cambria" w:cs="Arial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4"/>
                <w:szCs w:val="24"/>
              </w:rPr>
            </w:pPr>
            <w:r>
              <w:rPr>
                <w:rFonts w:eastAsia="Calibri" w:cs="Arial" w:ascii="Cambria" w:hAnsi="Cambria"/>
                <w:kern w:val="0"/>
                <w:sz w:val="24"/>
                <w:szCs w:val="24"/>
                <w:lang w:val="sk-SK" w:eastAsia="en-US" w:bidi="ar-SA"/>
              </w:rPr>
              <w:t>Bezo zmeny</w:t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835" w:type="dxa"/>
            <w:tcBorders/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976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204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ind w:left="426" w:hanging="426"/>
              <w:jc w:val="both"/>
              <w:rPr>
                <w:rFonts w:ascii="Cambria" w:hAnsi="Cambria" w:cs="Arial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Calibri" w:cs="Arial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5 Dotácie poskytnuté na obstaranie majetku: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5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15"/>
        <w:gridCol w:w="3023"/>
        <w:gridCol w:w="3017"/>
      </w:tblGrid>
      <w:tr>
        <w:trPr>
          <w:trHeight w:val="394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Majetok obstaraný z dotácie</w:t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Ocenenie majetku </w:t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Výška dotácie</w:t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1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3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1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 w:before="240" w:after="200"/>
        <w:ind w:left="426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 w:asciiTheme="majorHAnsi" w:hAnsiTheme="majorHAnsi"/>
          <w:b/>
        </w:rPr>
        <w:t>II. 6 Oprava významných a nevýznamných chýb minulých účtovných období vykonaných v bežnom účtovnom období:</w:t>
      </w:r>
    </w:p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sz w:val="20"/>
          <w:szCs w:val="20"/>
        </w:rPr>
      </w:pPr>
      <w:r>
        <w:rPr>
          <w:rFonts w:eastAsia="MS Gothic" w:cs="Arial" w:ascii="Cambria" w:hAnsi="Cambria"/>
          <w:sz w:val="20"/>
          <w:szCs w:val="20"/>
        </w:rPr>
      </w:r>
    </w:p>
    <w:tbl>
      <w:tblPr>
        <w:tblStyle w:val="Mriekatabuky"/>
        <w:tblW w:w="8954" w:type="dxa"/>
        <w:jc w:val="left"/>
        <w:tblInd w:w="88" w:type="dxa"/>
        <w:tblLayout w:type="fixed"/>
        <w:tblCellMar>
          <w:top w:w="0" w:type="dxa"/>
          <w:left w:w="88" w:type="dxa"/>
          <w:bottom w:w="0" w:type="dxa"/>
          <w:right w:w="108" w:type="dxa"/>
        </w:tblCellMar>
        <w:tblLook w:val="04a0"/>
      </w:tblPr>
      <w:tblGrid>
        <w:gridCol w:w="2925"/>
        <w:gridCol w:w="3007"/>
        <w:gridCol w:w="3022"/>
      </w:tblGrid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Druh opravy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Suma</w:t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>Popis chyby a vplyvu opravy na nerozdelený VH, resp. VH bežného ú. o.</w:t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397" w:hRule="atLeast"/>
        </w:trPr>
        <w:tc>
          <w:tcPr>
            <w:tcW w:w="2925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left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Oprava </w:t>
            </w:r>
            <w:r>
              <w:rPr>
                <w:rFonts w:eastAsia="Calibri" w:cs="Arial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nevýznamných</w:t>
            </w:r>
            <w:r>
              <w:rPr>
                <w:rFonts w:eastAsia="Calibri" w:cs="Arial" w:ascii="Cambria" w:hAnsi="Cambria" w:asciiTheme="majorHAnsi" w:hAnsiTheme="majorHAnsi"/>
                <w:kern w:val="0"/>
                <w:sz w:val="20"/>
                <w:szCs w:val="20"/>
                <w:lang w:val="sk-SK" w:eastAsia="en-US" w:bidi="ar-SA"/>
              </w:rPr>
              <w:t xml:space="preserve"> chýb minulých účtovných období</w:t>
            </w:r>
          </w:p>
        </w:tc>
        <w:tc>
          <w:tcPr>
            <w:tcW w:w="3007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022" w:type="dxa"/>
            <w:tcBorders/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cs="Arial" w:asciiTheme="majorHAnsi" w:hAnsiTheme="majorHAnsi"/>
                <w:sz w:val="20"/>
                <w:szCs w:val="20"/>
              </w:rPr>
            </w:pPr>
            <w:r>
              <w:rPr>
                <w:rFonts w:eastAsia="Calibri" w:cs="Arial" w:ascii="Cambria" w:hAnsi="Cambria"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cs="Arial" w:asciiTheme="majorHAnsi" w:hAnsiTheme="majorHAnsi"/>
          <w:b/>
          <w:b/>
        </w:rPr>
      </w:pPr>
      <w:r>
        <w:rPr>
          <w:rFonts w:cs="Arial" w:ascii="Cambria" w:hAnsi="Cambria"/>
          <w:b/>
        </w:rPr>
      </w:r>
    </w:p>
    <w:p>
      <w:pPr>
        <w:pStyle w:val="Normal"/>
        <w:spacing w:lineRule="auto" w:line="240" w:before="0" w:after="0"/>
        <w:ind w:left="426" w:hanging="426"/>
        <w:jc w:val="both"/>
        <w:rPr>
          <w:rFonts w:ascii="Cambria" w:hAnsi="Cambria" w:cs="Arial" w:asciiTheme="majorHAnsi" w:hAnsiTheme="majorHAnsi"/>
          <w:b/>
          <w:b/>
          <w:sz w:val="24"/>
          <w:szCs w:val="24"/>
        </w:rPr>
      </w:pPr>
      <w:r>
        <w:rPr>
          <w:rFonts w:cs="Arial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 w:asciiTheme="majorHAnsi" w:hAnsiTheme="majorHAnsi"/>
          <w:b/>
          <w:sz w:val="24"/>
          <w:szCs w:val="24"/>
        </w:rPr>
        <w:t xml:space="preserve">III. 2 </w:t>
      </w:r>
      <w:r>
        <w:rPr>
          <w:rFonts w:eastAsia="MS Gothic" w:cs="Times New Roman" w:ascii="Cambria" w:hAnsi="Cambria" w:asciiTheme="majorHAnsi" w:hAnsiTheme="majorHAnsi"/>
          <w:b/>
        </w:rPr>
        <w:t>Informácie o záväzkoch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2 b) Hodnota záväzkov zabezpečená záložným právom:</w:t>
      </w:r>
    </w:p>
    <w:tbl>
      <w:tblPr>
        <w:tblStyle w:val="Mriekatabuky"/>
        <w:tblW w:w="9042" w:type="dxa"/>
        <w:jc w:val="left"/>
        <w:tblInd w:w="-20" w:type="dxa"/>
        <w:tblLayout w:type="fixed"/>
        <w:tblCellMar>
          <w:top w:w="0" w:type="dxa"/>
          <w:left w:w="38" w:type="dxa"/>
          <w:bottom w:w="0" w:type="dxa"/>
          <w:right w:w="108" w:type="dxa"/>
        </w:tblCellMar>
        <w:tblLook w:val="04a0"/>
      </w:tblPr>
      <w:tblGrid>
        <w:gridCol w:w="3387"/>
        <w:gridCol w:w="3118"/>
        <w:gridCol w:w="2537"/>
      </w:tblGrid>
      <w:tr>
        <w:trPr/>
        <w:tc>
          <w:tcPr>
            <w:tcW w:w="3387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Hodnota záväzku zabezpečená</w:t>
            </w:r>
          </w:p>
        </w:tc>
      </w:tr>
      <w:tr>
        <w:trPr/>
        <w:tc>
          <w:tcPr>
            <w:tcW w:w="3387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Záložným právom</w:t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/>
              <w:spacing w:lineRule="auto" w:line="240" w:before="0" w:after="0"/>
              <w:jc w:val="center"/>
              <w:rPr>
                <w:rFonts w:ascii="Cambria" w:hAnsi="Cambria" w:eastAsia="MS Gothic" w:cs="Times New Roman" w:asciiTheme="majorHAnsi" w:hAnsiTheme="majorHAnsi"/>
                <w:b/>
                <w:b/>
                <w:sz w:val="20"/>
                <w:szCs w:val="20"/>
              </w:rPr>
            </w:pPr>
            <w:r>
              <w:rPr>
                <w:rFonts w:eastAsia="MS Gothic" w:cs="Times New Roman" w:ascii="Cambria" w:hAnsi="Cambria" w:asciiTheme="majorHAnsi" w:hAnsiTheme="majorHAnsi"/>
                <w:b/>
                <w:kern w:val="0"/>
                <w:sz w:val="20"/>
                <w:szCs w:val="20"/>
                <w:lang w:val="sk-SK" w:eastAsia="en-US" w:bidi="ar-SA"/>
              </w:rPr>
              <w:t>Inou formou zabezpečenia</w:t>
            </w:r>
          </w:p>
        </w:tc>
      </w:tr>
      <w:tr>
        <w:trPr/>
        <w:tc>
          <w:tcPr>
            <w:tcW w:w="3387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/>
        <w:tc>
          <w:tcPr>
            <w:tcW w:w="3387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  <w:tr>
        <w:trPr>
          <w:trHeight w:val="236" w:hRule="atLeast"/>
        </w:trPr>
        <w:tc>
          <w:tcPr>
            <w:tcW w:w="338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  <w:tc>
          <w:tcPr>
            <w:tcW w:w="25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widowControl/>
              <w:spacing w:lineRule="auto" w:line="240" w:before="0" w:after="0"/>
              <w:jc w:val="both"/>
              <w:rPr>
                <w:rFonts w:ascii="Cambria" w:hAnsi="Cambria" w:eastAsia="MS Gothic" w:cs="Times New Roman" w:asciiTheme="majorHAnsi" w:hAnsiTheme="majorHAnsi"/>
                <w:b/>
                <w:b/>
                <w:sz w:val="24"/>
                <w:szCs w:val="24"/>
              </w:rPr>
            </w:pPr>
            <w:r>
              <w:rPr>
                <w:rFonts w:eastAsia="MS Gothic" w:cs="Times New Roman" w:ascii="Cambria" w:hAnsi="Cambria"/>
                <w:b/>
                <w:kern w:val="0"/>
                <w:sz w:val="20"/>
                <w:szCs w:val="22"/>
                <w:lang w:val="sk-SK" w:eastAsia="en-US" w:bidi="ar-SA"/>
              </w:rPr>
            </w:r>
          </w:p>
        </w:tc>
      </w:tr>
    </w:tbl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>III. 4 Informácia o tvorbe kapitálového fondu z príspevkov: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</w:rPr>
        <w:t xml:space="preserve">Účtovná jednotka </w:t>
      </w:r>
      <w:r>
        <w:rPr>
          <w:rFonts w:eastAsia="MS Gothic" w:cs="Times New Roman" w:ascii="Cambria" w:hAnsi="Cambria" w:asciiTheme="majorHAnsi" w:hAnsiTheme="majorHAnsi"/>
          <w:b/>
        </w:rPr>
        <w:t>nevytvorila</w:t>
      </w:r>
      <w:r>
        <w:rPr>
          <w:rFonts w:eastAsia="MS Gothic" w:cs="Times New Roman" w:ascii="Cambria" w:hAnsi="Cambria" w:asciiTheme="majorHAnsi" w:hAnsiTheme="majorHAnsi"/>
        </w:rPr>
        <w:t xml:space="preserve"> v účtovnom období kapitálový fond z príspevkov podľa § 123 odsek 2 a 217a Kapitálový fond z príspevkov Obchodného zákonníka (v znení neskorších predpisov). </w:t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 w:asciiTheme="majorHAnsi" w:hAnsiTheme="majorHAnsi"/>
          <w:b/>
        </w:rPr>
        <w:t xml:space="preserve">III. 5 c) Hlavné podmienky, na základe ktorých boli záruky alebo iné zabezpečenia </w:t>
        <w:tab/>
        <w:t>poskytnuté (pri pôžičkách sa uvádzajú úrokové sadzby):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  <w:r>
        <w:rPr>
          <w:rFonts w:eastAsia="MS Gothic"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240" w:after="200"/>
        <w:ind w:right="-141" w:hanging="0"/>
        <w:jc w:val="both"/>
        <w:rPr>
          <w:rFonts w:ascii="Cambria" w:hAnsi="Cambria" w:eastAsia="MS Gothic" w:cs="Times New Roman" w:asciiTheme="majorHAnsi" w:hAnsiTheme="majorHAnsi"/>
          <w:b/>
          <w:b/>
        </w:rPr>
      </w:pPr>
      <w:r>
        <w:rPr>
          <w:rFonts w:eastAsia="MS Gothic" w:cs="Times New Roman" w:ascii="Cambria" w:hAnsi="Cambria"/>
          <w:b/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Cambria" w:hAnsi="Cambria" w:asciiTheme="majorHAnsi" w:hAnsiTheme="majorHAnsi"/>
          <w:b/>
        </w:rPr>
        <w:t xml:space="preserve">III. 6 e) Opis významných povinností účtovnej jednotky vyplývajúcich z dôchodkových </w:t>
        <w:tab/>
        <w:t>programov pre zamestnancov:</w:t>
      </w:r>
    </w:p>
    <w:p>
      <w:pPr>
        <w:pStyle w:val="Normal"/>
        <w:spacing w:lineRule="auto" w:line="240" w:before="240" w:after="200"/>
        <w:ind w:right="-141" w:hanging="0"/>
        <w:jc w:val="both"/>
        <w:rPr/>
      </w:pPr>
      <w:r>
        <w:rPr>
          <w:rFonts w:eastAsia="MS Gothic" w:cs="Arial" w:ascii="Cambria" w:hAnsi="Cambria" w:asciiTheme="majorHAnsi" w:hAnsiTheme="majorHAnsi"/>
          <w:b/>
          <w:sz w:val="20"/>
          <w:szCs w:val="20"/>
        </w:rPr>
        <w:t>     </w:t>
      </w:r>
    </w:p>
    <w:p>
      <w:pPr>
        <w:pStyle w:val="Normal"/>
        <w:spacing w:before="0" w:after="0"/>
        <w:ind w:left="852" w:hanging="426"/>
        <w:jc w:val="both"/>
        <w:rPr>
          <w:rFonts w:ascii="Cambria" w:hAnsi="Cambria" w:cs="Arial"/>
        </w:rPr>
      </w:pPr>
      <w:r>
        <w:rPr>
          <w:rFonts w:cs="Arial" w:ascii="Cambria" w:hAnsi="Cambria" w:asciiTheme="majorHAnsi" w:hAnsiTheme="majorHAnsi"/>
          <w:sz w:val="20"/>
          <w:szCs w:val="20"/>
        </w:rPr>
        <w:t>ÚJ nemá náplň pre túto položku.</w:t>
      </w:r>
    </w:p>
    <w:p>
      <w:pPr>
        <w:pStyle w:val="Normal"/>
        <w:spacing w:lineRule="auto" w:line="240" w:before="0" w:after="0"/>
        <w:ind w:left="852" w:hanging="426"/>
        <w:jc w:val="both"/>
        <w:rPr>
          <w:rFonts w:ascii="Cambria" w:hAnsi="Cambria" w:asciiTheme="majorHAnsi" w:hAnsiTheme="majorHAnsi"/>
          <w:sz w:val="20"/>
          <w:szCs w:val="20"/>
        </w:rPr>
      </w:pPr>
      <w:r>
        <w:rPr>
          <w:rFonts w:asciiTheme="majorHAnsi" w:hAnsiTheme="majorHAnsi" w:ascii="Cambria" w:hAnsi="Cambria"/>
          <w:sz w:val="20"/>
          <w:szCs w:val="20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Times New Roman" w:asciiTheme="majorHAnsi" w:hAnsiTheme="majorHAnsi"/>
          <w:b/>
          <w:b/>
          <w:sz w:val="24"/>
          <w:szCs w:val="24"/>
        </w:rPr>
      </w:pPr>
      <w:r>
        <w:rPr>
          <w:rFonts w:eastAsia="MS Gothic" w:cs="Times New Roman" w:ascii="Cambria" w:hAnsi="Cambria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Cambria" w:hAnsi="Cambria" w:eastAsia="MS Gothic" w:cs="Arial" w:asciiTheme="majorHAnsi" w:hAnsiTheme="majorHAnsi"/>
          <w:i/>
          <w:i/>
          <w:sz w:val="20"/>
          <w:szCs w:val="20"/>
        </w:rPr>
      </w:pPr>
      <w:r>
        <w:rPr>
          <w:rFonts w:eastAsia="MS Gothic" w:cs="Arial" w:ascii="Cambria" w:hAnsi="Cambria"/>
          <w:i/>
          <w:sz w:val="20"/>
          <w:szCs w:val="20"/>
        </w:rPr>
      </w:r>
    </w:p>
    <w:p>
      <w:pPr>
        <w:pStyle w:val="Normal"/>
        <w:spacing w:lineRule="auto" w:line="240" w:before="240" w:after="200"/>
        <w:jc w:val="both"/>
        <w:rPr>
          <w:rFonts w:ascii="Cambria" w:hAnsi="Cambria" w:eastAsia="MS Gothic" w:cs="Arial" w:asciiTheme="majorHAnsi" w:hAnsiTheme="majorHAnsi"/>
          <w:b/>
          <w:b/>
          <w:sz w:val="20"/>
          <w:szCs w:val="20"/>
        </w:rPr>
      </w:pPr>
      <w:r>
        <w:rPr>
          <w:rFonts w:eastAsia="MS Gothic" w:cs="Arial" w:ascii="Cambria" w:hAnsi="Cambria"/>
          <w:b/>
          <w:sz w:val="20"/>
          <w:szCs w:val="20"/>
        </w:rPr>
      </w:r>
    </w:p>
    <w:p>
      <w:pPr>
        <w:pStyle w:val="Normal"/>
        <w:spacing w:lineRule="auto" w:line="240" w:before="240" w:after="200"/>
        <w:jc w:val="righ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8" w:top="1417" w:footer="708" w:bottom="1417" w:gutter="0"/>
      <w:pgNumType w:fmt="decimal"/>
      <w:formProt w:val="false"/>
      <w:textDirection w:val="lrTb"/>
      <w:docGrid w:type="default" w:linePitch="36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S Mincho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122065989"/>
      <w:alias w:val="Title"/>
    </w:sdtPr>
    <w:sdtContent>
      <w:p>
        <w:pPr>
          <w:pStyle w:val="Pta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3</w:t>
        </w:r>
        <w:r>
          <w:rPr/>
          <w:fldChar w:fldCharType="end"/>
        </w:r>
      </w:p>
    </w:sdtContent>
  </w:sdt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jc w:val="right"/>
      <w:rPr>
        <w:color w:val="365F91" w:themeColor="accent1" w:themeShade="bf"/>
        <w:sz w:val="36"/>
        <w:szCs w:val="36"/>
      </w:rPr>
    </w:pPr>
    <w:r>
      <mc:AlternateContent>
        <mc:Choice Requires="wpg">
          <w:drawing>
            <wp:anchor behindDoc="1" distT="0" distB="0" distL="114300" distR="114300" simplePos="0" locked="0" layoutInCell="0" allowOverlap="1" relativeHeight="6">
              <wp:simplePos x="0" y="0"/>
              <wp:positionH relativeFrom="page">
                <wp:align>left</wp:align>
              </wp:positionH>
              <wp:positionV relativeFrom="paragraph">
                <wp:posOffset>567690</wp:posOffset>
              </wp:positionV>
              <wp:extent cx="4045585" cy="1000125"/>
              <wp:effectExtent l="0" t="0" r="0" b="0"/>
              <wp:wrapNone/>
              <wp:docPr id="1" name="shape_0"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4960" cy="999360"/>
                      </a:xfrm>
                    </wpg:grpSpPr>
                    <wps:wsp>
                      <wps:cNvSpPr/>
                      <wps:spPr>
                        <a:xfrm flipV="1">
                          <a:off x="461160" y="0"/>
                          <a:ext cx="3583800" cy="969120"/>
                        </a:xfrm>
                        <a:prstGeom prst="line">
                          <a:avLst/>
                        </a:prstGeom>
                        <a:ln w="9360">
                          <a:solidFill>
                            <a:srgbClr val="95b3d7"/>
                          </a:solidFill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  <wps:wsp>
                      <wps:cNvSpPr/>
                      <wps:spPr>
                        <a:xfrm>
                          <a:off x="0" y="83160"/>
                          <a:ext cx="1010880" cy="916200"/>
                        </a:xfrm>
                        <a:prstGeom prst="ellipse">
                          <a:avLst/>
                        </a:prstGeom>
                        <a:solidFill>
                          <a:srgbClr val="b6cef0"/>
                        </a:solidFill>
                        <a:ln w="0">
                          <a:noFill/>
                        </a:ln>
                      </wps:spPr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id="shape_0" alt="shape_0" style="position:absolute;margin-left:9pt;margin-top:4.5pt;width:318.45pt;height:78.7pt" coordorigin="180,90" coordsize="6369,1574">
              <v:line id="shape_0" from="907,90" to="6550,1615" stroked="t" style="position:absolute;flip:y;mso-position-horizontal:left;mso-position-horizontal-relative:page">
                <v:stroke color="#95b3d7" weight="9360" joinstyle="round" endcap="flat"/>
                <v:fill o:detectmouseclick="t" on="false"/>
                <w10:wrap type="none"/>
              </v:line>
              <v:oval id="shape_0" fillcolor="#b6cef0" stroked="f" style="position:absolute;left:180;top:221;width:1591;height:1442;mso-wrap-style:none;v-text-anchor:middle;mso-position-horizontal:left;mso-position-horizontal-relative:page">
                <v:fill o:detectmouseclick="t" type="solid" color2="#49310f"/>
                <v:stroke color="#3465a4" joinstyle="round" endcap="flat"/>
              </v:oval>
            </v:group>
          </w:pict>
        </mc:Fallback>
      </mc:AlternateContent>
    </w:r>
    <w:r>
      <w:rPr>
        <w:rFonts w:ascii="Cambria" w:hAnsi="Cambria" w:asciiTheme="majorHAnsi" w:hAnsiTheme="majorHAnsi"/>
        <w:sz w:val="36"/>
        <w:szCs w:val="36"/>
      </w:rPr>
      <w:t>Poznámky Úč MÚJ 3 - 01</w:t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tbl>
    <w:tblPr>
      <w:tblStyle w:val="Mriekatabuky"/>
      <w:tblW w:w="7212" w:type="dxa"/>
      <w:jc w:val="right"/>
      <w:tblInd w:w="0" w:type="dxa"/>
      <w:tblLayout w:type="fixed"/>
      <w:tblCellMar>
        <w:top w:w="0" w:type="dxa"/>
        <w:left w:w="88" w:type="dxa"/>
        <w:bottom w:w="0" w:type="dxa"/>
        <w:right w:w="108" w:type="dxa"/>
      </w:tblCellMar>
      <w:tblLook w:val="04a0"/>
    </w:tblPr>
    <w:tblGrid>
      <w:gridCol w:w="587"/>
      <w:gridCol w:w="308"/>
      <w:gridCol w:w="307"/>
      <w:gridCol w:w="306"/>
      <w:gridCol w:w="307"/>
      <w:gridCol w:w="308"/>
      <w:gridCol w:w="306"/>
      <w:gridCol w:w="307"/>
      <w:gridCol w:w="308"/>
      <w:gridCol w:w="509"/>
      <w:gridCol w:w="588"/>
      <w:gridCol w:w="308"/>
      <w:gridCol w:w="307"/>
      <w:gridCol w:w="306"/>
      <w:gridCol w:w="308"/>
      <w:gridCol w:w="307"/>
      <w:gridCol w:w="306"/>
      <w:gridCol w:w="308"/>
      <w:gridCol w:w="307"/>
      <w:gridCol w:w="306"/>
      <w:gridCol w:w="306"/>
    </w:tblGrid>
    <w:tr>
      <w:trPr>
        <w:trHeight w:val="340" w:hRule="atLeast"/>
      </w:trPr>
      <w:tc>
        <w:tcPr>
          <w:tcW w:w="58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IČO: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5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0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4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509" w:type="dxa"/>
          <w:tcBorders>
            <w:top w:val="nil"/>
            <w:bottom w:val="nil"/>
          </w:tcBorders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/>
              <w:kern w:val="0"/>
              <w:sz w:val="20"/>
              <w:szCs w:val="22"/>
              <w:lang w:val="sk-SK" w:eastAsia="en-US" w:bidi="ar-SA"/>
            </w:rPr>
          </w:r>
        </w:p>
      </w:tc>
      <w:tc>
        <w:tcPr>
          <w:tcW w:w="58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ascii="Cambria" w:hAnsi="Cambria" w:asciiTheme="majorHAnsi" w:hAnsiTheme="majorHAnsi"/>
              <w:sz w:val="20"/>
              <w:szCs w:val="20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DIČ: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2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3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8</w:t>
          </w:r>
        </w:p>
      </w:tc>
      <w:tc>
        <w:tcPr>
          <w:tcW w:w="308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9</w:t>
          </w:r>
        </w:p>
      </w:tc>
      <w:tc>
        <w:tcPr>
          <w:tcW w:w="307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6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  <w:tc>
        <w:tcPr>
          <w:tcW w:w="306" w:type="dxa"/>
          <w:tcBorders/>
          <w:shd w:color="auto" w:fill="auto" w:val="clear"/>
          <w:vAlign w:val="center"/>
        </w:tcPr>
        <w:p>
          <w:pPr>
            <w:pStyle w:val="Zhlavie"/>
            <w:widowControl/>
            <w:spacing w:before="0" w:after="0"/>
            <w:jc w:val="center"/>
            <w:rPr>
              <w:rFonts w:eastAsia="Calibri" w:cs=""/>
              <w:kern w:val="0"/>
              <w:lang w:val="sk-SK" w:eastAsia="en-US" w:bidi="ar-SA"/>
            </w:rPr>
          </w:pPr>
          <w:r>
            <w:rPr>
              <w:rFonts w:eastAsia="Calibri" w:cs="" w:ascii="Cambria" w:hAnsi="Cambria" w:asciiTheme="majorHAnsi" w:hAnsiTheme="majorHAnsi"/>
              <w:kern w:val="0"/>
              <w:sz w:val="20"/>
              <w:szCs w:val="20"/>
              <w:lang w:val="sk-SK" w:eastAsia="en-US" w:bidi="ar-SA"/>
            </w:rPr>
            <w:t>1</w:t>
          </w:r>
        </w:p>
      </w:tc>
    </w:tr>
  </w:tbl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  <w:p>
    <w:pPr>
      <w:pStyle w:val="Zhlavie"/>
      <w:rPr>
        <w:rFonts w:ascii="Cambria" w:hAnsi="Cambria" w:asciiTheme="majorHAnsi" w:hAnsiTheme="majorHAnsi"/>
      </w:rPr>
    </w:pPr>
    <w:r>
      <w:rPr>
        <w:rFonts w:asciiTheme="majorHAnsi" w:hAnsiTheme="majorHAnsi" w:ascii="Cambria" w:hAnsi="Cambria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lowerLetter"/>
      <w:lvlText w:val="%1)"/>
      <w:lvlJc w:val="left"/>
      <w:pPr>
        <w:tabs>
          <w:tab w:val="num" w:pos="0"/>
        </w:tabs>
        <w:ind w:left="3276" w:hanging="360"/>
      </w:pPr>
      <w:rPr>
        <w:sz w:val="20"/>
        <w:b/>
        <w:rFonts w:ascii="Cambria" w:hAnsi="Cambria"/>
      </w:rPr>
    </w:lvl>
    <w:lvl w:ilvl="1">
      <w:start w:val="1"/>
      <w:numFmt w:val="upperLetter"/>
      <w:lvlText w:val="%2."/>
      <w:lvlJc w:val="left"/>
      <w:pPr>
        <w:tabs>
          <w:tab w:val="num" w:pos="0"/>
        </w:tabs>
        <w:ind w:left="3996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4716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5436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6156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6876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7596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8316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9036" w:hanging="180"/>
      </w:pPr>
    </w:lvl>
  </w:abstractNum>
  <w:abstractNum w:abstractNumId="2">
    <w:lvl w:ilvl="0">
      <w:start w:val="2"/>
      <w:numFmt w:val="upperLetter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3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34205b"/>
    <w:pPr>
      <w:widowControl/>
      <w:bidi w:val="0"/>
      <w:spacing w:lineRule="auto" w:line="276" w:before="0" w:after="20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Nadpis1" w:customStyle="1">
    <w:name w:val="Heading 1"/>
    <w:basedOn w:val="Normal"/>
    <w:next w:val="Normal"/>
    <w:link w:val="Heading1Char"/>
    <w:uiPriority w:val="9"/>
    <w:qFormat/>
    <w:rsid w:val="00cc0c09"/>
    <w:pPr>
      <w:keepNext w:val="true"/>
      <w:keepLines/>
      <w:spacing w:before="480" w:after="0"/>
      <w:outlineLvl w:val="0"/>
    </w:pPr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paragraph" w:styleId="Nadpis2" w:customStyle="1">
    <w:name w:val="Heading 2"/>
    <w:basedOn w:val="Normal"/>
    <w:next w:val="Normal"/>
    <w:link w:val="Heading2Char"/>
    <w:uiPriority w:val="9"/>
    <w:unhideWhenUsed/>
    <w:qFormat/>
    <w:rsid w:val="00567bed"/>
    <w:pPr>
      <w:keepNext w:val="true"/>
      <w:keepLines/>
      <w:spacing w:before="200" w:after="0"/>
      <w:outlineLvl w:val="1"/>
    </w:pPr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eaderChar" w:customStyle="1">
    <w:name w:val="Header Char"/>
    <w:basedOn w:val="DefaultParagraphFont"/>
    <w:link w:val="Header"/>
    <w:uiPriority w:val="99"/>
    <w:qFormat/>
    <w:rsid w:val="00f0301d"/>
    <w:rPr/>
  </w:style>
  <w:style w:type="character" w:styleId="FooterChar" w:customStyle="1">
    <w:name w:val="Footer Char"/>
    <w:basedOn w:val="DefaultParagraphFont"/>
    <w:link w:val="Footer"/>
    <w:uiPriority w:val="99"/>
    <w:qFormat/>
    <w:rsid w:val="00f0301d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f0301d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qFormat/>
    <w:rsid w:val="006a748c"/>
    <w:rPr>
      <w:color w:val="808080"/>
    </w:rPr>
  </w:style>
  <w:style w:type="character" w:styleId="Heading1Char" w:customStyle="1">
    <w:name w:val="Heading 1 Char"/>
    <w:basedOn w:val="DefaultParagraphFont"/>
    <w:link w:val="Heading1"/>
    <w:uiPriority w:val="9"/>
    <w:qFormat/>
    <w:rsid w:val="00cc0c09"/>
    <w:rPr>
      <w:rFonts w:ascii="Cambria" w:hAnsi="Cambria" w:eastAsia="" w:cs="" w:asciiTheme="majorHAnsi" w:cstheme="majorBidi" w:eastAsiaTheme="majorEastAsia" w:hAnsiTheme="majorHAnsi"/>
      <w:b/>
      <w:bCs/>
      <w:color w:val="365F91" w:themeColor="accent1" w:themeShade="bf"/>
      <w:sz w:val="28"/>
      <w:szCs w:val="28"/>
    </w:rPr>
  </w:style>
  <w:style w:type="character" w:styleId="ZTopofFormChar" w:customStyle="1">
    <w:name w:val="z-Top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ZBottomofFormChar" w:customStyle="1">
    <w:name w:val="z-Bottom of Form Char"/>
    <w:basedOn w:val="DefaultParagraphFont"/>
    <w:uiPriority w:val="99"/>
    <w:semiHidden/>
    <w:qFormat/>
    <w:rsid w:val="00361862"/>
    <w:rPr>
      <w:rFonts w:ascii="Arial" w:hAnsi="Arial" w:cs="Arial"/>
      <w:vanish/>
      <w:sz w:val="16"/>
      <w:szCs w:val="16"/>
    </w:rPr>
  </w:style>
  <w:style w:type="character" w:styleId="Annotationreference">
    <w:name w:val="annotation reference"/>
    <w:basedOn w:val="DefaultParagraphFont"/>
    <w:uiPriority w:val="99"/>
    <w:semiHidden/>
    <w:unhideWhenUsed/>
    <w:qFormat/>
    <w:rsid w:val="00c93dc7"/>
    <w:rPr>
      <w:sz w:val="16"/>
      <w:szCs w:val="16"/>
    </w:rPr>
  </w:style>
  <w:style w:type="character" w:styleId="TextkomentraChar" w:customStyle="1">
    <w:name w:val="Text komentára Char"/>
    <w:basedOn w:val="DefaultParagraphFont"/>
    <w:link w:val="Textkomentra"/>
    <w:uiPriority w:val="99"/>
    <w:semiHidden/>
    <w:qFormat/>
    <w:rsid w:val="00c93dc7"/>
    <w:rPr>
      <w:sz w:val="20"/>
      <w:szCs w:val="20"/>
    </w:rPr>
  </w:style>
  <w:style w:type="character" w:styleId="PredmetkomentraChar" w:customStyle="1">
    <w:name w:val="Predmet komentára Char"/>
    <w:basedOn w:val="TextkomentraChar"/>
    <w:link w:val="Predmetkomentra"/>
    <w:uiPriority w:val="99"/>
    <w:semiHidden/>
    <w:qFormat/>
    <w:rsid w:val="00c93dc7"/>
    <w:rPr>
      <w:b/>
      <w:bCs/>
      <w:sz w:val="20"/>
      <w:szCs w:val="20"/>
    </w:rPr>
  </w:style>
  <w:style w:type="character" w:styleId="CitciaChar" w:customStyle="1">
    <w:name w:val="Citácia Char"/>
    <w:basedOn w:val="DefaultParagraphFont"/>
    <w:link w:val="Citcia"/>
    <w:uiPriority w:val="29"/>
    <w:qFormat/>
    <w:rsid w:val="00567bed"/>
    <w:rPr>
      <w:i/>
      <w:iCs/>
      <w:color w:val="000000" w:themeColor="text1"/>
    </w:rPr>
  </w:style>
  <w:style w:type="character" w:styleId="Heading2Char" w:customStyle="1">
    <w:name w:val="Heading 2 Char"/>
    <w:basedOn w:val="DefaultParagraphFont"/>
    <w:link w:val="Heading2"/>
    <w:uiPriority w:val="9"/>
    <w:qFormat/>
    <w:rsid w:val="00567bed"/>
    <w:rPr>
      <w:rFonts w:ascii="Cambria" w:hAnsi="Cambria" w:eastAsia="" w:cs="" w:asciiTheme="majorHAnsi" w:cstheme="majorBidi" w:eastAsiaTheme="majorEastAsia" w:hAnsiTheme="majorHAnsi"/>
      <w:b/>
      <w:bCs/>
      <w:color w:val="4F81BD" w:themeColor="accent1"/>
      <w:sz w:val="26"/>
      <w:szCs w:val="26"/>
    </w:rPr>
  </w:style>
  <w:style w:type="character" w:styleId="SubtleReference">
    <w:name w:val="Subtle Reference"/>
    <w:basedOn w:val="DefaultParagraphFont"/>
    <w:uiPriority w:val="31"/>
    <w:qFormat/>
    <w:rsid w:val="00b47d63"/>
    <w:rPr>
      <w:smallCaps/>
      <w:color w:val="C0504D" w:themeColor="accent2"/>
      <w:u w:val="single"/>
    </w:rPr>
  </w:style>
  <w:style w:type="paragraph" w:styleId="Nadpis" w:customStyle="1">
    <w:name w:val="Nadpis"/>
    <w:basedOn w:val="Normal"/>
    <w:next w:val="Telotextu"/>
    <w:qFormat/>
    <w:rsid w:val="008376c7"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rsid w:val="008376c7"/>
    <w:pPr>
      <w:spacing w:lineRule="auto" w:line="288" w:before="0" w:after="140"/>
    </w:pPr>
    <w:rPr/>
  </w:style>
  <w:style w:type="paragraph" w:styleId="Zoznam">
    <w:name w:val="List"/>
    <w:basedOn w:val="Telotextu"/>
    <w:rsid w:val="008376c7"/>
    <w:pPr/>
    <w:rPr>
      <w:rFonts w:cs="Arial"/>
    </w:rPr>
  </w:style>
  <w:style w:type="paragraph" w:styleId="Popis" w:customStyle="1">
    <w:name w:val="Caption"/>
    <w:basedOn w:val="Normal"/>
    <w:qFormat/>
    <w:rsid w:val="008376c7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rsid w:val="008376c7"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Zhlavie" w:customStyle="1">
    <w:name w:val="Header"/>
    <w:basedOn w:val="Normal"/>
    <w:link w:val="Head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 w:customStyle="1">
    <w:name w:val="Footer"/>
    <w:basedOn w:val="Normal"/>
    <w:link w:val="FooterChar"/>
    <w:uiPriority w:val="99"/>
    <w:unhideWhenUsed/>
    <w:rsid w:val="00f0301d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f0301d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225300"/>
    <w:pPr>
      <w:spacing w:before="0" w:after="200"/>
      <w:ind w:left="720" w:hanging="0"/>
      <w:contextualSpacing/>
    </w:pPr>
    <w:rPr/>
  </w:style>
  <w:style w:type="paragraph" w:styleId="HTMLTopofForm">
    <w:name w:val="HTML Top of Form"/>
    <w:basedOn w:val="Normal"/>
    <w:next w:val="Normal"/>
    <w:uiPriority w:val="99"/>
    <w:semiHidden/>
    <w:unhideWhenUsed/>
    <w:qFormat/>
    <w:rsid w:val="00361862"/>
    <w:pPr>
      <w:pBdr>
        <w:bottom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HTMLBottomofForm">
    <w:name w:val="HTML Bottom of Form"/>
    <w:basedOn w:val="Normal"/>
    <w:next w:val="Normal"/>
    <w:uiPriority w:val="99"/>
    <w:semiHidden/>
    <w:unhideWhenUsed/>
    <w:qFormat/>
    <w:rsid w:val="00361862"/>
    <w:pPr>
      <w:pBdr>
        <w:top w:val="single" w:sz="6" w:space="1" w:color="00000A"/>
      </w:pBdr>
      <w:spacing w:before="0" w:after="0"/>
      <w:jc w:val="center"/>
    </w:pPr>
    <w:rPr>
      <w:rFonts w:ascii="Arial" w:hAnsi="Arial" w:cs="Arial"/>
      <w:vanish/>
      <w:sz w:val="16"/>
      <w:szCs w:val="16"/>
    </w:rPr>
  </w:style>
  <w:style w:type="paragraph" w:styleId="NoSpacing">
    <w:name w:val="No Spacing"/>
    <w:uiPriority w:val="1"/>
    <w:qFormat/>
    <w:rsid w:val="00195675"/>
    <w:pPr>
      <w:widowControl/>
      <w:bidi w:val="0"/>
      <w:spacing w:before="0" w:after="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paragraph" w:styleId="Annotationtext">
    <w:name w:val="annotation text"/>
    <w:basedOn w:val="Normal"/>
    <w:link w:val="TextkomentraChar"/>
    <w:uiPriority w:val="99"/>
    <w:semiHidden/>
    <w:unhideWhenUsed/>
    <w:qFormat/>
    <w:rsid w:val="00c93dc7"/>
    <w:pPr>
      <w:spacing w:lineRule="auto" w:line="240"/>
    </w:pPr>
    <w:rPr>
      <w:sz w:val="20"/>
      <w:szCs w:val="20"/>
    </w:rPr>
  </w:style>
  <w:style w:type="paragraph" w:styleId="Annotationsubject">
    <w:name w:val="annotation subject"/>
    <w:basedOn w:val="Annotationtext"/>
    <w:link w:val="PredmetkomentraChar"/>
    <w:uiPriority w:val="99"/>
    <w:semiHidden/>
    <w:unhideWhenUsed/>
    <w:qFormat/>
    <w:rsid w:val="00c93dc7"/>
    <w:pPr/>
    <w:rPr>
      <w:b/>
      <w:bCs/>
    </w:rPr>
  </w:style>
  <w:style w:type="paragraph" w:styleId="Quote">
    <w:name w:val="Quote"/>
    <w:basedOn w:val="Normal"/>
    <w:next w:val="Normal"/>
    <w:link w:val="CitciaChar"/>
    <w:uiPriority w:val="29"/>
    <w:qFormat/>
    <w:rsid w:val="00567bed"/>
    <w:pPr/>
    <w:rPr>
      <w:i/>
      <w:iCs/>
      <w:color w:val="000000" w:themeColor="text1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c7517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glossaryDocument" Target="glossary/document.xml"/><Relationship Id="rId9" Type="http://schemas.openxmlformats.org/officeDocument/2006/relationships/customXml" Target="../customXml/item1.xml"/>
</Relationships>
</file>

<file path=word/glossary/_rels/document.xml.rels><?xml version="1.0" encoding="UTF-8"?>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
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Liberation Sans">
    <w:altName w:val="Arial"/>
    <w:charset w:val="EE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00"/>
    <w:family w:val="roman"/>
    <w:notTrueType/>
    <w:pitch w:val="default"/>
    <w:sig w:usb0="00000000" w:usb1="00000000" w:usb2="00000000" w:usb3="00000000" w:csb0="0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65710"/>
    <w:rsid w:val="000A651B"/>
    <w:rsid w:val="002876CA"/>
    <w:rsid w:val="002D5101"/>
    <w:rsid w:val="004D37E1"/>
    <w:rsid w:val="00500764"/>
    <w:rsid w:val="00505AE4"/>
    <w:rsid w:val="005D39AB"/>
    <w:rsid w:val="005F76D2"/>
    <w:rsid w:val="006D2E07"/>
    <w:rsid w:val="00734361"/>
    <w:rsid w:val="00765710"/>
    <w:rsid w:val="00781A21"/>
    <w:rsid w:val="008560A4"/>
    <w:rsid w:val="00862F0B"/>
    <w:rsid w:val="008B615A"/>
    <w:rsid w:val="00A108B6"/>
    <w:rsid w:val="00A91E2B"/>
    <w:rsid w:val="00A93C04"/>
    <w:rsid w:val="00C731F6"/>
    <w:rsid w:val="00C80211"/>
    <w:rsid w:val="00CE0B5C"/>
    <w:rsid w:val="00CF451A"/>
    <w:rsid w:val="00DA5BD5"/>
    <w:rsid w:val="00E06618"/>
    <w:rsid w:val="00F03541"/>
    <w:rsid w:val="00F053C3"/>
    <w:rsid w:val="00F11D6C"/>
    <w:rsid w:val="00F677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81A2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7DF77E093C2D44CABF08940C38713AED">
    <w:name w:val="7DF77E093C2D44CABF08940C38713AED"/>
    <w:rsid w:val="00765710"/>
  </w:style>
  <w:style w:type="character" w:styleId="Textzstupnhosymbolu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DAA247914AE24631990F67575A009AA7">
    <w:name w:val="DAA247914AE24631990F67575A009AA7"/>
    <w:rsid w:val="00765710"/>
  </w:style>
  <w:style w:type="paragraph" w:customStyle="1" w:styleId="37320FAD9B8D4CDC894B91A2D1F490CE">
    <w:name w:val="37320FAD9B8D4CDC894B91A2D1F490CE"/>
    <w:rsid w:val="002D5101"/>
  </w:style>
  <w:style w:type="paragraph" w:customStyle="1" w:styleId="F8EFB4F95A65499EAAD3833D62825987">
    <w:name w:val="F8EFB4F95A65499EAAD3833D62825987"/>
    <w:rsid w:val="002D5101"/>
  </w:style>
  <w:style w:type="paragraph" w:customStyle="1" w:styleId="2326857E561C487F8E25A83BAB96C947">
    <w:name w:val="2326857E561C487F8E25A83BAB96C947"/>
    <w:rsid w:val="00C731F6"/>
  </w:style>
  <w:style w:type="paragraph" w:customStyle="1" w:styleId="6E5BC754153D47879BB3C121D4C8E11C">
    <w:name w:val="6E5BC754153D47879BB3C121D4C8E11C"/>
    <w:rsid w:val="00C731F6"/>
  </w:style>
  <w:style w:type="paragraph" w:customStyle="1" w:styleId="17AE1CCA0D4B42E18E6BEC3101A0C313">
    <w:name w:val="17AE1CCA0D4B42E18E6BEC3101A0C313"/>
    <w:rsid w:val="00734361"/>
  </w:style>
  <w:style w:type="paragraph" w:customStyle="1" w:styleId="C0C7247515A14FDA939D3DA7E81CD885">
    <w:name w:val="C0C7247515A14FDA939D3DA7E81CD885"/>
    <w:rsid w:val="00734361"/>
  </w:style>
  <w:style w:type="paragraph" w:customStyle="1" w:styleId="AE560EFFCA444303A4C1D435DD18A941">
    <w:name w:val="AE560EFFCA444303A4C1D435DD18A941"/>
    <w:rsid w:val="00734361"/>
  </w:style>
  <w:style w:type="paragraph" w:customStyle="1" w:styleId="9467109F0E9C4E9BAA46412348C3F019">
    <w:name w:val="9467109F0E9C4E9BAA46412348C3F019"/>
    <w:rsid w:val="00734361"/>
  </w:style>
  <w:style w:type="paragraph" w:customStyle="1" w:styleId="80B35B715E17451DA4B42C0AEB722F2E">
    <w:name w:val="80B35B715E17451DA4B42C0AEB722F2E"/>
    <w:rsid w:val="00734361"/>
  </w:style>
  <w:style w:type="paragraph" w:customStyle="1" w:styleId="1531459E539C4F73803BDC15F00D286D">
    <w:name w:val="1531459E539C4F73803BDC15F00D286D"/>
    <w:rsid w:val="00734361"/>
  </w:style>
  <w:style w:type="paragraph" w:customStyle="1" w:styleId="70831C872B324DF393C583197DECC540">
    <w:name w:val="70831C872B324DF393C583197DECC540"/>
    <w:rsid w:val="00734361"/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441800-4D6C-443A-B30D-0976079AD1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Application>LibreOffice/7.1.0.3$Windows_X86_64 LibreOffice_project/f6099ecf3d29644b5008cc8f48f42f4a40986e4c</Application>
  <AppVersion>15.0000</AppVersion>
  <DocSecurity>0</DocSecurity>
  <Pages>5</Pages>
  <Words>652</Words>
  <Characters>3860</Characters>
  <CharactersWithSpaces>4460</CharactersWithSpaces>
  <Paragraphs>118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2019-01-31T08:15:00Z</dcterms:created>
  <dc:creator>R</dc:creator>
  <dc:description/>
  <dc:language>sk-SK</dc:language>
  <cp:lastModifiedBy/>
  <cp:lastPrinted>2020-03-11T15:14:00Z</cp:lastPrinted>
  <dcterms:modified xsi:type="dcterms:W3CDTF">2022-03-14T09:32:03Z</dcterms:modified>
  <cp:revision>12</cp:revision>
  <dc:subject/>
  <dc:title>Poznámky Úč MÚJ 3 - 01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