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1A74" w:rsidRDefault="00D01A74">
      <w:pPr>
        <w:pageBreakBefore/>
        <w:jc w:val="center"/>
        <w:rPr>
          <w:rFonts w:ascii="Arial" w:eastAsia="TimesNewRomanPS-BoldMT" w:hAnsi="Arial" w:cs="Arial"/>
          <w:b/>
          <w:bCs/>
        </w:rPr>
      </w:pPr>
      <w:r>
        <w:rPr>
          <w:rFonts w:ascii="Arial" w:eastAsia="TimesNewRomanPS-BoldMT" w:hAnsi="Arial" w:cs="Arial"/>
          <w:b/>
          <w:bCs/>
        </w:rPr>
        <w:t>I. Všeobecné informácie</w:t>
      </w:r>
    </w:p>
    <w:p w:rsidR="00D01A74" w:rsidRDefault="00D01A74">
      <w:pPr>
        <w:jc w:val="center"/>
        <w:rPr>
          <w:rFonts w:ascii="Arial" w:eastAsia="TimesNewRomanPS-BoldMT" w:hAnsi="Arial" w:cs="Arial"/>
          <w:b/>
          <w:bCs/>
        </w:rPr>
      </w:pPr>
    </w:p>
    <w:p w:rsidR="00D01A74" w:rsidRDefault="00D01A74">
      <w:pPr>
        <w:rPr>
          <w:rFonts w:ascii="Arial" w:eastAsia="TimesNewRomanPS-BoldMT" w:hAnsi="Arial" w:cs="Arial"/>
          <w:bCs/>
          <w:sz w:val="20"/>
          <w:szCs w:val="20"/>
        </w:rPr>
      </w:pPr>
      <w:r>
        <w:rPr>
          <w:rFonts w:ascii="Arial" w:eastAsia="TimesNewRomanPS-BoldMT" w:hAnsi="Arial" w:cs="Arial"/>
          <w:b/>
          <w:bCs/>
          <w:sz w:val="20"/>
          <w:szCs w:val="20"/>
        </w:rPr>
        <w:t>a) Údaje o konsolidovanom celku</w:t>
      </w:r>
    </w:p>
    <w:p w:rsidR="00D01A74" w:rsidRDefault="00D01A74">
      <w:pPr>
        <w:rPr>
          <w:rFonts w:ascii="Arial" w:eastAsia="TimesNewRomanPS-BoldMT" w:hAnsi="Arial" w:cs="Arial"/>
          <w:bCs/>
          <w:sz w:val="20"/>
          <w:szCs w:val="20"/>
        </w:rPr>
      </w:pPr>
      <w:r>
        <w:rPr>
          <w:rFonts w:ascii="Arial" w:eastAsia="TimesNewRomanPS-BoldMT" w:hAnsi="Arial" w:cs="Arial"/>
          <w:bCs/>
          <w:sz w:val="20"/>
          <w:szCs w:val="20"/>
        </w:rPr>
        <w:t>Spoločnosť nie je súčasťou konsolidovaného celku</w:t>
      </w:r>
    </w:p>
    <w:p w:rsidR="00D01A74" w:rsidRDefault="00D01A74">
      <w:pPr>
        <w:rPr>
          <w:rFonts w:ascii="Arial" w:eastAsia="TimesNewRomanPS-BoldMT" w:hAnsi="Arial" w:cs="Arial"/>
          <w:bCs/>
          <w:sz w:val="20"/>
          <w:szCs w:val="20"/>
        </w:rPr>
      </w:pPr>
    </w:p>
    <w:p w:rsidR="00D01A74" w:rsidRDefault="00D01A74">
      <w:pPr>
        <w:rPr>
          <w:rFonts w:ascii="Arial" w:eastAsia="TimesNewRomanPS-BoldMT" w:hAnsi="Arial" w:cs="Arial"/>
          <w:bCs/>
          <w:sz w:val="20"/>
          <w:szCs w:val="20"/>
        </w:rPr>
      </w:pPr>
      <w:r>
        <w:rPr>
          <w:rFonts w:ascii="Arial" w:eastAsia="TimesNewRomanPS-BoldMT" w:hAnsi="Arial" w:cs="Arial"/>
          <w:b/>
          <w:bCs/>
          <w:sz w:val="20"/>
          <w:szCs w:val="20"/>
        </w:rPr>
        <w:t>b) Priemerný prepočítaný počet zamestnancov</w:t>
      </w:r>
    </w:p>
    <w:p w:rsidR="00D01A74" w:rsidRDefault="00D01A74">
      <w:pPr>
        <w:rPr>
          <w:rFonts w:ascii="Arial" w:eastAsia="TimesNewRomanPS-BoldMT" w:hAnsi="Arial" w:cs="Arial"/>
          <w:bCs/>
          <w:sz w:val="20"/>
          <w:szCs w:val="20"/>
        </w:rPr>
      </w:pPr>
      <w:r>
        <w:rPr>
          <w:rFonts w:ascii="Arial" w:eastAsia="TimesNewRomanPS-BoldMT" w:hAnsi="Arial" w:cs="Arial"/>
          <w:bCs/>
          <w:sz w:val="20"/>
          <w:szCs w:val="20"/>
        </w:rPr>
        <w:t xml:space="preserve">Priemerný prepočítaný počet zamestnancov je </w:t>
      </w:r>
      <w:r w:rsidR="0012420A">
        <w:rPr>
          <w:rFonts w:ascii="Arial" w:eastAsia="TimesNewRomanPS-BoldMT" w:hAnsi="Arial" w:cs="Arial"/>
          <w:bCs/>
          <w:sz w:val="20"/>
          <w:szCs w:val="20"/>
        </w:rPr>
        <w:t>0</w:t>
      </w:r>
    </w:p>
    <w:p w:rsidR="00D01A74" w:rsidRDefault="00D01A74">
      <w:pPr>
        <w:jc w:val="center"/>
        <w:rPr>
          <w:rFonts w:ascii="Arial" w:eastAsia="TimesNewRomanPS-BoldMT" w:hAnsi="Arial" w:cs="Arial"/>
          <w:b/>
          <w:bCs/>
        </w:rPr>
      </w:pPr>
    </w:p>
    <w:p w:rsidR="00D01A74" w:rsidRDefault="00D01A74">
      <w:pPr>
        <w:jc w:val="center"/>
        <w:rPr>
          <w:rFonts w:ascii="Arial" w:eastAsia="TimesNewRomanPS-BoldMT" w:hAnsi="Arial" w:cs="Arial"/>
          <w:b/>
          <w:bCs/>
        </w:rPr>
      </w:pPr>
    </w:p>
    <w:p w:rsidR="00D01A74" w:rsidRDefault="00D01A74">
      <w:pPr>
        <w:jc w:val="center"/>
        <w:rPr>
          <w:rFonts w:ascii="Arial" w:eastAsia="TimesNewRomanPS-BoldMT" w:hAnsi="Arial" w:cs="Arial"/>
          <w:b/>
          <w:bCs/>
          <w:sz w:val="20"/>
          <w:szCs w:val="20"/>
        </w:rPr>
      </w:pPr>
      <w:r>
        <w:rPr>
          <w:rFonts w:ascii="Arial" w:eastAsia="TimesNewRomanPS-BoldMT" w:hAnsi="Arial" w:cs="Arial"/>
          <w:b/>
          <w:bCs/>
        </w:rPr>
        <w:t>II.  Informácie o prijatých postupoch</w:t>
      </w:r>
    </w:p>
    <w:p w:rsidR="00D01A74" w:rsidRDefault="00D01A74">
      <w:pPr>
        <w:jc w:val="both"/>
        <w:rPr>
          <w:rFonts w:ascii="Arial" w:eastAsia="TimesNewRomanPS-BoldMT" w:hAnsi="Arial" w:cs="Arial"/>
          <w:b/>
          <w:bCs/>
          <w:sz w:val="20"/>
          <w:szCs w:val="20"/>
        </w:rPr>
      </w:pPr>
    </w:p>
    <w:p w:rsidR="00D01A74" w:rsidRDefault="00D01A74">
      <w:pPr>
        <w:jc w:val="both"/>
        <w:rPr>
          <w:rFonts w:ascii="Arial" w:hAnsi="Arial" w:cs="Arial"/>
          <w:sz w:val="20"/>
          <w:szCs w:val="20"/>
        </w:rPr>
      </w:pPr>
      <w:r>
        <w:rPr>
          <w:rFonts w:ascii="Arial" w:eastAsia="TimesNewRomanPS-BoldMT" w:hAnsi="Arial" w:cs="Arial"/>
          <w:b/>
          <w:bCs/>
          <w:sz w:val="20"/>
          <w:szCs w:val="20"/>
        </w:rPr>
        <w:t>a) Východiská pre zostavenie účtovnej závierky</w:t>
      </w:r>
    </w:p>
    <w:p w:rsidR="00D01A74" w:rsidRDefault="00D01A74">
      <w:pPr>
        <w:jc w:val="both"/>
        <w:rPr>
          <w:rFonts w:ascii="Arial" w:hAnsi="Arial" w:cs="Arial"/>
          <w:sz w:val="20"/>
          <w:szCs w:val="20"/>
        </w:rPr>
      </w:pPr>
      <w:r>
        <w:rPr>
          <w:rFonts w:ascii="Arial" w:hAnsi="Arial" w:cs="Arial"/>
          <w:sz w:val="20"/>
          <w:szCs w:val="20"/>
        </w:rPr>
        <w:t>Účtovná závierka bola zostavená za predpokladu, že spoločnosť bude nepretržite pokračovať vo svojej činnosti.</w:t>
      </w:r>
    </w:p>
    <w:p w:rsidR="00D01A74" w:rsidRDefault="00D01A74">
      <w:pPr>
        <w:jc w:val="both"/>
        <w:rPr>
          <w:rFonts w:ascii="Arial" w:hAnsi="Arial" w:cs="Arial"/>
          <w:sz w:val="20"/>
          <w:szCs w:val="20"/>
        </w:rPr>
      </w:pPr>
      <w:r>
        <w:rPr>
          <w:rFonts w:ascii="Arial" w:hAnsi="Arial" w:cs="Arial"/>
          <w:sz w:val="20"/>
          <w:szCs w:val="20"/>
        </w:rPr>
        <w:t>Účtovné metódy a všeobecné účtovné zásady boli účtovnou jednotkou konzistentne aplikované.</w:t>
      </w:r>
    </w:p>
    <w:p w:rsidR="00D01A74" w:rsidRDefault="00D01A74">
      <w:pPr>
        <w:jc w:val="both"/>
        <w:rPr>
          <w:rFonts w:ascii="Arial" w:hAnsi="Arial" w:cs="Arial"/>
          <w:sz w:val="20"/>
          <w:szCs w:val="20"/>
        </w:rPr>
      </w:pPr>
    </w:p>
    <w:p w:rsidR="00D01A74" w:rsidRDefault="00D01A74">
      <w:pPr>
        <w:jc w:val="both"/>
        <w:rPr>
          <w:rFonts w:ascii="Arial" w:hAnsi="Arial" w:cs="Arial"/>
          <w:sz w:val="20"/>
          <w:szCs w:val="20"/>
        </w:rPr>
      </w:pPr>
      <w:r>
        <w:rPr>
          <w:rFonts w:ascii="Arial" w:eastAsia="TimesNewRomanPS-BoldMT" w:hAnsi="Arial" w:cs="Arial"/>
          <w:b/>
          <w:bCs/>
          <w:sz w:val="20"/>
          <w:szCs w:val="20"/>
        </w:rPr>
        <w:t>(b) Dlhodobý nehmotný majetok a dlhodobý hmotný majetok</w:t>
      </w:r>
    </w:p>
    <w:p w:rsidR="00D01A74" w:rsidRDefault="00D01A74">
      <w:pPr>
        <w:jc w:val="both"/>
        <w:rPr>
          <w:rFonts w:ascii="Arial" w:hAnsi="Arial" w:cs="Arial"/>
          <w:sz w:val="20"/>
          <w:szCs w:val="20"/>
        </w:rPr>
      </w:pPr>
      <w:r>
        <w:rPr>
          <w:rFonts w:ascii="Arial" w:hAnsi="Arial" w:cs="Arial"/>
          <w:sz w:val="20"/>
          <w:szCs w:val="20"/>
        </w:rPr>
        <w:t>Dlhodobý majetok nakupovaný sa oceňuje obstarávacou cenou, ktorá zahŕňa cenu obstarania a náklady súvisiace s obstaraním (clo, prepravu, montáž, poistné a pod.)</w:t>
      </w:r>
    </w:p>
    <w:p w:rsidR="00D01A74" w:rsidRDefault="00D01A74">
      <w:pPr>
        <w:jc w:val="both"/>
        <w:rPr>
          <w:rFonts w:ascii="Arial" w:hAnsi="Arial" w:cs="Arial"/>
          <w:sz w:val="20"/>
          <w:szCs w:val="20"/>
        </w:rPr>
      </w:pPr>
    </w:p>
    <w:p w:rsidR="00D01A74" w:rsidRDefault="00D01A74">
      <w:pPr>
        <w:jc w:val="both"/>
        <w:rPr>
          <w:rFonts w:ascii="Arial" w:hAnsi="Arial" w:cs="Arial"/>
          <w:sz w:val="20"/>
          <w:szCs w:val="20"/>
        </w:rPr>
      </w:pPr>
      <w:r>
        <w:rPr>
          <w:rFonts w:ascii="Arial" w:hAnsi="Arial" w:cs="Arial"/>
          <w:sz w:val="20"/>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1700 EUR a nižšia, sa odpisuje jednorazovo pri uvedení do používania. Predpokladaná doba používania, metóda odpisovania a odpisová sadzba sú uvedené v nasledujúcej tabuľke:</w:t>
      </w:r>
    </w:p>
    <w:p w:rsidR="00D01A74" w:rsidRDefault="00D01A74">
      <w:pPr>
        <w:jc w:val="both"/>
        <w:rPr>
          <w:rFonts w:ascii="Arial" w:hAnsi="Arial" w:cs="Arial"/>
          <w:sz w:val="20"/>
          <w:szCs w:val="20"/>
        </w:rPr>
      </w:pPr>
    </w:p>
    <w:tbl>
      <w:tblPr>
        <w:tblW w:w="0" w:type="auto"/>
        <w:tblInd w:w="108" w:type="dxa"/>
        <w:tblLayout w:type="fixed"/>
        <w:tblLook w:val="0000"/>
      </w:tblPr>
      <w:tblGrid>
        <w:gridCol w:w="2943"/>
        <w:gridCol w:w="2552"/>
        <w:gridCol w:w="2126"/>
        <w:gridCol w:w="3147"/>
      </w:tblGrid>
      <w:tr w:rsidR="00D01A74">
        <w:tc>
          <w:tcPr>
            <w:tcW w:w="2943" w:type="dxa"/>
            <w:tcBorders>
              <w:top w:val="single" w:sz="4" w:space="0" w:color="000000"/>
              <w:left w:val="single" w:sz="4" w:space="0" w:color="000000"/>
              <w:bottom w:val="single" w:sz="4" w:space="0" w:color="000000"/>
            </w:tcBorders>
            <w:shd w:val="clear" w:color="auto" w:fill="auto"/>
          </w:tcPr>
          <w:p w:rsidR="00D01A74" w:rsidRDefault="00D01A74">
            <w:pPr>
              <w:snapToGrid w:val="0"/>
              <w:jc w:val="both"/>
              <w:rPr>
                <w:rFonts w:ascii="Arial" w:hAnsi="Arial" w:cs="Arial"/>
                <w:sz w:val="20"/>
                <w:szCs w:val="20"/>
              </w:rPr>
            </w:pPr>
          </w:p>
        </w:tc>
        <w:tc>
          <w:tcPr>
            <w:tcW w:w="2552" w:type="dxa"/>
            <w:tcBorders>
              <w:top w:val="single" w:sz="4" w:space="0" w:color="000000"/>
              <w:left w:val="single" w:sz="4" w:space="0" w:color="000000"/>
              <w:bottom w:val="single" w:sz="4" w:space="0" w:color="000000"/>
            </w:tcBorders>
            <w:shd w:val="clear" w:color="auto" w:fill="auto"/>
          </w:tcPr>
          <w:p w:rsidR="00D01A74" w:rsidRDefault="00D01A74">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D01A74" w:rsidRDefault="00D01A74">
            <w:pPr>
              <w:snapToGrid w:val="0"/>
              <w:jc w:val="center"/>
              <w:rPr>
                <w:rFonts w:ascii="Arial" w:hAnsi="Arial" w:cs="Arial"/>
                <w:b/>
                <w:sz w:val="20"/>
                <w:szCs w:val="20"/>
              </w:rPr>
            </w:pPr>
            <w:r>
              <w:rPr>
                <w:rFonts w:ascii="Arial" w:hAnsi="Arial" w:cs="Arial"/>
                <w:b/>
                <w:sz w:val="20"/>
                <w:szCs w:val="20"/>
              </w:rPr>
              <w:t>Metóda odpisovania</w:t>
            </w:r>
          </w:p>
        </w:tc>
        <w:tc>
          <w:tcPr>
            <w:tcW w:w="3147" w:type="dxa"/>
            <w:tcBorders>
              <w:top w:val="single" w:sz="4" w:space="0" w:color="000000"/>
              <w:left w:val="single" w:sz="4" w:space="0" w:color="000000"/>
              <w:bottom w:val="single" w:sz="4" w:space="0" w:color="000000"/>
              <w:right w:val="single" w:sz="4" w:space="0" w:color="000000"/>
            </w:tcBorders>
            <w:shd w:val="clear" w:color="auto" w:fill="auto"/>
          </w:tcPr>
          <w:p w:rsidR="00D01A74" w:rsidRDefault="00D01A74">
            <w:pPr>
              <w:snapToGrid w:val="0"/>
              <w:jc w:val="center"/>
            </w:pPr>
            <w:r>
              <w:rPr>
                <w:rFonts w:ascii="Arial" w:hAnsi="Arial" w:cs="Arial"/>
                <w:b/>
                <w:sz w:val="20"/>
                <w:szCs w:val="20"/>
              </w:rPr>
              <w:t>Ročná odpisová sadzba</w:t>
            </w:r>
          </w:p>
        </w:tc>
      </w:tr>
      <w:tr w:rsidR="00D01A74">
        <w:tc>
          <w:tcPr>
            <w:tcW w:w="2943" w:type="dxa"/>
            <w:tcBorders>
              <w:top w:val="single" w:sz="4" w:space="0" w:color="000000"/>
              <w:left w:val="single" w:sz="4" w:space="0" w:color="000000"/>
              <w:bottom w:val="single" w:sz="4" w:space="0" w:color="000000"/>
            </w:tcBorders>
            <w:shd w:val="clear" w:color="auto" w:fill="auto"/>
          </w:tcPr>
          <w:p w:rsidR="00D01A74" w:rsidRDefault="00D01A74">
            <w:pPr>
              <w:snapToGrid w:val="0"/>
              <w:jc w:val="both"/>
              <w:rPr>
                <w:rFonts w:ascii="Arial" w:hAnsi="Arial" w:cs="Arial"/>
                <w:sz w:val="20"/>
                <w:szCs w:val="20"/>
              </w:rPr>
            </w:pPr>
            <w:r>
              <w:rPr>
                <w:rFonts w:ascii="Arial" w:hAnsi="Arial" w:cs="Arial"/>
                <w:sz w:val="20"/>
                <w:szCs w:val="20"/>
              </w:rPr>
              <w:t>Softvér</w:t>
            </w:r>
          </w:p>
        </w:tc>
        <w:tc>
          <w:tcPr>
            <w:tcW w:w="2552" w:type="dxa"/>
            <w:tcBorders>
              <w:top w:val="single" w:sz="4" w:space="0" w:color="000000"/>
              <w:left w:val="single" w:sz="4" w:space="0" w:color="000000"/>
              <w:bottom w:val="single" w:sz="4" w:space="0" w:color="000000"/>
            </w:tcBorders>
            <w:shd w:val="clear" w:color="auto" w:fill="auto"/>
          </w:tcPr>
          <w:p w:rsidR="00D01A74" w:rsidRDefault="00D01A74">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D01A74" w:rsidRDefault="00D01A74">
            <w:pPr>
              <w:snapToGrid w:val="0"/>
              <w:jc w:val="center"/>
              <w:rPr>
                <w:rFonts w:ascii="Arial" w:hAnsi="Arial" w:cs="Arial"/>
                <w:sz w:val="20"/>
                <w:szCs w:val="20"/>
              </w:rPr>
            </w:pPr>
            <w:r>
              <w:rPr>
                <w:rFonts w:ascii="Arial" w:hAnsi="Arial" w:cs="Arial"/>
                <w:sz w:val="20"/>
                <w:szCs w:val="20"/>
              </w:rPr>
              <w:t>lineárna</w:t>
            </w:r>
          </w:p>
        </w:tc>
        <w:tc>
          <w:tcPr>
            <w:tcW w:w="3147" w:type="dxa"/>
            <w:tcBorders>
              <w:top w:val="single" w:sz="4" w:space="0" w:color="000000"/>
              <w:left w:val="single" w:sz="4" w:space="0" w:color="000000"/>
              <w:bottom w:val="single" w:sz="4" w:space="0" w:color="000000"/>
              <w:right w:val="single" w:sz="4" w:space="0" w:color="000000"/>
            </w:tcBorders>
            <w:shd w:val="clear" w:color="auto" w:fill="auto"/>
          </w:tcPr>
          <w:p w:rsidR="00D01A74" w:rsidRDefault="00D01A74">
            <w:pPr>
              <w:snapToGrid w:val="0"/>
              <w:jc w:val="center"/>
            </w:pPr>
            <w:r>
              <w:rPr>
                <w:rFonts w:ascii="Arial" w:hAnsi="Arial" w:cs="Arial"/>
                <w:sz w:val="20"/>
                <w:szCs w:val="20"/>
              </w:rPr>
              <w:t>25</w:t>
            </w:r>
          </w:p>
        </w:tc>
      </w:tr>
      <w:tr w:rsidR="00D01A74">
        <w:tc>
          <w:tcPr>
            <w:tcW w:w="2943" w:type="dxa"/>
            <w:tcBorders>
              <w:top w:val="single" w:sz="4" w:space="0" w:color="000000"/>
              <w:left w:val="single" w:sz="4" w:space="0" w:color="000000"/>
              <w:bottom w:val="single" w:sz="4" w:space="0" w:color="000000"/>
            </w:tcBorders>
            <w:shd w:val="clear" w:color="auto" w:fill="auto"/>
          </w:tcPr>
          <w:p w:rsidR="00D01A74" w:rsidRDefault="00D01A74">
            <w:pPr>
              <w:snapToGrid w:val="0"/>
              <w:jc w:val="both"/>
              <w:rPr>
                <w:rFonts w:ascii="Arial" w:hAnsi="Arial" w:cs="Arial"/>
                <w:sz w:val="20"/>
                <w:szCs w:val="20"/>
              </w:rPr>
            </w:pPr>
            <w:r>
              <w:rPr>
                <w:rFonts w:ascii="Arial" w:hAnsi="Arial" w:cs="Arial"/>
                <w:sz w:val="20"/>
                <w:szCs w:val="20"/>
              </w:rPr>
              <w:t>Oceniteľné práva /licencia/</w:t>
            </w:r>
          </w:p>
        </w:tc>
        <w:tc>
          <w:tcPr>
            <w:tcW w:w="2552" w:type="dxa"/>
            <w:tcBorders>
              <w:top w:val="single" w:sz="4" w:space="0" w:color="000000"/>
              <w:left w:val="single" w:sz="4" w:space="0" w:color="000000"/>
              <w:bottom w:val="single" w:sz="4" w:space="0" w:color="000000"/>
            </w:tcBorders>
            <w:shd w:val="clear" w:color="auto" w:fill="auto"/>
          </w:tcPr>
          <w:p w:rsidR="00D01A74" w:rsidRDefault="00D01A74">
            <w:pPr>
              <w:snapToGrid w:val="0"/>
              <w:jc w:val="center"/>
              <w:rPr>
                <w:rFonts w:ascii="Arial" w:hAnsi="Arial" w:cs="Arial"/>
                <w:sz w:val="20"/>
                <w:szCs w:val="20"/>
              </w:rPr>
            </w:pPr>
            <w:r>
              <w:rPr>
                <w:rFonts w:ascii="Arial" w:hAnsi="Arial" w:cs="Arial"/>
                <w:sz w:val="20"/>
                <w:szCs w:val="20"/>
              </w:rPr>
              <w:t>8</w:t>
            </w:r>
          </w:p>
        </w:tc>
        <w:tc>
          <w:tcPr>
            <w:tcW w:w="2126" w:type="dxa"/>
            <w:tcBorders>
              <w:top w:val="single" w:sz="4" w:space="0" w:color="000000"/>
              <w:left w:val="single" w:sz="4" w:space="0" w:color="000000"/>
              <w:bottom w:val="single" w:sz="4" w:space="0" w:color="000000"/>
            </w:tcBorders>
            <w:shd w:val="clear" w:color="auto" w:fill="auto"/>
          </w:tcPr>
          <w:p w:rsidR="00D01A74" w:rsidRDefault="00D01A74">
            <w:pPr>
              <w:snapToGrid w:val="0"/>
              <w:jc w:val="center"/>
              <w:rPr>
                <w:rFonts w:ascii="Arial" w:hAnsi="Arial" w:cs="Arial"/>
                <w:sz w:val="20"/>
                <w:szCs w:val="20"/>
              </w:rPr>
            </w:pPr>
            <w:r>
              <w:rPr>
                <w:rFonts w:ascii="Arial" w:hAnsi="Arial" w:cs="Arial"/>
                <w:sz w:val="20"/>
                <w:szCs w:val="20"/>
              </w:rPr>
              <w:t>lineárna</w:t>
            </w:r>
          </w:p>
        </w:tc>
        <w:tc>
          <w:tcPr>
            <w:tcW w:w="3147" w:type="dxa"/>
            <w:tcBorders>
              <w:top w:val="single" w:sz="4" w:space="0" w:color="000000"/>
              <w:left w:val="single" w:sz="4" w:space="0" w:color="000000"/>
              <w:bottom w:val="single" w:sz="4" w:space="0" w:color="000000"/>
              <w:right w:val="single" w:sz="4" w:space="0" w:color="000000"/>
            </w:tcBorders>
            <w:shd w:val="clear" w:color="auto" w:fill="auto"/>
          </w:tcPr>
          <w:p w:rsidR="00D01A74" w:rsidRDefault="00D01A74">
            <w:pPr>
              <w:snapToGrid w:val="0"/>
              <w:jc w:val="center"/>
            </w:pPr>
            <w:r>
              <w:rPr>
                <w:rFonts w:ascii="Arial" w:hAnsi="Arial" w:cs="Arial"/>
                <w:sz w:val="20"/>
                <w:szCs w:val="20"/>
              </w:rPr>
              <w:t>12,5</w:t>
            </w:r>
          </w:p>
        </w:tc>
      </w:tr>
      <w:tr w:rsidR="00D01A74">
        <w:tc>
          <w:tcPr>
            <w:tcW w:w="2943" w:type="dxa"/>
            <w:tcBorders>
              <w:top w:val="single" w:sz="4" w:space="0" w:color="000000"/>
              <w:left w:val="single" w:sz="4" w:space="0" w:color="000000"/>
              <w:bottom w:val="single" w:sz="4" w:space="0" w:color="000000"/>
            </w:tcBorders>
            <w:shd w:val="clear" w:color="auto" w:fill="auto"/>
          </w:tcPr>
          <w:p w:rsidR="00D01A74" w:rsidRDefault="00D01A74">
            <w:pPr>
              <w:snapToGrid w:val="0"/>
              <w:jc w:val="both"/>
              <w:rPr>
                <w:rFonts w:ascii="Arial" w:hAnsi="Arial" w:cs="Arial"/>
                <w:sz w:val="20"/>
                <w:szCs w:val="20"/>
              </w:rPr>
            </w:pPr>
            <w:r>
              <w:rPr>
                <w:rFonts w:ascii="Arial" w:hAnsi="Arial" w:cs="Arial"/>
                <w:sz w:val="20"/>
                <w:szCs w:val="20"/>
              </w:rPr>
              <w:t>Drobný nehmotný majetok</w:t>
            </w:r>
          </w:p>
        </w:tc>
        <w:tc>
          <w:tcPr>
            <w:tcW w:w="2552" w:type="dxa"/>
            <w:tcBorders>
              <w:top w:val="single" w:sz="4" w:space="0" w:color="000000"/>
              <w:left w:val="single" w:sz="4" w:space="0" w:color="000000"/>
              <w:bottom w:val="single" w:sz="4" w:space="0" w:color="000000"/>
            </w:tcBorders>
            <w:shd w:val="clear" w:color="auto" w:fill="auto"/>
          </w:tcPr>
          <w:p w:rsidR="00D01A74" w:rsidRDefault="00D01A74">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D01A74" w:rsidRDefault="00D01A74">
            <w:pPr>
              <w:snapToGrid w:val="0"/>
              <w:jc w:val="center"/>
              <w:rPr>
                <w:rFonts w:ascii="Arial" w:hAnsi="Arial" w:cs="Arial"/>
                <w:sz w:val="20"/>
                <w:szCs w:val="20"/>
              </w:rPr>
            </w:pPr>
            <w:r>
              <w:rPr>
                <w:rFonts w:ascii="Arial" w:hAnsi="Arial" w:cs="Arial"/>
                <w:sz w:val="20"/>
                <w:szCs w:val="20"/>
              </w:rPr>
              <w:t>jednorazový odpis</w:t>
            </w:r>
          </w:p>
        </w:tc>
        <w:tc>
          <w:tcPr>
            <w:tcW w:w="3147" w:type="dxa"/>
            <w:tcBorders>
              <w:top w:val="single" w:sz="4" w:space="0" w:color="000000"/>
              <w:left w:val="single" w:sz="4" w:space="0" w:color="000000"/>
              <w:bottom w:val="single" w:sz="4" w:space="0" w:color="000000"/>
              <w:right w:val="single" w:sz="4" w:space="0" w:color="000000"/>
            </w:tcBorders>
            <w:shd w:val="clear" w:color="auto" w:fill="auto"/>
          </w:tcPr>
          <w:p w:rsidR="00D01A74" w:rsidRDefault="00D01A74">
            <w:pPr>
              <w:snapToGrid w:val="0"/>
              <w:jc w:val="center"/>
            </w:pPr>
            <w:r>
              <w:rPr>
                <w:rFonts w:ascii="Arial" w:hAnsi="Arial" w:cs="Arial"/>
                <w:sz w:val="20"/>
                <w:szCs w:val="20"/>
              </w:rPr>
              <w:t>100</w:t>
            </w:r>
          </w:p>
        </w:tc>
      </w:tr>
    </w:tbl>
    <w:p w:rsidR="00D01A74" w:rsidRDefault="00D01A74">
      <w:pPr>
        <w:jc w:val="both"/>
      </w:pPr>
    </w:p>
    <w:p w:rsidR="00D01A74" w:rsidRDefault="00D01A74">
      <w:pPr>
        <w:jc w:val="both"/>
        <w:rPr>
          <w:rFonts w:ascii="Arial" w:hAnsi="Arial" w:cs="Arial"/>
          <w:sz w:val="20"/>
          <w:szCs w:val="20"/>
        </w:rPr>
      </w:pPr>
    </w:p>
    <w:p w:rsidR="00D01A74" w:rsidRDefault="00D01A74">
      <w:pPr>
        <w:jc w:val="both"/>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D01A74" w:rsidRDefault="00D01A74">
      <w:pPr>
        <w:jc w:val="both"/>
        <w:rPr>
          <w:rFonts w:ascii="Arial" w:hAnsi="Arial" w:cs="Arial"/>
          <w:sz w:val="20"/>
          <w:szCs w:val="20"/>
        </w:rPr>
      </w:pPr>
    </w:p>
    <w:tbl>
      <w:tblPr>
        <w:tblW w:w="0" w:type="auto"/>
        <w:tblInd w:w="108" w:type="dxa"/>
        <w:tblLayout w:type="fixed"/>
        <w:tblLook w:val="0000"/>
      </w:tblPr>
      <w:tblGrid>
        <w:gridCol w:w="3227"/>
        <w:gridCol w:w="2268"/>
        <w:gridCol w:w="2126"/>
        <w:gridCol w:w="3147"/>
      </w:tblGrid>
      <w:tr w:rsidR="00D01A74">
        <w:tc>
          <w:tcPr>
            <w:tcW w:w="3227" w:type="dxa"/>
            <w:tcBorders>
              <w:top w:val="single" w:sz="4" w:space="0" w:color="000000"/>
              <w:left w:val="single" w:sz="4" w:space="0" w:color="000000"/>
              <w:bottom w:val="single" w:sz="4" w:space="0" w:color="000000"/>
            </w:tcBorders>
            <w:shd w:val="clear" w:color="auto" w:fill="auto"/>
          </w:tcPr>
          <w:p w:rsidR="00D01A74" w:rsidRDefault="00D01A74">
            <w:pPr>
              <w:snapToGrid w:val="0"/>
              <w:jc w:val="both"/>
              <w:rPr>
                <w:rFonts w:ascii="Arial" w:hAnsi="Arial" w:cs="Arial"/>
                <w:sz w:val="20"/>
                <w:szCs w:val="20"/>
              </w:rPr>
            </w:pPr>
          </w:p>
        </w:tc>
        <w:tc>
          <w:tcPr>
            <w:tcW w:w="2268" w:type="dxa"/>
            <w:tcBorders>
              <w:top w:val="single" w:sz="4" w:space="0" w:color="000000"/>
              <w:left w:val="single" w:sz="4" w:space="0" w:color="000000"/>
              <w:bottom w:val="single" w:sz="4" w:space="0" w:color="000000"/>
            </w:tcBorders>
            <w:shd w:val="clear" w:color="auto" w:fill="auto"/>
          </w:tcPr>
          <w:p w:rsidR="00D01A74" w:rsidRDefault="00D01A74">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D01A74" w:rsidRDefault="00D01A74">
            <w:pPr>
              <w:snapToGrid w:val="0"/>
              <w:jc w:val="center"/>
              <w:rPr>
                <w:rFonts w:ascii="Arial" w:hAnsi="Arial" w:cs="Arial"/>
                <w:b/>
                <w:sz w:val="20"/>
                <w:szCs w:val="20"/>
              </w:rPr>
            </w:pPr>
            <w:r>
              <w:rPr>
                <w:rFonts w:ascii="Arial" w:hAnsi="Arial" w:cs="Arial"/>
                <w:b/>
                <w:sz w:val="20"/>
                <w:szCs w:val="20"/>
              </w:rPr>
              <w:t>Metóda odpisovania</w:t>
            </w:r>
          </w:p>
        </w:tc>
        <w:tc>
          <w:tcPr>
            <w:tcW w:w="3147" w:type="dxa"/>
            <w:tcBorders>
              <w:top w:val="single" w:sz="4" w:space="0" w:color="000000"/>
              <w:left w:val="single" w:sz="4" w:space="0" w:color="000000"/>
              <w:bottom w:val="single" w:sz="4" w:space="0" w:color="000000"/>
              <w:right w:val="single" w:sz="4" w:space="0" w:color="000000"/>
            </w:tcBorders>
            <w:shd w:val="clear" w:color="auto" w:fill="auto"/>
          </w:tcPr>
          <w:p w:rsidR="00D01A74" w:rsidRDefault="00D01A74">
            <w:pPr>
              <w:snapToGrid w:val="0"/>
              <w:jc w:val="center"/>
            </w:pPr>
            <w:r>
              <w:rPr>
                <w:rFonts w:ascii="Arial" w:hAnsi="Arial" w:cs="Arial"/>
                <w:b/>
                <w:sz w:val="20"/>
                <w:szCs w:val="20"/>
              </w:rPr>
              <w:t>Ročná odpisová sadzba</w:t>
            </w:r>
          </w:p>
        </w:tc>
      </w:tr>
      <w:tr w:rsidR="00D01A74">
        <w:tc>
          <w:tcPr>
            <w:tcW w:w="3227" w:type="dxa"/>
            <w:tcBorders>
              <w:top w:val="single" w:sz="4" w:space="0" w:color="000000"/>
              <w:left w:val="single" w:sz="4" w:space="0" w:color="000000"/>
              <w:bottom w:val="single" w:sz="4" w:space="0" w:color="000000"/>
            </w:tcBorders>
            <w:shd w:val="clear" w:color="auto" w:fill="auto"/>
          </w:tcPr>
          <w:p w:rsidR="00D01A74" w:rsidRDefault="00D01A74">
            <w:pPr>
              <w:snapToGrid w:val="0"/>
              <w:jc w:val="both"/>
              <w:rPr>
                <w:rFonts w:ascii="Arial" w:hAnsi="Arial" w:cs="Arial"/>
                <w:sz w:val="20"/>
                <w:szCs w:val="20"/>
              </w:rPr>
            </w:pPr>
            <w:r>
              <w:rPr>
                <w:rFonts w:ascii="Arial" w:hAnsi="Arial" w:cs="Arial"/>
                <w:sz w:val="20"/>
                <w:szCs w:val="20"/>
              </w:rPr>
              <w:t>Stavby</w:t>
            </w:r>
          </w:p>
        </w:tc>
        <w:tc>
          <w:tcPr>
            <w:tcW w:w="2268" w:type="dxa"/>
            <w:tcBorders>
              <w:top w:val="single" w:sz="4" w:space="0" w:color="000000"/>
              <w:left w:val="single" w:sz="4" w:space="0" w:color="000000"/>
              <w:bottom w:val="single" w:sz="4" w:space="0" w:color="000000"/>
            </w:tcBorders>
            <w:shd w:val="clear" w:color="auto" w:fill="auto"/>
          </w:tcPr>
          <w:p w:rsidR="00D01A74" w:rsidRDefault="00D01A74">
            <w:pPr>
              <w:snapToGrid w:val="0"/>
              <w:jc w:val="center"/>
              <w:rPr>
                <w:rFonts w:ascii="Arial" w:hAnsi="Arial" w:cs="Arial"/>
                <w:sz w:val="20"/>
                <w:szCs w:val="20"/>
              </w:rPr>
            </w:pPr>
            <w:r>
              <w:rPr>
                <w:rFonts w:ascii="Arial" w:hAnsi="Arial" w:cs="Arial"/>
                <w:sz w:val="20"/>
                <w:szCs w:val="20"/>
              </w:rPr>
              <w:t>20/40</w:t>
            </w:r>
          </w:p>
        </w:tc>
        <w:tc>
          <w:tcPr>
            <w:tcW w:w="2126" w:type="dxa"/>
            <w:tcBorders>
              <w:top w:val="single" w:sz="4" w:space="0" w:color="000000"/>
              <w:left w:val="single" w:sz="4" w:space="0" w:color="000000"/>
              <w:bottom w:val="single" w:sz="4" w:space="0" w:color="000000"/>
            </w:tcBorders>
            <w:shd w:val="clear" w:color="auto" w:fill="auto"/>
          </w:tcPr>
          <w:p w:rsidR="00D01A74" w:rsidRDefault="00D01A74">
            <w:pPr>
              <w:snapToGrid w:val="0"/>
              <w:jc w:val="center"/>
              <w:rPr>
                <w:rFonts w:ascii="Arial" w:hAnsi="Arial" w:cs="Arial"/>
                <w:sz w:val="20"/>
                <w:szCs w:val="20"/>
              </w:rPr>
            </w:pPr>
            <w:r>
              <w:rPr>
                <w:rFonts w:ascii="Arial" w:hAnsi="Arial" w:cs="Arial"/>
                <w:sz w:val="20"/>
                <w:szCs w:val="20"/>
              </w:rPr>
              <w:t>lineárna</w:t>
            </w:r>
          </w:p>
        </w:tc>
        <w:tc>
          <w:tcPr>
            <w:tcW w:w="3147" w:type="dxa"/>
            <w:tcBorders>
              <w:top w:val="single" w:sz="4" w:space="0" w:color="000000"/>
              <w:left w:val="single" w:sz="4" w:space="0" w:color="000000"/>
              <w:bottom w:val="single" w:sz="4" w:space="0" w:color="000000"/>
              <w:right w:val="single" w:sz="4" w:space="0" w:color="000000"/>
            </w:tcBorders>
            <w:shd w:val="clear" w:color="auto" w:fill="auto"/>
          </w:tcPr>
          <w:p w:rsidR="00D01A74" w:rsidRDefault="00D01A74">
            <w:pPr>
              <w:snapToGrid w:val="0"/>
              <w:jc w:val="center"/>
            </w:pPr>
            <w:r>
              <w:rPr>
                <w:rFonts w:ascii="Arial" w:hAnsi="Arial" w:cs="Arial"/>
                <w:sz w:val="20"/>
                <w:szCs w:val="20"/>
              </w:rPr>
              <w:t>5</w:t>
            </w:r>
          </w:p>
        </w:tc>
      </w:tr>
      <w:tr w:rsidR="00D01A74">
        <w:tc>
          <w:tcPr>
            <w:tcW w:w="3227" w:type="dxa"/>
            <w:tcBorders>
              <w:top w:val="single" w:sz="4" w:space="0" w:color="000000"/>
              <w:left w:val="single" w:sz="4" w:space="0" w:color="000000"/>
              <w:bottom w:val="single" w:sz="4" w:space="0" w:color="000000"/>
            </w:tcBorders>
            <w:shd w:val="clear" w:color="auto" w:fill="auto"/>
          </w:tcPr>
          <w:p w:rsidR="00D01A74" w:rsidRDefault="00D01A74">
            <w:pPr>
              <w:snapToGrid w:val="0"/>
              <w:rPr>
                <w:rFonts w:ascii="Arial" w:hAnsi="Arial" w:cs="Arial"/>
                <w:sz w:val="20"/>
                <w:szCs w:val="20"/>
              </w:rPr>
            </w:pPr>
            <w:r>
              <w:rPr>
                <w:rFonts w:ascii="Arial" w:hAnsi="Arial" w:cs="Arial"/>
                <w:sz w:val="20"/>
                <w:szCs w:val="20"/>
              </w:rPr>
              <w:t>Jednotlivé oddeliteľné súčasti zabudované v stavbách určené na samostatné odpisovanie</w:t>
            </w:r>
          </w:p>
        </w:tc>
        <w:tc>
          <w:tcPr>
            <w:tcW w:w="2268" w:type="dxa"/>
            <w:tcBorders>
              <w:top w:val="single" w:sz="4" w:space="0" w:color="000000"/>
              <w:left w:val="single" w:sz="4" w:space="0" w:color="000000"/>
              <w:bottom w:val="single" w:sz="4" w:space="0" w:color="000000"/>
            </w:tcBorders>
            <w:shd w:val="clear" w:color="auto" w:fill="auto"/>
            <w:vAlign w:val="center"/>
          </w:tcPr>
          <w:p w:rsidR="00D01A74" w:rsidRDefault="00D01A74">
            <w:pPr>
              <w:snapToGrid w:val="0"/>
              <w:jc w:val="center"/>
              <w:rPr>
                <w:rFonts w:ascii="Arial" w:hAnsi="Arial" w:cs="Arial"/>
                <w:sz w:val="20"/>
                <w:szCs w:val="20"/>
              </w:rPr>
            </w:pPr>
            <w:r>
              <w:rPr>
                <w:rFonts w:ascii="Arial" w:hAnsi="Arial" w:cs="Arial"/>
                <w:sz w:val="20"/>
                <w:szCs w:val="20"/>
              </w:rPr>
              <w:t>12</w:t>
            </w:r>
          </w:p>
        </w:tc>
        <w:tc>
          <w:tcPr>
            <w:tcW w:w="2126" w:type="dxa"/>
            <w:tcBorders>
              <w:top w:val="single" w:sz="4" w:space="0" w:color="000000"/>
              <w:left w:val="single" w:sz="4" w:space="0" w:color="000000"/>
              <w:bottom w:val="single" w:sz="4" w:space="0" w:color="000000"/>
            </w:tcBorders>
            <w:shd w:val="clear" w:color="auto" w:fill="auto"/>
            <w:vAlign w:val="center"/>
          </w:tcPr>
          <w:p w:rsidR="00D01A74" w:rsidRDefault="00D01A74">
            <w:pPr>
              <w:snapToGrid w:val="0"/>
              <w:jc w:val="center"/>
              <w:rPr>
                <w:rFonts w:ascii="Arial" w:hAnsi="Arial" w:cs="Arial"/>
                <w:sz w:val="20"/>
                <w:szCs w:val="20"/>
              </w:rPr>
            </w:pPr>
            <w:r>
              <w:rPr>
                <w:rFonts w:ascii="Arial" w:hAnsi="Arial" w:cs="Arial"/>
                <w:sz w:val="20"/>
                <w:szCs w:val="20"/>
              </w:rPr>
              <w:t>lineárna</w:t>
            </w:r>
          </w:p>
        </w:tc>
        <w:tc>
          <w:tcPr>
            <w:tcW w:w="3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01A74" w:rsidRDefault="00D01A74">
            <w:pPr>
              <w:snapToGrid w:val="0"/>
              <w:jc w:val="center"/>
            </w:pPr>
            <w:r>
              <w:rPr>
                <w:rFonts w:ascii="Arial" w:hAnsi="Arial" w:cs="Arial"/>
                <w:sz w:val="20"/>
                <w:szCs w:val="20"/>
              </w:rPr>
              <w:t>8,33</w:t>
            </w:r>
          </w:p>
        </w:tc>
      </w:tr>
      <w:tr w:rsidR="00D01A74">
        <w:tc>
          <w:tcPr>
            <w:tcW w:w="3227" w:type="dxa"/>
            <w:tcBorders>
              <w:top w:val="single" w:sz="4" w:space="0" w:color="000000"/>
              <w:left w:val="single" w:sz="4" w:space="0" w:color="000000"/>
              <w:bottom w:val="single" w:sz="4" w:space="0" w:color="000000"/>
            </w:tcBorders>
            <w:shd w:val="clear" w:color="auto" w:fill="auto"/>
          </w:tcPr>
          <w:p w:rsidR="00D01A74" w:rsidRDefault="00D01A74">
            <w:pPr>
              <w:snapToGrid w:val="0"/>
              <w:jc w:val="both"/>
              <w:rPr>
                <w:rFonts w:ascii="Arial" w:hAnsi="Arial" w:cs="Arial"/>
                <w:sz w:val="20"/>
                <w:szCs w:val="20"/>
              </w:rPr>
            </w:pPr>
            <w:r>
              <w:rPr>
                <w:rFonts w:ascii="Arial" w:hAnsi="Arial" w:cs="Arial"/>
                <w:sz w:val="20"/>
                <w:szCs w:val="20"/>
              </w:rPr>
              <w:t>Stroje, prístroje a zariadenia</w:t>
            </w:r>
          </w:p>
        </w:tc>
        <w:tc>
          <w:tcPr>
            <w:tcW w:w="2268" w:type="dxa"/>
            <w:tcBorders>
              <w:top w:val="single" w:sz="4" w:space="0" w:color="000000"/>
              <w:left w:val="single" w:sz="4" w:space="0" w:color="000000"/>
              <w:bottom w:val="single" w:sz="4" w:space="0" w:color="000000"/>
            </w:tcBorders>
            <w:shd w:val="clear" w:color="auto" w:fill="auto"/>
          </w:tcPr>
          <w:p w:rsidR="00D01A74" w:rsidRDefault="00D01A74">
            <w:pPr>
              <w:snapToGrid w:val="0"/>
              <w:jc w:val="center"/>
              <w:rPr>
                <w:rFonts w:ascii="Arial" w:hAnsi="Arial" w:cs="Arial"/>
                <w:sz w:val="20"/>
                <w:szCs w:val="20"/>
              </w:rPr>
            </w:pPr>
            <w:r>
              <w:rPr>
                <w:rFonts w:ascii="Arial" w:hAnsi="Arial" w:cs="Arial"/>
                <w:sz w:val="20"/>
                <w:szCs w:val="20"/>
              </w:rPr>
              <w:t>4-6</w:t>
            </w:r>
          </w:p>
        </w:tc>
        <w:tc>
          <w:tcPr>
            <w:tcW w:w="2126" w:type="dxa"/>
            <w:tcBorders>
              <w:top w:val="single" w:sz="4" w:space="0" w:color="000000"/>
              <w:left w:val="single" w:sz="4" w:space="0" w:color="000000"/>
              <w:bottom w:val="single" w:sz="4" w:space="0" w:color="000000"/>
            </w:tcBorders>
            <w:shd w:val="clear" w:color="auto" w:fill="auto"/>
          </w:tcPr>
          <w:p w:rsidR="00D01A74" w:rsidRDefault="00D01A74">
            <w:pPr>
              <w:snapToGrid w:val="0"/>
              <w:jc w:val="center"/>
              <w:rPr>
                <w:rFonts w:ascii="Arial" w:hAnsi="Arial" w:cs="Arial"/>
                <w:sz w:val="20"/>
                <w:szCs w:val="20"/>
              </w:rPr>
            </w:pPr>
            <w:r>
              <w:rPr>
                <w:rFonts w:ascii="Arial" w:hAnsi="Arial" w:cs="Arial"/>
                <w:sz w:val="20"/>
                <w:szCs w:val="20"/>
              </w:rPr>
              <w:t>lineárna</w:t>
            </w:r>
          </w:p>
        </w:tc>
        <w:tc>
          <w:tcPr>
            <w:tcW w:w="3147" w:type="dxa"/>
            <w:tcBorders>
              <w:top w:val="single" w:sz="4" w:space="0" w:color="000000"/>
              <w:left w:val="single" w:sz="4" w:space="0" w:color="000000"/>
              <w:bottom w:val="single" w:sz="4" w:space="0" w:color="000000"/>
              <w:right w:val="single" w:sz="4" w:space="0" w:color="000000"/>
            </w:tcBorders>
            <w:shd w:val="clear" w:color="auto" w:fill="auto"/>
          </w:tcPr>
          <w:p w:rsidR="00D01A74" w:rsidRDefault="00D01A74">
            <w:pPr>
              <w:snapToGrid w:val="0"/>
              <w:jc w:val="center"/>
            </w:pPr>
            <w:r>
              <w:rPr>
                <w:rFonts w:ascii="Arial" w:hAnsi="Arial" w:cs="Arial"/>
                <w:sz w:val="20"/>
                <w:szCs w:val="20"/>
              </w:rPr>
              <w:t>16,67-25</w:t>
            </w:r>
          </w:p>
        </w:tc>
      </w:tr>
      <w:tr w:rsidR="00D01A74">
        <w:tc>
          <w:tcPr>
            <w:tcW w:w="3227" w:type="dxa"/>
            <w:tcBorders>
              <w:top w:val="single" w:sz="4" w:space="0" w:color="000000"/>
              <w:left w:val="single" w:sz="4" w:space="0" w:color="000000"/>
              <w:bottom w:val="single" w:sz="4" w:space="0" w:color="000000"/>
            </w:tcBorders>
            <w:shd w:val="clear" w:color="auto" w:fill="auto"/>
          </w:tcPr>
          <w:p w:rsidR="00D01A74" w:rsidRDefault="00D01A74">
            <w:pPr>
              <w:snapToGrid w:val="0"/>
              <w:jc w:val="both"/>
              <w:rPr>
                <w:rFonts w:ascii="Arial" w:hAnsi="Arial" w:cs="Arial"/>
                <w:sz w:val="20"/>
                <w:szCs w:val="20"/>
              </w:rPr>
            </w:pPr>
            <w:r>
              <w:rPr>
                <w:rFonts w:ascii="Arial" w:hAnsi="Arial" w:cs="Arial"/>
                <w:sz w:val="20"/>
                <w:szCs w:val="20"/>
              </w:rPr>
              <w:t>Dopravné prostriedky</w:t>
            </w:r>
          </w:p>
        </w:tc>
        <w:tc>
          <w:tcPr>
            <w:tcW w:w="2268" w:type="dxa"/>
            <w:tcBorders>
              <w:top w:val="single" w:sz="4" w:space="0" w:color="000000"/>
              <w:left w:val="single" w:sz="4" w:space="0" w:color="000000"/>
              <w:bottom w:val="single" w:sz="4" w:space="0" w:color="000000"/>
            </w:tcBorders>
            <w:shd w:val="clear" w:color="auto" w:fill="auto"/>
          </w:tcPr>
          <w:p w:rsidR="00D01A74" w:rsidRDefault="00D01A74">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D01A74" w:rsidRDefault="00D01A74">
            <w:pPr>
              <w:snapToGrid w:val="0"/>
              <w:jc w:val="center"/>
              <w:rPr>
                <w:rFonts w:ascii="Arial" w:hAnsi="Arial" w:cs="Arial"/>
                <w:sz w:val="20"/>
                <w:szCs w:val="20"/>
              </w:rPr>
            </w:pPr>
            <w:r>
              <w:rPr>
                <w:rFonts w:ascii="Arial" w:hAnsi="Arial" w:cs="Arial"/>
                <w:sz w:val="20"/>
                <w:szCs w:val="20"/>
              </w:rPr>
              <w:t>lineárna</w:t>
            </w:r>
          </w:p>
        </w:tc>
        <w:tc>
          <w:tcPr>
            <w:tcW w:w="3147" w:type="dxa"/>
            <w:tcBorders>
              <w:top w:val="single" w:sz="4" w:space="0" w:color="000000"/>
              <w:left w:val="single" w:sz="4" w:space="0" w:color="000000"/>
              <w:bottom w:val="single" w:sz="4" w:space="0" w:color="000000"/>
              <w:right w:val="single" w:sz="4" w:space="0" w:color="000000"/>
            </w:tcBorders>
            <w:shd w:val="clear" w:color="auto" w:fill="auto"/>
          </w:tcPr>
          <w:p w:rsidR="00D01A74" w:rsidRDefault="00D01A74">
            <w:pPr>
              <w:snapToGrid w:val="0"/>
              <w:jc w:val="center"/>
            </w:pPr>
            <w:r>
              <w:rPr>
                <w:rFonts w:ascii="Arial" w:hAnsi="Arial" w:cs="Arial"/>
                <w:sz w:val="20"/>
                <w:szCs w:val="20"/>
              </w:rPr>
              <w:t>25</w:t>
            </w:r>
          </w:p>
        </w:tc>
      </w:tr>
      <w:tr w:rsidR="00D01A74">
        <w:tc>
          <w:tcPr>
            <w:tcW w:w="3227" w:type="dxa"/>
            <w:tcBorders>
              <w:top w:val="single" w:sz="4" w:space="0" w:color="000000"/>
              <w:left w:val="single" w:sz="4" w:space="0" w:color="000000"/>
              <w:bottom w:val="single" w:sz="4" w:space="0" w:color="000000"/>
            </w:tcBorders>
            <w:shd w:val="clear" w:color="auto" w:fill="auto"/>
          </w:tcPr>
          <w:p w:rsidR="00D01A74" w:rsidRDefault="00D01A74">
            <w:pPr>
              <w:snapToGrid w:val="0"/>
              <w:jc w:val="both"/>
              <w:rPr>
                <w:rFonts w:ascii="Arial" w:hAnsi="Arial" w:cs="Arial"/>
                <w:sz w:val="20"/>
                <w:szCs w:val="20"/>
              </w:rPr>
            </w:pPr>
            <w:r>
              <w:rPr>
                <w:rFonts w:ascii="Arial" w:hAnsi="Arial" w:cs="Arial"/>
                <w:sz w:val="20"/>
                <w:szCs w:val="20"/>
              </w:rPr>
              <w:t>Drobný hmotný majetok</w:t>
            </w:r>
          </w:p>
        </w:tc>
        <w:tc>
          <w:tcPr>
            <w:tcW w:w="2268" w:type="dxa"/>
            <w:tcBorders>
              <w:top w:val="single" w:sz="4" w:space="0" w:color="000000"/>
              <w:left w:val="single" w:sz="4" w:space="0" w:color="000000"/>
              <w:bottom w:val="single" w:sz="4" w:space="0" w:color="000000"/>
            </w:tcBorders>
            <w:shd w:val="clear" w:color="auto" w:fill="auto"/>
          </w:tcPr>
          <w:p w:rsidR="00D01A74" w:rsidRDefault="00D01A74">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D01A74" w:rsidRDefault="00D01A74">
            <w:pPr>
              <w:snapToGrid w:val="0"/>
              <w:jc w:val="center"/>
              <w:rPr>
                <w:rFonts w:ascii="Arial" w:hAnsi="Arial" w:cs="Arial"/>
                <w:sz w:val="20"/>
                <w:szCs w:val="20"/>
              </w:rPr>
            </w:pPr>
            <w:r>
              <w:rPr>
                <w:rFonts w:ascii="Arial" w:hAnsi="Arial" w:cs="Arial"/>
                <w:sz w:val="20"/>
                <w:szCs w:val="20"/>
              </w:rPr>
              <w:t>jednorazový odpis</w:t>
            </w:r>
          </w:p>
        </w:tc>
        <w:tc>
          <w:tcPr>
            <w:tcW w:w="3147" w:type="dxa"/>
            <w:tcBorders>
              <w:top w:val="single" w:sz="4" w:space="0" w:color="000000"/>
              <w:left w:val="single" w:sz="4" w:space="0" w:color="000000"/>
              <w:bottom w:val="single" w:sz="4" w:space="0" w:color="000000"/>
              <w:right w:val="single" w:sz="4" w:space="0" w:color="000000"/>
            </w:tcBorders>
            <w:shd w:val="clear" w:color="auto" w:fill="auto"/>
          </w:tcPr>
          <w:p w:rsidR="00D01A74" w:rsidRDefault="00D01A74">
            <w:pPr>
              <w:snapToGrid w:val="0"/>
              <w:jc w:val="center"/>
            </w:pPr>
            <w:r>
              <w:rPr>
                <w:rFonts w:ascii="Arial" w:hAnsi="Arial" w:cs="Arial"/>
                <w:sz w:val="20"/>
                <w:szCs w:val="20"/>
              </w:rPr>
              <w:t>100</w:t>
            </w:r>
          </w:p>
        </w:tc>
      </w:tr>
    </w:tbl>
    <w:p w:rsidR="00D01A74" w:rsidRDefault="00D01A74">
      <w:pPr>
        <w:jc w:val="both"/>
      </w:pPr>
    </w:p>
    <w:p w:rsidR="00D01A74" w:rsidRDefault="00D01A74">
      <w:pPr>
        <w:jc w:val="both"/>
        <w:rPr>
          <w:rFonts w:ascii="Arial" w:eastAsia="TimesNewRomanPSMT" w:hAnsi="Arial" w:cs="Arial"/>
          <w:sz w:val="20"/>
          <w:szCs w:val="20"/>
        </w:rPr>
      </w:pPr>
      <w:r>
        <w:rPr>
          <w:rFonts w:ascii="Arial" w:eastAsia="TimesNewRomanPS-BoldMT" w:hAnsi="Arial" w:cs="Arial"/>
          <w:b/>
          <w:bCs/>
          <w:sz w:val="20"/>
          <w:szCs w:val="20"/>
        </w:rPr>
        <w:t>(c) Cenné papiere a podiely</w:t>
      </w:r>
    </w:p>
    <w:p w:rsidR="00D01A74" w:rsidRDefault="00D01A74">
      <w:pPr>
        <w:autoSpaceDE w:val="0"/>
        <w:jc w:val="both"/>
        <w:rPr>
          <w:rFonts w:ascii="Arial" w:eastAsia="TimesNewRomanPS-BoldMT" w:hAnsi="Arial" w:cs="Arial"/>
          <w:b/>
          <w:bCs/>
          <w:sz w:val="20"/>
          <w:szCs w:val="20"/>
        </w:rPr>
      </w:pPr>
      <w:r>
        <w:rPr>
          <w:rFonts w:ascii="Arial" w:eastAsia="TimesNewRomanPSMT" w:hAnsi="Arial" w:cs="Arial"/>
          <w:sz w:val="20"/>
          <w:szCs w:val="20"/>
        </w:rPr>
        <w:t>Cenné papiere a podiely (okrem cenných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p w:rsidR="00D01A74" w:rsidRDefault="00D01A74">
      <w:pPr>
        <w:autoSpaceDE w:val="0"/>
        <w:jc w:val="both"/>
        <w:rPr>
          <w:rFonts w:ascii="Arial" w:eastAsia="TimesNewRomanPS-BoldMT" w:hAnsi="Arial" w:cs="Arial"/>
          <w:b/>
          <w:bCs/>
          <w:sz w:val="20"/>
          <w:szCs w:val="20"/>
        </w:rPr>
      </w:pPr>
    </w:p>
    <w:p w:rsidR="00D01A74" w:rsidRDefault="00D01A74">
      <w:pPr>
        <w:autoSpaceDE w:val="0"/>
        <w:jc w:val="both"/>
        <w:rPr>
          <w:rFonts w:ascii="Arial" w:eastAsia="TimesNewRomanPSMT" w:hAnsi="Arial" w:cs="Arial"/>
          <w:sz w:val="20"/>
          <w:szCs w:val="20"/>
        </w:rPr>
      </w:pPr>
      <w:r>
        <w:rPr>
          <w:rFonts w:ascii="Arial" w:eastAsia="TimesNewRomanPS-BoldMT" w:hAnsi="Arial" w:cs="Arial"/>
          <w:b/>
          <w:bCs/>
          <w:sz w:val="20"/>
          <w:szCs w:val="20"/>
        </w:rPr>
        <w:t>(d) Zásoby</w:t>
      </w:r>
    </w:p>
    <w:p w:rsidR="00D01A74" w:rsidRDefault="00D01A74">
      <w:pPr>
        <w:autoSpaceDE w:val="0"/>
        <w:jc w:val="both"/>
        <w:rPr>
          <w:rFonts w:ascii="Arial" w:eastAsia="TimesNewRomanPS-BoldMT" w:hAnsi="Arial" w:cs="Arial"/>
          <w:b/>
          <w:bCs/>
          <w:sz w:val="20"/>
          <w:szCs w:val="20"/>
        </w:rPr>
      </w:pPr>
      <w:r>
        <w:rPr>
          <w:rFonts w:ascii="Arial" w:eastAsia="TimesNewRomanPSMT" w:hAnsi="Arial" w:cs="Arial"/>
          <w:sz w:val="20"/>
          <w:szCs w:val="20"/>
        </w:rPr>
        <w:t xml:space="preserve">Zásoby sa oceňujú obstarávacou cenou (nakupované zásoby) alebo vlastnými nákladmi (zásoby vytvorené vlastnou činnosťou). Obstarávacia cena zahŕňa cenu zásob a náklady súvisiace s obstaraním (clo, prepravu, </w:t>
      </w:r>
      <w:r>
        <w:rPr>
          <w:rFonts w:ascii="Arial" w:eastAsia="TimesNewRomanPSMT" w:hAnsi="Arial" w:cs="Arial"/>
          <w:sz w:val="20"/>
          <w:szCs w:val="20"/>
        </w:rPr>
        <w:lastRenderedPageBreak/>
        <w:t>poistné, provízie, skonto a pod.). Úroky z cudzích zdrojov nie sú súčasťou obstarávacej ceny. Nakupované zásoby sa oceňujú váženým aritmetickým priemerom 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Čistá realizačná hodnota je predpokladaná predajná cena znížená o predpokladané náklady na ich dokončenie a o predpokladané náklady súvisiace s ich predajom. Zníženie hodnoty zásob sa zohľadňuje vytvorením opravnej položky.</w:t>
      </w:r>
    </w:p>
    <w:p w:rsidR="00D01A74" w:rsidRDefault="00D01A74">
      <w:pPr>
        <w:autoSpaceDE w:val="0"/>
        <w:jc w:val="both"/>
        <w:rPr>
          <w:rFonts w:ascii="Arial" w:eastAsia="TimesNewRomanPS-BoldMT" w:hAnsi="Arial" w:cs="Arial"/>
          <w:b/>
          <w:bCs/>
          <w:sz w:val="20"/>
          <w:szCs w:val="20"/>
        </w:rPr>
      </w:pPr>
    </w:p>
    <w:p w:rsidR="00D01A74" w:rsidRDefault="00D01A74">
      <w:pPr>
        <w:autoSpaceDE w:val="0"/>
        <w:jc w:val="both"/>
        <w:rPr>
          <w:rFonts w:ascii="Arial" w:eastAsia="TimesNewRomanPSMT" w:hAnsi="Arial" w:cs="Arial"/>
          <w:sz w:val="20"/>
          <w:szCs w:val="20"/>
        </w:rPr>
      </w:pPr>
      <w:r>
        <w:rPr>
          <w:rFonts w:ascii="Arial" w:eastAsia="TimesNewRomanPS-BoldMT" w:hAnsi="Arial" w:cs="Arial"/>
          <w:b/>
          <w:bCs/>
          <w:sz w:val="20"/>
          <w:szCs w:val="20"/>
        </w:rPr>
        <w:t>(e) Zákazková výroba</w:t>
      </w:r>
    </w:p>
    <w:p w:rsidR="00D01A74" w:rsidRDefault="00D01A74">
      <w:pPr>
        <w:autoSpaceDE w:val="0"/>
        <w:jc w:val="both"/>
        <w:rPr>
          <w:rFonts w:ascii="Arial" w:eastAsia="TimesNewRomanPSMT" w:hAnsi="Arial" w:cs="Arial"/>
          <w:sz w:val="20"/>
          <w:szCs w:val="20"/>
        </w:rPr>
      </w:pPr>
      <w:r>
        <w:rPr>
          <w:rFonts w:ascii="Arial" w:eastAsia="TimesNewRomanPSMT" w:hAnsi="Arial" w:cs="Arial"/>
          <w:sz w:val="20"/>
          <w:szCs w:val="20"/>
        </w:rPr>
        <w:t>Zákazková výroba sa vykazuje použitím metódy stupňa dokončenia zákazky.</w:t>
      </w:r>
    </w:p>
    <w:p w:rsidR="00D01A74" w:rsidRDefault="00D01A74">
      <w:pPr>
        <w:autoSpaceDE w:val="0"/>
        <w:jc w:val="both"/>
        <w:rPr>
          <w:rFonts w:ascii="Arial" w:eastAsia="TimesNewRomanPSMT" w:hAnsi="Arial" w:cs="Arial"/>
          <w:sz w:val="20"/>
          <w:szCs w:val="20"/>
        </w:rPr>
      </w:pPr>
    </w:p>
    <w:p w:rsidR="00D01A74" w:rsidRDefault="00D01A74">
      <w:pPr>
        <w:autoSpaceDE w:val="0"/>
        <w:jc w:val="both"/>
        <w:rPr>
          <w:rFonts w:ascii="Arial" w:eastAsia="TimesNewRomanPS-BoldItalicMT" w:hAnsi="Arial" w:cs="Arial"/>
          <w:b/>
          <w:bCs/>
          <w:i/>
          <w:iCs/>
          <w:sz w:val="20"/>
          <w:szCs w:val="20"/>
        </w:rPr>
      </w:pPr>
      <w:r>
        <w:rPr>
          <w:rFonts w:ascii="Arial" w:eastAsia="TimesNewRomanPS-BoldMT" w:hAnsi="Arial" w:cs="Arial"/>
          <w:b/>
          <w:bCs/>
          <w:sz w:val="20"/>
          <w:szCs w:val="20"/>
        </w:rPr>
        <w:t>(f) Zákazková výstavba nehnuteľnosti</w:t>
      </w:r>
    </w:p>
    <w:p w:rsidR="00D01A74" w:rsidRDefault="00D01A74">
      <w:pPr>
        <w:autoSpaceDE w:val="0"/>
        <w:jc w:val="both"/>
        <w:rPr>
          <w:rFonts w:ascii="Arial" w:eastAsia="TimesNewRomanPSMT" w:hAnsi="Arial" w:cs="Arial"/>
          <w:sz w:val="20"/>
          <w:szCs w:val="20"/>
        </w:rPr>
      </w:pPr>
      <w:r>
        <w:rPr>
          <w:rFonts w:ascii="Arial" w:eastAsia="TimesNewRomanPS-BoldItalicMT" w:hAnsi="Arial" w:cs="Arial"/>
          <w:b/>
          <w:bCs/>
          <w:i/>
          <w:iCs/>
          <w:sz w:val="20"/>
          <w:szCs w:val="20"/>
        </w:rPr>
        <w:t>Zákazková výstavba nehnuteľnosti – priebežný transfer</w:t>
      </w:r>
    </w:p>
    <w:p w:rsidR="00D01A74" w:rsidRDefault="00D01A74">
      <w:pPr>
        <w:autoSpaceDE w:val="0"/>
        <w:jc w:val="both"/>
        <w:rPr>
          <w:rStyle w:val="Predvolenpsmoodseku1"/>
          <w:rFonts w:ascii="Arial" w:eastAsia="TimesNewRomanPS-BoldItalicMT" w:hAnsi="Arial" w:cs="Arial"/>
          <w:b/>
          <w:bCs/>
          <w:i/>
          <w:iCs/>
          <w:sz w:val="20"/>
          <w:szCs w:val="20"/>
        </w:rPr>
      </w:pPr>
      <w:r>
        <w:rPr>
          <w:rFonts w:ascii="Arial" w:eastAsia="TimesNewRomanPSMT" w:hAnsi="Arial" w:cs="Arial"/>
          <w:sz w:val="20"/>
          <w:szCs w:val="20"/>
        </w:rPr>
        <w:t>Zákazková výstavba nehnuteľnosti určenej na predaj sa vykazuje podľa metódy stupňa dokončenia.</w:t>
      </w:r>
    </w:p>
    <w:p w:rsidR="00D01A74" w:rsidRDefault="00D01A74">
      <w:pPr>
        <w:autoSpaceDE w:val="0"/>
        <w:jc w:val="both"/>
        <w:rPr>
          <w:rStyle w:val="Predvolenpsmoodseku1"/>
          <w:rFonts w:ascii="Arial" w:eastAsia="TimesNewRomanPSMT" w:hAnsi="Arial" w:cs="Arial"/>
          <w:sz w:val="20"/>
          <w:szCs w:val="20"/>
        </w:rPr>
      </w:pPr>
      <w:r>
        <w:rPr>
          <w:rStyle w:val="Predvolenpsmoodseku1"/>
          <w:rFonts w:ascii="Arial" w:eastAsia="TimesNewRomanPS-BoldItalicMT" w:hAnsi="Arial" w:cs="Arial"/>
          <w:b/>
          <w:bCs/>
          <w:i/>
          <w:iCs/>
          <w:sz w:val="20"/>
          <w:szCs w:val="20"/>
        </w:rPr>
        <w:t>Zákazková výstavba nehnuteľnosti – ostatn</w:t>
      </w:r>
      <w:r>
        <w:rPr>
          <w:rStyle w:val="Predvolenpsmoodseku1"/>
          <w:rFonts w:ascii="Arial" w:eastAsia="TimesNewRomanPSMT" w:hAnsi="Arial" w:cs="Arial"/>
          <w:sz w:val="20"/>
          <w:szCs w:val="20"/>
        </w:rPr>
        <w:t xml:space="preserve">á </w:t>
      </w:r>
      <w:r>
        <w:rPr>
          <w:rStyle w:val="Predvolenpsmoodseku1"/>
          <w:rFonts w:ascii="Arial" w:eastAsia="TimesNewRomanPS-BoldItalicMT" w:hAnsi="Arial" w:cs="Arial"/>
          <w:b/>
          <w:bCs/>
          <w:i/>
          <w:iCs/>
          <w:sz w:val="20"/>
          <w:szCs w:val="20"/>
        </w:rPr>
        <w:t>(nie priebežný transfer)</w:t>
      </w:r>
    </w:p>
    <w:p w:rsidR="00D01A74" w:rsidRDefault="00D01A74">
      <w:pPr>
        <w:autoSpaceDE w:val="0"/>
        <w:jc w:val="both"/>
        <w:rPr>
          <w:rFonts w:ascii="Arial" w:hAnsi="Arial" w:cs="Arial"/>
          <w:b/>
          <w:sz w:val="20"/>
          <w:szCs w:val="20"/>
        </w:rPr>
      </w:pPr>
      <w:r>
        <w:rPr>
          <w:rStyle w:val="Predvolenpsmoodseku1"/>
          <w:rFonts w:ascii="Arial" w:eastAsia="TimesNewRomanPSMT" w:hAnsi="Arial" w:cs="Arial"/>
          <w:sz w:val="20"/>
          <w:szCs w:val="20"/>
        </w:rPr>
        <w:t>Zákazková výstavba nehnuteľnosti určenej na predaj – ostatná (nie priebežný transfer) sa vykazuje metódou tzv. Nulového zisku, t. j. zisk sa vykáže až pri predaji nehnuteľnosti.</w:t>
      </w:r>
    </w:p>
    <w:p w:rsidR="00D01A74" w:rsidRDefault="00D01A74">
      <w:pPr>
        <w:jc w:val="both"/>
        <w:rPr>
          <w:rFonts w:ascii="Arial" w:hAnsi="Arial" w:cs="Arial"/>
          <w:b/>
          <w:sz w:val="20"/>
          <w:szCs w:val="20"/>
        </w:rPr>
      </w:pPr>
    </w:p>
    <w:p w:rsidR="00D01A74" w:rsidRDefault="00D01A74">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(g) Pohľadávky</w:t>
      </w:r>
    </w:p>
    <w:p w:rsidR="00D01A74" w:rsidRDefault="00D01A74">
      <w:pPr>
        <w:jc w:val="both"/>
        <w:rPr>
          <w:rFonts w:ascii="Arial" w:hAnsi="Arial" w:cs="Arial"/>
          <w:sz w:val="20"/>
          <w:szCs w:val="20"/>
        </w:rPr>
      </w:pPr>
      <w:r>
        <w:rPr>
          <w:rStyle w:val="Predvolenpsmoodseku1"/>
          <w:rFonts w:ascii="Arial" w:eastAsia="TimesNewRomanPSMT"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01A74" w:rsidRDefault="00D01A74">
      <w:pPr>
        <w:jc w:val="both"/>
        <w:rPr>
          <w:rFonts w:ascii="Arial" w:hAnsi="Arial" w:cs="Arial"/>
          <w:sz w:val="20"/>
          <w:szCs w:val="20"/>
        </w:rPr>
      </w:pPr>
    </w:p>
    <w:p w:rsidR="00D01A74" w:rsidRDefault="00D01A74">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(h) Peňažné prostriedky a ceniny</w:t>
      </w:r>
    </w:p>
    <w:p w:rsidR="00D01A74" w:rsidRDefault="00D01A74">
      <w:pPr>
        <w:jc w:val="both"/>
        <w:rPr>
          <w:rFonts w:ascii="Arial" w:hAnsi="Arial" w:cs="Arial"/>
          <w:b/>
          <w:sz w:val="20"/>
          <w:szCs w:val="20"/>
        </w:rPr>
      </w:pPr>
      <w:r>
        <w:rPr>
          <w:rStyle w:val="Predvolenpsmoodseku1"/>
          <w:rFonts w:ascii="Arial" w:eastAsia="TimesNewRomanPSMT" w:hAnsi="Arial" w:cs="Arial"/>
          <w:sz w:val="20"/>
          <w:szCs w:val="20"/>
        </w:rPr>
        <w:t>Peňažné prostriedky a ceniny sa oceňujú ich menovitou hodnotou. Zníženie ich hodnoty sa vyjadruje opravnou položkou.</w:t>
      </w:r>
    </w:p>
    <w:p w:rsidR="00D01A74" w:rsidRDefault="00D01A74">
      <w:pPr>
        <w:jc w:val="both"/>
        <w:rPr>
          <w:rFonts w:ascii="Arial" w:hAnsi="Arial" w:cs="Arial"/>
          <w:b/>
          <w:sz w:val="20"/>
          <w:szCs w:val="20"/>
        </w:rPr>
      </w:pPr>
    </w:p>
    <w:p w:rsidR="00D01A74" w:rsidRDefault="00D01A74">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(i) Náklady budúcich období a príjmy budúcich období</w:t>
      </w:r>
    </w:p>
    <w:p w:rsidR="00D01A74" w:rsidRDefault="00D01A74">
      <w:pPr>
        <w:jc w:val="both"/>
        <w:rPr>
          <w:rFonts w:ascii="Arial" w:hAnsi="Arial" w:cs="Arial"/>
          <w:sz w:val="20"/>
          <w:szCs w:val="20"/>
        </w:rPr>
      </w:pPr>
      <w:r>
        <w:rPr>
          <w:rStyle w:val="Predvolenpsmoodseku1"/>
          <w:rFonts w:ascii="Arial" w:eastAsia="TimesNewRomanPSMT" w:hAnsi="Arial" w:cs="Arial"/>
          <w:sz w:val="20"/>
          <w:szCs w:val="20"/>
        </w:rPr>
        <w:t>Náklady budúcich období a príjmy budúcich období sa vykazujú vo výške, ktorá je potrebná na dodržanie zásady vecnej a časovej súvislosti s účtovným obdobím.</w:t>
      </w:r>
    </w:p>
    <w:p w:rsidR="00D01A74" w:rsidRDefault="00D01A74">
      <w:pPr>
        <w:jc w:val="both"/>
        <w:rPr>
          <w:rFonts w:ascii="Arial" w:hAnsi="Arial" w:cs="Arial"/>
          <w:sz w:val="20"/>
          <w:szCs w:val="20"/>
        </w:rPr>
      </w:pPr>
    </w:p>
    <w:p w:rsidR="00D01A74" w:rsidRDefault="00D01A74">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(j) Rezervy</w:t>
      </w:r>
    </w:p>
    <w:p w:rsidR="00D01A74" w:rsidRDefault="00D01A74">
      <w:pPr>
        <w:jc w:val="both"/>
        <w:rPr>
          <w:rFonts w:ascii="Arial" w:hAnsi="Arial" w:cs="Arial"/>
          <w:sz w:val="20"/>
          <w:szCs w:val="20"/>
        </w:rPr>
      </w:pPr>
      <w:r>
        <w:rPr>
          <w:rStyle w:val="Predvolenpsmoodseku1"/>
          <w:rFonts w:ascii="Arial" w:eastAsia="TimesNewRomanPSMT" w:hAnsi="Arial" w:cs="Arial"/>
          <w:sz w:val="20"/>
          <w:szCs w:val="20"/>
        </w:rPr>
        <w:t>Rezervy sú záväzky s neurčitým časovým vymedzením alebo výškou; tvoria sa na krytie známych rizík alebo strát z podnikania. Oceňujú sa v očakávanej výške záväzku.</w:t>
      </w:r>
    </w:p>
    <w:p w:rsidR="00D01A74" w:rsidRDefault="00D01A74">
      <w:pPr>
        <w:jc w:val="both"/>
        <w:rPr>
          <w:rFonts w:ascii="Arial" w:hAnsi="Arial" w:cs="Arial"/>
          <w:sz w:val="20"/>
          <w:szCs w:val="20"/>
        </w:rPr>
      </w:pPr>
    </w:p>
    <w:p w:rsidR="00D01A74" w:rsidRDefault="00D01A74">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(k) Záväzky</w:t>
      </w:r>
    </w:p>
    <w:p w:rsidR="00D01A74" w:rsidRDefault="00D01A74">
      <w:pPr>
        <w:jc w:val="both"/>
        <w:rPr>
          <w:rFonts w:ascii="Arial" w:hAnsi="Arial" w:cs="Arial"/>
          <w:sz w:val="20"/>
          <w:szCs w:val="20"/>
        </w:rPr>
      </w:pPr>
      <w:r>
        <w:rPr>
          <w:rStyle w:val="Predvolenpsmoodseku1"/>
          <w:rFonts w:ascii="Arial" w:eastAsia="TimesNewRomanPSMT"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D01A74" w:rsidRDefault="00D01A74">
      <w:pPr>
        <w:jc w:val="both"/>
        <w:rPr>
          <w:rFonts w:ascii="Arial" w:hAnsi="Arial" w:cs="Arial"/>
          <w:sz w:val="20"/>
          <w:szCs w:val="20"/>
        </w:rPr>
      </w:pPr>
    </w:p>
    <w:p w:rsidR="00D01A74" w:rsidRDefault="00D01A74">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(l) Odložené dane</w:t>
      </w:r>
    </w:p>
    <w:p w:rsidR="00D01A74" w:rsidRDefault="00D01A74">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Odložené dane (odložená daňová pohľadávka a odložený daňový záväzok) sa vzťahujú na:</w:t>
      </w:r>
    </w:p>
    <w:p w:rsidR="00D01A74" w:rsidRDefault="00D01A74">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a) dočasné rozdiely medzi účtovnou hodnotou majetku a účtovnou hodnotou záväzkov vykázanou v súvahe a ich daňovou základňou,</w:t>
      </w:r>
    </w:p>
    <w:p w:rsidR="00D01A74" w:rsidRDefault="00D01A74">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b) možnosť umorovať daňovú stratu v budúcnosti, ktorou sa rozumie možnosť odpočítať daňovú stratu od základu dane v budúcnosti,</w:t>
      </w:r>
    </w:p>
    <w:p w:rsidR="00D01A74" w:rsidRDefault="00D01A74">
      <w:pPr>
        <w:jc w:val="both"/>
        <w:rPr>
          <w:rFonts w:ascii="Arial" w:hAnsi="Arial" w:cs="Arial"/>
          <w:b/>
          <w:sz w:val="20"/>
          <w:szCs w:val="20"/>
        </w:rPr>
      </w:pPr>
      <w:r>
        <w:rPr>
          <w:rStyle w:val="Predvolenpsmoodseku1"/>
          <w:rFonts w:ascii="Arial" w:eastAsia="TimesNewRomanPSMT" w:hAnsi="Arial" w:cs="Arial"/>
          <w:sz w:val="20"/>
          <w:szCs w:val="20"/>
        </w:rPr>
        <w:t>c) možnosť previesť nevyužité daňové odpočty a iné daňové nároky do budúcich období.</w:t>
      </w:r>
    </w:p>
    <w:p w:rsidR="00D01A74" w:rsidRDefault="00D01A74">
      <w:pPr>
        <w:jc w:val="both"/>
        <w:rPr>
          <w:rFonts w:ascii="Arial" w:hAnsi="Arial" w:cs="Arial"/>
          <w:b/>
          <w:sz w:val="20"/>
          <w:szCs w:val="20"/>
        </w:rPr>
      </w:pPr>
    </w:p>
    <w:p w:rsidR="00D01A74" w:rsidRDefault="00D01A74">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(m) Výdavky budúcich období a výnosy budúcich období</w:t>
      </w:r>
    </w:p>
    <w:p w:rsidR="00D01A74" w:rsidRDefault="00D01A74">
      <w:pPr>
        <w:jc w:val="both"/>
        <w:rPr>
          <w:rFonts w:ascii="Arial" w:hAnsi="Arial" w:cs="Arial"/>
          <w:sz w:val="20"/>
          <w:szCs w:val="20"/>
        </w:rPr>
      </w:pPr>
      <w:r>
        <w:rPr>
          <w:rStyle w:val="Predvolenpsmoodseku1"/>
          <w:rFonts w:ascii="Arial" w:eastAsia="TimesNewRomanPSMT" w:hAnsi="Arial" w:cs="Arial"/>
          <w:sz w:val="20"/>
          <w:szCs w:val="20"/>
        </w:rPr>
        <w:t>Výdavky budúcich období a výnosy budúcich období sa vykazujú vo výške, ktorá je potrebná na dodržanie zásady vecnej a časovej súvislosti s účtovným obdobím.</w:t>
      </w:r>
    </w:p>
    <w:p w:rsidR="00D01A74" w:rsidRDefault="00D01A74">
      <w:pPr>
        <w:jc w:val="both"/>
        <w:rPr>
          <w:rFonts w:ascii="Arial" w:hAnsi="Arial" w:cs="Arial"/>
          <w:sz w:val="20"/>
          <w:szCs w:val="20"/>
        </w:rPr>
      </w:pPr>
    </w:p>
    <w:p w:rsidR="00D01A74" w:rsidRDefault="00D01A74">
      <w:pPr>
        <w:autoSpaceDE w:val="0"/>
        <w:jc w:val="both"/>
        <w:rPr>
          <w:rFonts w:ascii="Arial" w:eastAsia="TimesNewRomanPSMT" w:hAnsi="Arial" w:cs="Arial"/>
          <w:sz w:val="20"/>
          <w:szCs w:val="20"/>
        </w:rPr>
      </w:pPr>
      <w:r>
        <w:rPr>
          <w:rFonts w:ascii="Arial" w:hAnsi="Arial" w:cs="Arial"/>
          <w:b/>
          <w:sz w:val="20"/>
          <w:szCs w:val="20"/>
        </w:rPr>
        <w:t>(p) Prenájom (lízing)</w:t>
      </w:r>
    </w:p>
    <w:p w:rsidR="00D01A74" w:rsidRDefault="00D01A74">
      <w:pPr>
        <w:autoSpaceDE w:val="0"/>
        <w:jc w:val="both"/>
        <w:rPr>
          <w:rFonts w:ascii="Arial" w:eastAsia="TimesNewRomanPSMT" w:hAnsi="Arial" w:cs="Arial"/>
          <w:sz w:val="20"/>
          <w:szCs w:val="20"/>
        </w:rPr>
      </w:pPr>
      <w:r>
        <w:rPr>
          <w:rFonts w:ascii="Arial" w:eastAsia="TimesNewRomanPSMT" w:hAnsi="Arial" w:cs="Arial"/>
          <w:sz w:val="20"/>
          <w:szCs w:val="20"/>
        </w:rPr>
        <w:t xml:space="preserve">Majetok prenajatý na základe operatívneho prenájmu vykazuje ako svoj majetok jeho vlastník, nie nájomca.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majetku so súvzťažným zápisom v prospech účtu 474 – Záväzky z nájmu vo výške dohodnutých platieb znížených o </w:t>
      </w:r>
      <w:r>
        <w:rPr>
          <w:rFonts w:ascii="Arial" w:eastAsia="TimesNewRomanPSMT" w:hAnsi="Arial" w:cs="Arial"/>
          <w:sz w:val="20"/>
          <w:szCs w:val="20"/>
        </w:rPr>
        <w:lastRenderedPageBreak/>
        <w:t>nerealizované finančné náklady. 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D01A74" w:rsidRDefault="00D01A74">
      <w:pPr>
        <w:autoSpaceDE w:val="0"/>
        <w:jc w:val="both"/>
        <w:rPr>
          <w:rFonts w:ascii="Arial" w:eastAsia="TimesNewRomanPSMT" w:hAnsi="Arial" w:cs="Arial"/>
          <w:sz w:val="20"/>
          <w:szCs w:val="20"/>
        </w:rPr>
      </w:pPr>
    </w:p>
    <w:p w:rsidR="00D01A74" w:rsidRDefault="00D01A74">
      <w:pPr>
        <w:autoSpaceDE w:val="0"/>
        <w:jc w:val="both"/>
        <w:rPr>
          <w:rFonts w:ascii="Arial" w:eastAsia="TimesNewRomanPSMT" w:hAnsi="Arial" w:cs="Arial"/>
          <w:sz w:val="20"/>
          <w:szCs w:val="20"/>
        </w:rPr>
      </w:pPr>
      <w:r>
        <w:rPr>
          <w:rFonts w:ascii="Arial" w:eastAsia="TimesNewRomanPS-BoldMT" w:hAnsi="Arial" w:cs="Arial"/>
          <w:b/>
          <w:bCs/>
          <w:sz w:val="20"/>
          <w:szCs w:val="20"/>
        </w:rPr>
        <w:t>(q) Deriváty</w:t>
      </w:r>
    </w:p>
    <w:p w:rsidR="00D01A74" w:rsidRDefault="00D01A74">
      <w:pPr>
        <w:autoSpaceDE w:val="0"/>
        <w:jc w:val="both"/>
        <w:rPr>
          <w:rFonts w:ascii="Arial" w:eastAsia="TimesNewRomanPSMT" w:hAnsi="Arial" w:cs="Arial"/>
          <w:sz w:val="20"/>
          <w:szCs w:val="20"/>
        </w:rPr>
      </w:pPr>
      <w:r>
        <w:rPr>
          <w:rFonts w:ascii="Arial" w:eastAsia="TimesNewRomanPSMT" w:hAnsi="Arial" w:cs="Arial"/>
          <w:sz w:val="20"/>
          <w:szCs w:val="20"/>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 Zmeny reálnych hodnôt derivátov určených na obchodovanie na neverejnom trhu sa účtujú bez vplyvu na výsledok hospodárenia, priamo do vlastného imania.</w:t>
      </w:r>
    </w:p>
    <w:p w:rsidR="00D01A74" w:rsidRDefault="00D01A74">
      <w:pPr>
        <w:autoSpaceDE w:val="0"/>
        <w:jc w:val="both"/>
        <w:rPr>
          <w:rFonts w:ascii="Arial" w:eastAsia="TimesNewRomanPSMT" w:hAnsi="Arial" w:cs="Arial"/>
          <w:sz w:val="20"/>
          <w:szCs w:val="20"/>
        </w:rPr>
      </w:pPr>
    </w:p>
    <w:p w:rsidR="00D01A74" w:rsidRDefault="00D01A74">
      <w:pPr>
        <w:autoSpaceDE w:val="0"/>
        <w:jc w:val="both"/>
        <w:rPr>
          <w:rFonts w:ascii="Arial" w:eastAsia="TimesNewRomanPSMT" w:hAnsi="Arial" w:cs="Arial"/>
          <w:sz w:val="20"/>
          <w:szCs w:val="20"/>
        </w:rPr>
      </w:pPr>
      <w:r>
        <w:rPr>
          <w:rFonts w:ascii="Arial" w:eastAsia="TimesNewRomanPS-BoldMT" w:hAnsi="Arial" w:cs="Arial"/>
          <w:b/>
          <w:bCs/>
          <w:sz w:val="20"/>
          <w:szCs w:val="20"/>
        </w:rPr>
        <w:t>(r) Majetok a záväzky zabezpečené derivátmi</w:t>
      </w:r>
    </w:p>
    <w:p w:rsidR="00D01A74" w:rsidRDefault="00D01A74">
      <w:pPr>
        <w:autoSpaceDE w:val="0"/>
        <w:jc w:val="both"/>
        <w:rPr>
          <w:rFonts w:ascii="Arial" w:eastAsia="TimesNewRomanPSMT" w:hAnsi="Arial" w:cs="Arial"/>
          <w:sz w:val="20"/>
          <w:szCs w:val="20"/>
        </w:rPr>
      </w:pPr>
      <w:r>
        <w:rPr>
          <w:rFonts w:ascii="Arial" w:eastAsia="TimesNewRomanPSMT" w:hAnsi="Arial" w:cs="Arial"/>
          <w:sz w:val="20"/>
          <w:szCs w:val="20"/>
        </w:rPr>
        <w:t>Majetok a záväzky zabezpečené derivátmi sa oceňujú reálnou hodnotou. Zmeny reálnych hodnôt majetku a záväzkov zabezpečených derivátmi sa účtujú bez vplyvu na výsledok hospodárenia, priamo do vlastného imania.</w:t>
      </w:r>
    </w:p>
    <w:p w:rsidR="00D01A74" w:rsidRDefault="00D01A74">
      <w:pPr>
        <w:autoSpaceDE w:val="0"/>
        <w:jc w:val="both"/>
        <w:rPr>
          <w:rFonts w:ascii="Arial" w:eastAsia="TimesNewRomanPSMT" w:hAnsi="Arial" w:cs="Arial"/>
          <w:sz w:val="20"/>
          <w:szCs w:val="20"/>
        </w:rPr>
      </w:pPr>
    </w:p>
    <w:p w:rsidR="00D01A74" w:rsidRDefault="00D01A74">
      <w:pPr>
        <w:autoSpaceDE w:val="0"/>
        <w:jc w:val="both"/>
        <w:rPr>
          <w:rFonts w:ascii="Arial" w:eastAsia="TimesNewRomanPSMT" w:hAnsi="Arial" w:cs="Arial"/>
          <w:sz w:val="20"/>
          <w:szCs w:val="20"/>
        </w:rPr>
      </w:pPr>
      <w:r>
        <w:rPr>
          <w:rFonts w:ascii="Arial" w:eastAsia="TimesNewRomanPS-BoldMT" w:hAnsi="Arial" w:cs="Arial"/>
          <w:b/>
          <w:bCs/>
          <w:sz w:val="20"/>
          <w:szCs w:val="20"/>
        </w:rPr>
        <w:t>(s) Cudzia mena</w:t>
      </w:r>
    </w:p>
    <w:p w:rsidR="00D01A74" w:rsidRDefault="00D01A74">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D01A74" w:rsidRDefault="00D01A74">
      <w:pPr>
        <w:autoSpaceDE w:val="0"/>
        <w:jc w:val="both"/>
        <w:rPr>
          <w:rFonts w:ascii="Arial" w:eastAsia="TimesNewRomanPSMT" w:hAnsi="Arial" w:cs="Arial"/>
          <w:sz w:val="20"/>
          <w:szCs w:val="20"/>
        </w:rPr>
      </w:pPr>
      <w:r>
        <w:rPr>
          <w:rFonts w:ascii="Arial" w:eastAsia="TimesNewRomanPSMT" w:hAnsi="Arial" w:cs="Arial"/>
          <w:sz w:val="20"/>
          <w:szCs w:val="20"/>
        </w:rPr>
        <w:t>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D01A74" w:rsidRDefault="00D01A74">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w:t>
      </w:r>
    </w:p>
    <w:p w:rsidR="00D01A74" w:rsidRDefault="00D01A74">
      <w:pPr>
        <w:autoSpaceDE w:val="0"/>
        <w:jc w:val="both"/>
        <w:rPr>
          <w:rFonts w:ascii="Arial" w:eastAsia="TimesNewRomanPSMT" w:hAnsi="Arial" w:cs="Arial"/>
          <w:sz w:val="20"/>
          <w:szCs w:val="20"/>
        </w:rPr>
      </w:pPr>
      <w:r>
        <w:rPr>
          <w:rFonts w:ascii="Arial" w:eastAsia="TimesNewRomanPSMT" w:hAnsi="Arial" w:cs="Arial"/>
          <w:sz w:val="20"/>
          <w:szCs w:val="20"/>
        </w:rPr>
        <w:t>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rsidR="00D01A74" w:rsidRDefault="00D01A74">
      <w:pPr>
        <w:autoSpaceDE w:val="0"/>
        <w:jc w:val="both"/>
        <w:rPr>
          <w:rFonts w:ascii="Arial" w:eastAsia="TimesNewRomanPSMT" w:hAnsi="Arial" w:cs="Arial"/>
          <w:sz w:val="20"/>
          <w:szCs w:val="20"/>
        </w:rPr>
      </w:pPr>
    </w:p>
    <w:p w:rsidR="00D01A74" w:rsidRDefault="00D01A74">
      <w:pPr>
        <w:autoSpaceDE w:val="0"/>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(t) Výnosy</w:t>
      </w:r>
    </w:p>
    <w:p w:rsidR="00D01A74" w:rsidRDefault="00D01A74">
      <w:pPr>
        <w:autoSpaceDE w:val="0"/>
        <w:jc w:val="both"/>
        <w:rPr>
          <w:rFonts w:ascii="Arial" w:eastAsia="TimesNewRomanPSMT" w:hAnsi="Arial" w:cs="Arial"/>
          <w:sz w:val="20"/>
          <w:szCs w:val="20"/>
        </w:rPr>
      </w:pPr>
      <w:r>
        <w:rPr>
          <w:rStyle w:val="Predvolenpsmoodseku1"/>
          <w:rFonts w:ascii="Arial" w:eastAsia="TimesNewRomanPSMT" w:hAnsi="Arial" w:cs="Arial"/>
          <w:sz w:val="20"/>
          <w:szCs w:val="20"/>
        </w:rPr>
        <w:t>Tržby za vlastné výkony a tovar neobsahujú daň z pridanej hodnoty. Sú tiež znížené o zľavy a zrážky (rabaty, bonusy,</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skontá, dobropisy a pod.), bez ohľadu na to, či zákazník mal vopred na zľavu nárok, alebo či ide o dodatočne uznanú</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zľavu.</w:t>
      </w:r>
    </w:p>
    <w:p w:rsidR="00D01A74" w:rsidRDefault="00D01A74">
      <w:pPr>
        <w:autoSpaceDE w:val="0"/>
        <w:jc w:val="both"/>
        <w:rPr>
          <w:rFonts w:ascii="Arial" w:eastAsia="TimesNewRomanPSMT" w:hAnsi="Arial" w:cs="Arial"/>
          <w:sz w:val="20"/>
          <w:szCs w:val="20"/>
        </w:rPr>
      </w:pPr>
    </w:p>
    <w:p w:rsidR="00D01A74" w:rsidRDefault="00D01A74">
      <w:pPr>
        <w:autoSpaceDE w:val="0"/>
        <w:jc w:val="both"/>
        <w:rPr>
          <w:rFonts w:ascii="Arial" w:eastAsia="TimesNewRomanPSMT" w:hAnsi="Arial" w:cs="Arial"/>
          <w:sz w:val="20"/>
          <w:szCs w:val="20"/>
        </w:rPr>
      </w:pPr>
    </w:p>
    <w:p w:rsidR="00D01A74" w:rsidRDefault="00D01A74">
      <w:pPr>
        <w:autoSpaceDE w:val="0"/>
        <w:jc w:val="center"/>
      </w:pPr>
      <w:r>
        <w:rPr>
          <w:rStyle w:val="Predvolenpsmoodseku1"/>
          <w:rFonts w:ascii="Arial" w:eastAsia="TimesNewRomanPSMT" w:hAnsi="Arial" w:cs="Arial"/>
          <w:b/>
        </w:rPr>
        <w:t>III. Informácie, ktoré vysvetľujú a dopĺňajú súvahu a výkaz ziskov a strát</w:t>
      </w:r>
    </w:p>
    <w:sectPr w:rsidR="00D01A74">
      <w:headerReference w:type="default" r:id="rId7"/>
      <w:footerReference w:type="default" r:id="rId8"/>
      <w:pgSz w:w="11906" w:h="16838"/>
      <w:pgMar w:top="1134" w:right="1134" w:bottom="1134" w:left="1134"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F478B" w:rsidRDefault="005F478B">
      <w:pPr>
        <w:spacing w:line="240" w:lineRule="auto"/>
      </w:pPr>
      <w:r>
        <w:separator/>
      </w:r>
    </w:p>
  </w:endnote>
  <w:endnote w:type="continuationSeparator" w:id="1">
    <w:p w:rsidR="005F478B" w:rsidRDefault="005F478B">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PS-BoldMT">
    <w:altName w:val="Times New Roman"/>
    <w:charset w:val="EE"/>
    <w:family w:val="auto"/>
    <w:pitch w:val="default"/>
    <w:sig w:usb0="00000000" w:usb1="00000000" w:usb2="00000000" w:usb3="00000000" w:csb0="00000000" w:csb1="00000000"/>
  </w:font>
  <w:font w:name="TimesNewRomanPSMT">
    <w:charset w:val="EE"/>
    <w:family w:val="roman"/>
    <w:pitch w:val="default"/>
    <w:sig w:usb0="00000000" w:usb1="00000000" w:usb2="00000000" w:usb3="00000000" w:csb0="00000000" w:csb1="00000000"/>
  </w:font>
  <w:font w:name="TimesNewRomanPS-BoldItalicMT">
    <w:charset w:val="EE"/>
    <w:family w:val="script"/>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1A74" w:rsidRDefault="00D01A74">
    <w:pPr>
      <w:pStyle w:val="Pta"/>
      <w:jc w:val="center"/>
    </w:pPr>
    <w:fldSimple w:instr=" PAGE ">
      <w:r w:rsidR="00302B22">
        <w:rPr>
          <w:noProof/>
        </w:rPr>
        <w:t>1</w:t>
      </w:r>
    </w:fldSimple>
  </w:p>
  <w:p w:rsidR="00D01A74" w:rsidRDefault="00D01A74">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F478B" w:rsidRDefault="005F478B">
      <w:pPr>
        <w:spacing w:line="240" w:lineRule="auto"/>
      </w:pPr>
      <w:r>
        <w:separator/>
      </w:r>
    </w:p>
  </w:footnote>
  <w:footnote w:type="continuationSeparator" w:id="1">
    <w:p w:rsidR="005F478B" w:rsidRDefault="005F478B">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1A74" w:rsidRDefault="00D01A74">
    <w:pPr>
      <w:pStyle w:val="Hlavika"/>
      <w:numPr>
        <w:ilvl w:val="0"/>
        <w:numId w:val="1"/>
      </w:numPr>
      <w:rPr>
        <w:b/>
      </w:rPr>
    </w:pPr>
    <w:r>
      <w:rPr>
        <w:b/>
      </w:rPr>
      <w:t xml:space="preserve">Poznámky Úč MÚJ 3 -01                           IČO: </w:t>
    </w:r>
    <w:r w:rsidR="00A37C48">
      <w:rPr>
        <w:b/>
      </w:rPr>
      <w:t>53146948</w:t>
    </w:r>
    <w:r>
      <w:rPr>
        <w:b/>
      </w:rPr>
      <w:t xml:space="preserve">                        DIČ:</w:t>
    </w:r>
    <w:r w:rsidR="00A37C48">
      <w:rPr>
        <w:b/>
      </w:rPr>
      <w:t>2121279721</w:t>
    </w:r>
  </w:p>
  <w:p w:rsidR="00D01A74" w:rsidRDefault="00D01A74">
    <w:pPr>
      <w:pStyle w:val="Hlavika"/>
      <w:rPr>
        <w:b/>
      </w:rPr>
    </w:pPr>
  </w:p>
  <w:p w:rsidR="00D01A74" w:rsidRDefault="00D01A74">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000002"/>
    <w:multiLevelType w:val="multilevel"/>
    <w:tmpl w:val="0000000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grammar="clean"/>
  <w:stylePaneFormatFilter w:val="0000"/>
  <w:defaultTabStop w:val="709"/>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0"/>
    <w:footnote w:id="1"/>
  </w:footnotePr>
  <w:endnotePr>
    <w:endnote w:id="0"/>
    <w:endnote w:id="1"/>
  </w:endnotePr>
  <w:compat>
    <w:spaceForUL/>
    <w:balanceSingleByteDoubleByteWidth/>
    <w:doNotLeaveBackslashAlone/>
    <w:ulTrailSpace/>
    <w:adjustLineHeightInTable/>
  </w:compat>
  <w:rsids>
    <w:rsidRoot w:val="008C3119"/>
    <w:rsid w:val="0012420A"/>
    <w:rsid w:val="001753B6"/>
    <w:rsid w:val="002A339B"/>
    <w:rsid w:val="002C23E7"/>
    <w:rsid w:val="00302B22"/>
    <w:rsid w:val="00393BC4"/>
    <w:rsid w:val="005D0476"/>
    <w:rsid w:val="005F478B"/>
    <w:rsid w:val="00641022"/>
    <w:rsid w:val="006E056C"/>
    <w:rsid w:val="008C3119"/>
    <w:rsid w:val="00A30381"/>
    <w:rsid w:val="00A37C48"/>
    <w:rsid w:val="00AB4505"/>
    <w:rsid w:val="00D01A74"/>
    <w:rsid w:val="00E120B2"/>
    <w:rsid w:val="00F5157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widowControl w:val="0"/>
      <w:suppressAutoHyphens/>
      <w:spacing w:line="100" w:lineRule="atLeast"/>
      <w:textAlignment w:val="baseline"/>
    </w:pPr>
    <w:rPr>
      <w:rFonts w:eastAsia="SimSun" w:cs="Mangal"/>
      <w:kern w:val="1"/>
      <w:sz w:val="24"/>
      <w:szCs w:val="24"/>
      <w:lang w:eastAsia="hi-I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Absatz-Standardschriftart">
    <w:name w:val="Absatz-Standardschriftart"/>
  </w:style>
  <w:style w:type="character" w:customStyle="1" w:styleId="WW-Absatz-Standardschriftart">
    <w:name w:val="WW-Absatz-Standardschriftart"/>
  </w:style>
  <w:style w:type="character" w:customStyle="1" w:styleId="Predvolenpsmoodseku1">
    <w:name w:val="Predvolené písmo odseku1"/>
  </w:style>
  <w:style w:type="character" w:customStyle="1" w:styleId="Symbolypreslovanie">
    <w:name w:val="Symboly pre číslovanie"/>
  </w:style>
  <w:style w:type="character" w:customStyle="1" w:styleId="HlavikaChar">
    <w:name w:val="Hlavička Char"/>
    <w:basedOn w:val="Predvolenpsmoodseku1"/>
    <w:rPr>
      <w:szCs w:val="21"/>
    </w:rPr>
  </w:style>
  <w:style w:type="character" w:customStyle="1" w:styleId="PtaChar">
    <w:name w:val="Päta Char"/>
    <w:basedOn w:val="Predvolenpsmoodseku1"/>
    <w:rPr>
      <w:szCs w:val="21"/>
    </w:rPr>
  </w:style>
  <w:style w:type="character" w:customStyle="1" w:styleId="TextbublinyChar">
    <w:name w:val="Text bubliny Char"/>
    <w:basedOn w:val="Predvolenpsmoodseku1"/>
    <w:rPr>
      <w:rFonts w:ascii="Tahoma" w:hAnsi="Tahoma" w:cs="Tahoma"/>
      <w:sz w:val="16"/>
      <w:szCs w:val="14"/>
    </w:rPr>
  </w:style>
  <w:style w:type="paragraph" w:customStyle="1" w:styleId="Nadpis">
    <w:name w:val="Nadpis"/>
    <w:basedOn w:val="Normlny"/>
    <w:next w:val="Zkladntext"/>
    <w:pPr>
      <w:keepNext/>
      <w:spacing w:before="240" w:after="120"/>
    </w:pPr>
    <w:rPr>
      <w:rFonts w:ascii="Arial" w:eastAsia="Lucida Sans Unicode" w:hAnsi="Arial"/>
      <w:sz w:val="28"/>
      <w:szCs w:val="28"/>
    </w:rPr>
  </w:style>
  <w:style w:type="paragraph" w:styleId="Zkladntext">
    <w:name w:val="Body Text"/>
    <w:basedOn w:val="Normlny"/>
    <w:pPr>
      <w:spacing w:after="120"/>
    </w:pPr>
  </w:style>
  <w:style w:type="paragraph" w:styleId="Zoznam">
    <w:name w:val="List"/>
    <w:basedOn w:val="Zkladntext"/>
  </w:style>
  <w:style w:type="paragraph" w:customStyle="1" w:styleId="Popisok">
    <w:name w:val="Popisok"/>
    <w:basedOn w:val="Normlny"/>
    <w:pPr>
      <w:suppressLineNumbers/>
      <w:spacing w:before="120" w:after="120"/>
    </w:pPr>
    <w:rPr>
      <w:i/>
      <w:iCs/>
    </w:rPr>
  </w:style>
  <w:style w:type="paragraph" w:customStyle="1" w:styleId="Index">
    <w:name w:val="Index"/>
    <w:basedOn w:val="Normlny"/>
    <w:pPr>
      <w:suppressLineNumbers/>
    </w:pPr>
  </w:style>
  <w:style w:type="paragraph" w:customStyle="1" w:styleId="Normlny1">
    <w:name w:val="Normálny1"/>
    <w:pPr>
      <w:widowControl w:val="0"/>
      <w:suppressAutoHyphens/>
      <w:spacing w:line="100" w:lineRule="atLeast"/>
      <w:textAlignment w:val="baseline"/>
    </w:pPr>
    <w:rPr>
      <w:rFonts w:eastAsia="SimSun" w:cs="Mangal"/>
      <w:kern w:val="1"/>
      <w:sz w:val="24"/>
      <w:szCs w:val="24"/>
      <w:lang w:eastAsia="hi-IN" w:bidi="hi-IN"/>
    </w:rPr>
  </w:style>
  <w:style w:type="paragraph" w:customStyle="1" w:styleId="Nzov1">
    <w:name w:val="Názov1"/>
    <w:basedOn w:val="Normlny"/>
    <w:next w:val="Zkladntext"/>
    <w:pPr>
      <w:keepNext/>
      <w:spacing w:before="240" w:after="120"/>
    </w:pPr>
    <w:rPr>
      <w:rFonts w:ascii="Arial" w:hAnsi="Arial" w:cs="Arial"/>
      <w:sz w:val="28"/>
      <w:szCs w:val="28"/>
    </w:rPr>
  </w:style>
  <w:style w:type="paragraph" w:customStyle="1" w:styleId="Popis1">
    <w:name w:val="Popis1"/>
    <w:basedOn w:val="Normlny"/>
    <w:pPr>
      <w:suppressLineNumbers/>
      <w:spacing w:before="120" w:after="120"/>
    </w:pPr>
    <w:rPr>
      <w:i/>
      <w:iCs/>
    </w:rPr>
  </w:style>
  <w:style w:type="paragraph" w:styleId="Hlavika">
    <w:name w:val="header"/>
    <w:basedOn w:val="Normlny1"/>
    <w:pPr>
      <w:tabs>
        <w:tab w:val="center" w:pos="4536"/>
        <w:tab w:val="right" w:pos="9072"/>
      </w:tabs>
    </w:pPr>
    <w:rPr>
      <w:szCs w:val="21"/>
    </w:rPr>
  </w:style>
  <w:style w:type="paragraph" w:styleId="Pta">
    <w:name w:val="footer"/>
    <w:basedOn w:val="Normlny1"/>
    <w:pPr>
      <w:tabs>
        <w:tab w:val="center" w:pos="4536"/>
        <w:tab w:val="right" w:pos="9072"/>
      </w:tabs>
    </w:pPr>
    <w:rPr>
      <w:szCs w:val="21"/>
    </w:rPr>
  </w:style>
  <w:style w:type="paragraph" w:styleId="Textbubliny">
    <w:name w:val="Balloon Text"/>
    <w:basedOn w:val="Normlny1"/>
    <w:rPr>
      <w:rFonts w:ascii="Tahoma" w:hAnsi="Tahoma" w:cs="Tahoma"/>
      <w:sz w:val="16"/>
      <w:szCs w:val="14"/>
    </w:rPr>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1453</Words>
  <Characters>8286</Characters>
  <Application>Microsoft Office Word</Application>
  <DocSecurity>0</DocSecurity>
  <Lines>69</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cp:lastPrinted>2020-03-27T08:07:00Z</cp:lastPrinted>
  <dcterms:created xsi:type="dcterms:W3CDTF">2022-02-18T09:19:00Z</dcterms:created>
  <dcterms:modified xsi:type="dcterms:W3CDTF">2022-02-18T09:19:00Z</dcterms:modified>
</cp:coreProperties>
</file>