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ackground w:color="FFFFFF"/>
  <w:body>
    <w:p>
      <w:pPr>
        <w:pStyle w:val="Telotextu"/>
        <w:jc w:val="center"/>
        <w:rPr>
          <w:b/>
          <w:sz w:val="28"/>
        </w:rPr>
      </w:pPr>
      <w:r>
        <w:rPr>
          <w:b/>
          <w:sz w:val="28"/>
        </w:rPr>
        <w:t>Poznámky k účtovnej závierke k 31. 12. 2021</w:t>
      </w:r>
    </w:p>
    <w:p>
      <w:pPr>
        <w:pStyle w:val="Telotextu"/>
        <w:jc w:val="center"/>
        <w:rPr>
          <w:b/>
          <w:sz w:val="28"/>
        </w:rPr>
      </w:pPr>
      <w:r>
        <w:rPr>
          <w:b/>
          <w:sz w:val="28"/>
        </w:rPr>
      </w:r>
    </w:p>
    <w:p>
      <w:pPr>
        <w:pStyle w:val="Telotextu"/>
        <w:rPr>
          <w:sz w:val="20"/>
        </w:rPr>
      </w:pPr>
      <w:r>
        <w:rPr>
          <w:sz w:val="20"/>
        </w:rPr>
      </w:r>
    </w:p>
    <w:p>
      <w:pPr>
        <w:pStyle w:val="Nadpis1"/>
        <w:numPr>
          <w:ilvl w:val="0"/>
          <w:numId w:val="4"/>
        </w:numPr>
        <w:rPr>
          <w:sz w:val="20"/>
        </w:rPr>
      </w:pPr>
      <w:r>
        <w:rPr>
          <w:sz w:val="20"/>
        </w:rPr>
        <w:t>Informácie o účtovnej jednotke</w:t>
      </w:r>
    </w:p>
    <w:p>
      <w:pPr>
        <w:pStyle w:val="Telotextu"/>
        <w:rPr>
          <w:sz w:val="20"/>
        </w:rPr>
      </w:pPr>
      <w:r>
        <w:rPr>
          <w:sz w:val="20"/>
        </w:rPr>
      </w:r>
    </w:p>
    <w:p>
      <w:pPr>
        <w:pStyle w:val="Nadpis2"/>
        <w:numPr>
          <w:ilvl w:val="1"/>
          <w:numId w:val="3"/>
        </w:numPr>
        <w:rPr>
          <w:sz w:val="20"/>
        </w:rPr>
      </w:pPr>
      <w:r>
        <w:rPr>
          <w:sz w:val="20"/>
        </w:rPr>
        <w:t>Obchodné meno a sídlo spoločnosti:</w:t>
      </w:r>
    </w:p>
    <w:p>
      <w:pPr>
        <w:pStyle w:val="Telotextu"/>
        <w:rPr>
          <w:sz w:val="20"/>
        </w:rPr>
      </w:pPr>
      <w:r>
        <w:rPr>
          <w:sz w:val="20"/>
        </w:rPr>
      </w:r>
    </w:p>
    <w:p>
      <w:pPr>
        <w:pStyle w:val="Telotextu"/>
        <w:tabs>
          <w:tab w:val="center" w:pos="4785" w:leader="none"/>
        </w:tabs>
        <w:ind w:left="360" w:right="0" w:hanging="0"/>
        <w:rPr>
          <w:b/>
          <w:sz w:val="20"/>
        </w:rPr>
      </w:pPr>
      <w:r>
        <w:rPr>
          <w:b/>
          <w:sz w:val="20"/>
        </w:rPr>
        <w:t>TOMKAT s.r.o.</w:t>
        <w:tab/>
      </w:r>
    </w:p>
    <w:p>
      <w:pPr>
        <w:pStyle w:val="Telotextu"/>
        <w:ind w:left="0" w:right="0" w:firstLine="360"/>
        <w:rPr>
          <w:sz w:val="20"/>
        </w:rPr>
      </w:pPr>
      <w:r>
        <w:rPr>
          <w:sz w:val="20"/>
        </w:rPr>
        <w:t>Záhradná 33</w:t>
      </w:r>
    </w:p>
    <w:p>
      <w:pPr>
        <w:pStyle w:val="Telotextu"/>
        <w:ind w:left="0" w:right="0" w:firstLine="360"/>
        <w:rPr>
          <w:sz w:val="20"/>
        </w:rPr>
      </w:pPr>
      <w:r>
        <w:rPr>
          <w:sz w:val="20"/>
        </w:rPr>
        <w:t>080 01 Prešov</w:t>
      </w:r>
    </w:p>
    <w:p>
      <w:pPr>
        <w:pStyle w:val="Telotextu"/>
        <w:rPr>
          <w:sz w:val="20"/>
        </w:rPr>
      </w:pPr>
      <w:r>
        <w:rPr>
          <w:sz w:val="20"/>
        </w:rPr>
      </w:r>
    </w:p>
    <w:p>
      <w:pPr>
        <w:pStyle w:val="Telotextu"/>
        <w:ind w:left="360" w:right="0" w:hanging="0"/>
        <w:rPr>
          <w:sz w:val="20"/>
        </w:rPr>
      </w:pPr>
      <w:r>
        <w:rPr>
          <w:sz w:val="20"/>
        </w:rPr>
        <w:t xml:space="preserve">Spoločnosť TOMKAT s.r.o.  (ďalej len Spoločnosť) bola založená 12.05.2005 a do obchodného registra bola zapísaná 12.05.2005 (Obchodný register Okresného súdu Prešov, oddiel Sro, vložka č.16206/P). </w:t>
      </w:r>
    </w:p>
    <w:p>
      <w:pPr>
        <w:pStyle w:val="Normal"/>
        <w:rPr/>
      </w:pPr>
      <w:r>
        <w:rPr/>
      </w:r>
    </w:p>
    <w:p>
      <w:pPr>
        <w:pStyle w:val="Nadpis2"/>
        <w:numPr>
          <w:ilvl w:val="1"/>
          <w:numId w:val="3"/>
        </w:numPr>
        <w:rPr>
          <w:b w:val="false"/>
          <w:sz w:val="20"/>
        </w:rPr>
      </w:pPr>
      <w:r>
        <w:rPr>
          <w:sz w:val="20"/>
        </w:rPr>
        <w:t>Hlavnými činnosťami Spoločnosti sú</w:t>
      </w:r>
      <w:r>
        <w:rPr>
          <w:b w:val="false"/>
          <w:sz w:val="20"/>
        </w:rPr>
        <w:t>:</w:t>
      </w:r>
    </w:p>
    <w:p>
      <w:pPr>
        <w:pStyle w:val="Normal"/>
        <w:ind w:left="360" w:right="0" w:hanging="0"/>
        <w:rPr/>
      </w:pPr>
      <w:r>
        <w:rPr/>
        <w:t>-kúpa tovaru za účelom jeho predaja konečnému spotrebiteľovi (maloobchod), (veľkoobchod)</w:t>
      </w:r>
    </w:p>
    <w:p>
      <w:pPr>
        <w:pStyle w:val="Normal"/>
        <w:ind w:left="360" w:right="0" w:hanging="0"/>
        <w:rPr/>
      </w:pPr>
      <w:r>
        <w:rPr/>
      </w:r>
    </w:p>
    <w:p>
      <w:pPr>
        <w:pStyle w:val="Normal"/>
        <w:ind w:left="360" w:right="0" w:hanging="0"/>
        <w:rPr/>
      </w:pPr>
      <w:r>
        <w:rPr/>
      </w:r>
    </w:p>
    <w:p>
      <w:pPr>
        <w:pStyle w:val="Nadpis2"/>
        <w:numPr>
          <w:ilvl w:val="1"/>
          <w:numId w:val="3"/>
        </w:numPr>
        <w:rPr>
          <w:sz w:val="20"/>
        </w:rPr>
      </w:pPr>
      <w:r>
        <w:rPr>
          <w:sz w:val="20"/>
        </w:rPr>
        <w:t xml:space="preserve">Priemerný počet zamestnancov </w:t>
      </w:r>
    </w:p>
    <w:p>
      <w:pPr>
        <w:pStyle w:val="Telotextu"/>
        <w:rPr>
          <w:sz w:val="20"/>
        </w:rPr>
      </w:pPr>
      <w:r>
        <w:rPr>
          <w:sz w:val="20"/>
        </w:rPr>
        <w:t xml:space="preserve">Priemerný počet zamestnancov v Spoločnosti v roku 2021 bol </w:t>
      </w:r>
      <w:r>
        <w:rPr>
          <w:color w:val="000000"/>
          <w:sz w:val="20"/>
        </w:rPr>
        <w:t>18</w:t>
      </w:r>
      <w:r>
        <w:rPr>
          <w:color w:val="FF0000"/>
          <w:sz w:val="20"/>
        </w:rPr>
        <w:t xml:space="preserve"> </w:t>
      </w:r>
      <w:r>
        <w:rPr>
          <w:sz w:val="20"/>
        </w:rPr>
        <w:t>z toho 2 vedúci zamestnanec- konateľ.</w:t>
      </w:r>
    </w:p>
    <w:p>
      <w:pPr>
        <w:pStyle w:val="Telotextu"/>
        <w:rPr>
          <w:sz w:val="20"/>
        </w:rPr>
      </w:pPr>
      <w:r>
        <w:rPr>
          <w:sz w:val="20"/>
        </w:rPr>
      </w:r>
    </w:p>
    <w:p>
      <w:pPr>
        <w:pStyle w:val="Nadpis2"/>
        <w:numPr>
          <w:ilvl w:val="1"/>
          <w:numId w:val="3"/>
        </w:numPr>
        <w:rPr>
          <w:sz w:val="20"/>
        </w:rPr>
      </w:pPr>
      <w:r>
        <w:rPr>
          <w:sz w:val="20"/>
        </w:rPr>
        <w:t>Právny dôvod na zostavenie účtovnej závierky</w:t>
      </w:r>
    </w:p>
    <w:p>
      <w:pPr>
        <w:pStyle w:val="Telotextu"/>
        <w:ind w:left="426" w:right="0" w:hanging="426"/>
        <w:rPr>
          <w:sz w:val="20"/>
        </w:rPr>
      </w:pPr>
      <w:r>
        <w:rPr>
          <w:sz w:val="20"/>
        </w:rPr>
        <w:tab/>
        <w:t>Účtovná závierka Spoločnosti k 31. decembru 202</w:t>
      </w:r>
      <w:r>
        <w:rPr>
          <w:sz w:val="20"/>
        </w:rPr>
        <w:t>1</w:t>
      </w:r>
      <w:r>
        <w:rPr>
          <w:sz w:val="20"/>
        </w:rPr>
        <w:t xml:space="preserve"> je zostavená ako riadna účtovná závierka podľa § 17 ods. 6 zákona NR SR č. 431/2002 Z. z. o účtovníctve, za účtovné obdobie od 1. januára 2021 do                     31.decembra 2021.</w:t>
      </w:r>
    </w:p>
    <w:p>
      <w:pPr>
        <w:pStyle w:val="Telotextu"/>
        <w:ind w:left="426" w:right="0" w:hanging="426"/>
        <w:rPr>
          <w:sz w:val="20"/>
        </w:rPr>
      </w:pPr>
      <w:r>
        <w:rPr>
          <w:sz w:val="20"/>
        </w:rPr>
      </w:r>
    </w:p>
    <w:p>
      <w:pPr>
        <w:pStyle w:val="Nadpis2"/>
        <w:numPr>
          <w:ilvl w:val="1"/>
          <w:numId w:val="3"/>
        </w:numPr>
        <w:rPr>
          <w:sz w:val="20"/>
        </w:rPr>
      </w:pPr>
      <w:r>
        <w:rPr>
          <w:sz w:val="20"/>
        </w:rPr>
        <w:t>Dátum schválenia účtovnej závierky za predchádzajúce účtovné obdobie</w:t>
      </w:r>
    </w:p>
    <w:p>
      <w:pPr>
        <w:pStyle w:val="Telotextu"/>
        <w:ind w:left="426" w:right="0" w:hanging="426"/>
        <w:rPr>
          <w:sz w:val="20"/>
        </w:rPr>
      </w:pPr>
      <w:r>
        <w:rPr>
          <w:sz w:val="20"/>
        </w:rPr>
        <w:tab/>
        <w:t>Účtovná závierka Spoločnosti k 31. decembru 2020 za predchádzajúce účtovné obdobie, bola schválená valným zhromaždením Spoločnosti dňa 10.06.2021.</w:t>
      </w:r>
    </w:p>
    <w:p>
      <w:pPr>
        <w:pStyle w:val="Telotextu"/>
        <w:ind w:left="426" w:right="0" w:hanging="426"/>
        <w:rPr>
          <w:color w:val="FF0000"/>
          <w:sz w:val="20"/>
        </w:rPr>
      </w:pPr>
      <w:r>
        <w:rPr>
          <w:color w:val="FF0000"/>
          <w:sz w:val="20"/>
        </w:rPr>
      </w:r>
    </w:p>
    <w:p>
      <w:pPr>
        <w:pStyle w:val="Telotextu"/>
        <w:ind w:left="426" w:right="0" w:hanging="426"/>
        <w:rPr>
          <w:sz w:val="20"/>
        </w:rPr>
      </w:pPr>
      <w:r>
        <w:rPr>
          <w:sz w:val="20"/>
        </w:rPr>
      </w:r>
    </w:p>
    <w:p>
      <w:pPr>
        <w:pStyle w:val="Nadpis1"/>
        <w:numPr>
          <w:ilvl w:val="0"/>
          <w:numId w:val="4"/>
        </w:numPr>
        <w:rPr/>
      </w:pPr>
      <w:r>
        <w:rPr/>
        <w:t>Informácie o orgánoch účtovnej jednotky</w:t>
      </w:r>
    </w:p>
    <w:p>
      <w:pPr>
        <w:pStyle w:val="Normal"/>
        <w:spacing w:lineRule="atLeast" w:line="240" w:before="120" w:after="0"/>
        <w:ind w:left="0" w:right="0" w:firstLine="426"/>
        <w:rPr/>
      </w:pPr>
      <w:r>
        <w:rPr/>
        <w:t xml:space="preserve">                                                                                                                                                                                     </w:t>
      </w:r>
    </w:p>
    <w:tbl>
      <w:tblPr>
        <w:jc w:val="left"/>
        <w:tblInd w:w="321"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30" w:type="dxa"/>
          <w:bottom w:w="0" w:type="dxa"/>
          <w:right w:w="70" w:type="dxa"/>
        </w:tblCellMar>
      </w:tblPr>
      <w:tblGrid>
        <w:gridCol w:w="3823"/>
        <w:gridCol w:w="4636"/>
      </w:tblGrid>
      <w:tr>
        <w:trPr>
          <w:cantSplit w:val="false"/>
        </w:trPr>
        <w:tc>
          <w:tcPr>
            <w:tcW w:w="3823"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b/>
              </w:rPr>
            </w:pPr>
            <w:r>
              <w:rPr>
                <w:b/>
              </w:rPr>
              <w:t>Štatutárny orgán</w:t>
            </w:r>
          </w:p>
        </w:tc>
        <w:tc>
          <w:tcPr>
            <w:tcW w:w="4636"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rPr>
                <w:b/>
              </w:rPr>
            </w:pPr>
            <w:r>
              <w:rPr>
                <w:b/>
              </w:rPr>
              <w:t>Výkonné vedenie</w:t>
            </w:r>
          </w:p>
        </w:tc>
      </w:tr>
      <w:tr>
        <w:trPr>
          <w:cantSplit w:val="false"/>
        </w:trPr>
        <w:tc>
          <w:tcPr>
            <w:tcW w:w="3823"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pPr>
            <w:r>
              <w:rPr/>
              <w:t>Konateľ spoločnosti</w:t>
            </w:r>
          </w:p>
        </w:tc>
        <w:tc>
          <w:tcPr>
            <w:tcW w:w="4636"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rPr/>
            </w:pPr>
            <w:r>
              <w:rPr/>
              <w:t>Mgr.Katarína Juhasová</w:t>
            </w:r>
          </w:p>
        </w:tc>
      </w:tr>
      <w:tr>
        <w:trPr>
          <w:cantSplit w:val="false"/>
        </w:trPr>
        <w:tc>
          <w:tcPr>
            <w:tcW w:w="3823" w:type="dxa"/>
            <w:tcBorders>
              <w:top w:val="nil"/>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pPr>
            <w:r>
              <w:rPr/>
              <w:t>Konateľ spoločnosti</w:t>
            </w:r>
          </w:p>
        </w:tc>
        <w:tc>
          <w:tcPr>
            <w:tcW w:w="4636" w:type="dxa"/>
            <w:tcBorders>
              <w:top w:val="nil"/>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rPr/>
            </w:pPr>
            <w:r>
              <w:rPr/>
              <w:t>Tomáš Juhas</w:t>
            </w:r>
          </w:p>
        </w:tc>
      </w:tr>
    </w:tbl>
    <w:p>
      <w:pPr>
        <w:pStyle w:val="Telotextu"/>
        <w:rPr/>
      </w:pPr>
      <w:r>
        <w:rPr/>
        <w:tab/>
        <w:tab/>
        <w:tab/>
      </w:r>
    </w:p>
    <w:p>
      <w:pPr>
        <w:pStyle w:val="Nadpis1"/>
        <w:rPr/>
      </w:pPr>
      <w:r>
        <w:rPr/>
      </w:r>
    </w:p>
    <w:p>
      <w:pPr>
        <w:pStyle w:val="Nadpis1"/>
        <w:rPr/>
      </w:pPr>
      <w:r>
        <w:rPr/>
      </w:r>
    </w:p>
    <w:p>
      <w:pPr>
        <w:pStyle w:val="Nadpis1"/>
        <w:rPr/>
      </w:pPr>
      <w:r>
        <w:rPr/>
      </w:r>
    </w:p>
    <w:p>
      <w:pPr>
        <w:pStyle w:val="Nadpis1"/>
        <w:numPr>
          <w:ilvl w:val="0"/>
          <w:numId w:val="4"/>
        </w:numPr>
        <w:rPr>
          <w:sz w:val="20"/>
        </w:rPr>
      </w:pPr>
      <w:r>
        <w:rPr>
          <w:sz w:val="20"/>
        </w:rPr>
        <w:t>informácie o spoločníkoch účtovnej jednotky</w:t>
      </w:r>
    </w:p>
    <w:p>
      <w:pPr>
        <w:pStyle w:val="Normal"/>
        <w:rPr/>
      </w:pPr>
      <w:r>
        <w:rPr/>
      </w:r>
    </w:p>
    <w:p>
      <w:pPr>
        <w:pStyle w:val="Telotextu"/>
        <w:rPr>
          <w:sz w:val="20"/>
        </w:rPr>
      </w:pPr>
      <w:r>
        <w:rPr>
          <w:sz w:val="20"/>
        </w:rPr>
        <w:t>Štruktúra spoločníkov spoločnosti k 31.12.2021 bola takáto:</w:t>
      </w:r>
    </w:p>
    <w:p>
      <w:pPr>
        <w:pStyle w:val="Telotextu"/>
        <w:rPr>
          <w:sz w:val="20"/>
        </w:rPr>
      </w:pPr>
      <w:r>
        <w:rPr>
          <w:sz w:val="20"/>
        </w:rPr>
      </w:r>
    </w:p>
    <w:tbl>
      <w:tblPr>
        <w:jc w:val="left"/>
        <w:tblInd w:w="321"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30" w:type="dxa"/>
          <w:bottom w:w="0" w:type="dxa"/>
          <w:right w:w="70" w:type="dxa"/>
        </w:tblCellMar>
      </w:tblPr>
      <w:tblGrid>
        <w:gridCol w:w="2382"/>
        <w:gridCol w:w="2879"/>
        <w:gridCol w:w="3201"/>
      </w:tblGrid>
      <w:tr>
        <w:trPr>
          <w:cantSplit w:val="false"/>
        </w:trPr>
        <w:tc>
          <w:tcPr>
            <w:tcW w:w="2382"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pPr>
            <w:r>
              <w:rPr/>
              <w:t>Spoločníci, akcionári</w:t>
            </w:r>
          </w:p>
        </w:tc>
        <w:tc>
          <w:tcPr>
            <w:tcW w:w="28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pPr>
            <w:r>
              <w:rPr/>
              <w:t>Podiel v % na základnom imaní.</w:t>
            </w:r>
          </w:p>
        </w:tc>
        <w:tc>
          <w:tcPr>
            <w:tcW w:w="3201"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rPr/>
            </w:pPr>
            <w:r>
              <w:rPr/>
              <w:t>% hlasov. práv na ZI</w:t>
            </w:r>
          </w:p>
        </w:tc>
      </w:tr>
      <w:tr>
        <w:trPr>
          <w:cantSplit w:val="false"/>
        </w:trPr>
        <w:tc>
          <w:tcPr>
            <w:tcW w:w="2382"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color w:val="000000"/>
              </w:rPr>
            </w:pPr>
            <w:r>
              <w:rPr>
                <w:color w:val="000000"/>
              </w:rPr>
              <w:t>Tomáš Juhás</w:t>
            </w:r>
          </w:p>
        </w:tc>
        <w:tc>
          <w:tcPr>
            <w:tcW w:w="28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jc w:val="center"/>
              <w:rPr>
                <w:color w:val="000000"/>
              </w:rPr>
            </w:pPr>
            <w:r>
              <w:rPr>
                <w:color w:val="000000"/>
              </w:rPr>
              <w:t>50%</w:t>
            </w:r>
          </w:p>
        </w:tc>
        <w:tc>
          <w:tcPr>
            <w:tcW w:w="3201"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jc w:val="center"/>
              <w:rPr>
                <w:color w:val="000000"/>
              </w:rPr>
            </w:pPr>
            <w:r>
              <w:rPr>
                <w:color w:val="000000"/>
              </w:rPr>
              <w:t>50%</w:t>
            </w:r>
          </w:p>
        </w:tc>
      </w:tr>
      <w:tr>
        <w:trPr>
          <w:cantSplit w:val="false"/>
        </w:trPr>
        <w:tc>
          <w:tcPr>
            <w:tcW w:w="2382"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rPr>
                <w:color w:val="000000"/>
              </w:rPr>
            </w:pPr>
            <w:r>
              <w:rPr>
                <w:color w:val="000000"/>
              </w:rPr>
              <w:t>Mgr. Katarína Juhásová</w:t>
            </w:r>
          </w:p>
        </w:tc>
        <w:tc>
          <w:tcPr>
            <w:tcW w:w="28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30" w:type="dxa"/>
            </w:tcMar>
          </w:tcPr>
          <w:p>
            <w:pPr>
              <w:pStyle w:val="Normal"/>
              <w:spacing w:lineRule="atLeast" w:line="240" w:before="120" w:after="0"/>
              <w:jc w:val="center"/>
              <w:rPr>
                <w:color w:val="000000"/>
              </w:rPr>
            </w:pPr>
            <w:r>
              <w:rPr>
                <w:color w:val="000000"/>
              </w:rPr>
              <w:t>50%</w:t>
            </w:r>
          </w:p>
        </w:tc>
        <w:tc>
          <w:tcPr>
            <w:tcW w:w="3201"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30" w:type="dxa"/>
            </w:tcMar>
          </w:tcPr>
          <w:p>
            <w:pPr>
              <w:pStyle w:val="Normal"/>
              <w:spacing w:lineRule="atLeast" w:line="240" w:before="120" w:after="0"/>
              <w:jc w:val="center"/>
              <w:rPr>
                <w:color w:val="000000"/>
              </w:rPr>
            </w:pPr>
            <w:r>
              <w:rPr>
                <w:color w:val="000000"/>
              </w:rPr>
              <w:t>50%</w:t>
            </w:r>
          </w:p>
        </w:tc>
      </w:tr>
    </w:tbl>
    <w:p>
      <w:pPr>
        <w:pStyle w:val="Telotextu"/>
        <w:ind w:left="0" w:right="0" w:hanging="0"/>
        <w:rPr>
          <w:sz w:val="20"/>
        </w:rPr>
      </w:pPr>
      <w:r>
        <w:rPr>
          <w:sz w:val="20"/>
        </w:rPr>
      </w:r>
    </w:p>
    <w:p>
      <w:pPr>
        <w:pStyle w:val="Nadpis1"/>
        <w:numPr>
          <w:ilvl w:val="0"/>
          <w:numId w:val="4"/>
        </w:numPr>
        <w:rPr>
          <w:sz w:val="20"/>
        </w:rPr>
      </w:pPr>
      <w:r>
        <w:rPr>
          <w:sz w:val="20"/>
        </w:rPr>
        <w:t>Informácie o konsolidovanom celku</w:t>
      </w:r>
    </w:p>
    <w:p>
      <w:pPr>
        <w:pStyle w:val="Telotextu"/>
        <w:rPr>
          <w:sz w:val="20"/>
        </w:rPr>
      </w:pPr>
      <w:r>
        <w:rPr>
          <w:sz w:val="20"/>
        </w:rPr>
      </w:r>
    </w:p>
    <w:p>
      <w:pPr>
        <w:pStyle w:val="Normal"/>
        <w:ind w:left="426" w:right="0" w:hanging="0"/>
        <w:rPr/>
      </w:pPr>
      <w:r>
        <w:rPr/>
        <w:t xml:space="preserve">Spoločnosť sa </w:t>
      </w:r>
      <w:r>
        <w:rPr>
          <w:color w:val="FF0000"/>
        </w:rPr>
        <w:t xml:space="preserve"> </w:t>
      </w:r>
      <w:r>
        <w:rPr>
          <w:color w:val="000000"/>
        </w:rPr>
        <w:t xml:space="preserve">nezahrňuje </w:t>
      </w:r>
      <w:r>
        <w:rPr/>
        <w:t>do konsolidovanej účtovnej závierky</w:t>
      </w:r>
      <w:r>
        <w:rPr>
          <w:color w:val="FF0000"/>
        </w:rPr>
        <w:t>.</w:t>
      </w:r>
      <w:r>
        <w:rPr/>
        <w:t xml:space="preserve"> </w:t>
      </w:r>
    </w:p>
    <w:p>
      <w:pPr>
        <w:pStyle w:val="Telotextu"/>
        <w:jc w:val="left"/>
        <w:rPr>
          <w:sz w:val="20"/>
        </w:rPr>
      </w:pPr>
      <w:r>
        <w:rPr>
          <w:sz w:val="20"/>
        </w:rPr>
        <w:t>Spoločnosť má podiel v jednej spoločnosti vo výške 100% základného imania.</w:t>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 xml:space="preserve">Informácie o účtovných zásadách a účtovných metódach  </w:t>
      </w:r>
    </w:p>
    <w:p>
      <w:pPr>
        <w:pStyle w:val="Telotextu"/>
        <w:jc w:val="left"/>
        <w:rPr>
          <w:sz w:val="20"/>
        </w:rPr>
      </w:pPr>
      <w:r>
        <w:rPr>
          <w:sz w:val="20"/>
        </w:rPr>
      </w:r>
    </w:p>
    <w:p>
      <w:pPr>
        <w:pStyle w:val="Pismenka"/>
        <w:numPr>
          <w:ilvl w:val="0"/>
          <w:numId w:val="2"/>
        </w:numPr>
        <w:ind w:left="426" w:right="0" w:hanging="360"/>
        <w:jc w:val="left"/>
        <w:rPr>
          <w:sz w:val="20"/>
          <w:shd w:fill="FFFFFF" w:val="clear"/>
        </w:rPr>
      </w:pPr>
      <w:r>
        <w:rPr>
          <w:sz w:val="20"/>
          <w:shd w:fill="FFFFFF" w:val="clear"/>
        </w:rPr>
        <w:t>Východiská pre zostavenie účtovnej závierky</w:t>
      </w:r>
    </w:p>
    <w:p>
      <w:pPr>
        <w:pStyle w:val="Telotextu"/>
        <w:ind w:left="450" w:right="0" w:hanging="0"/>
        <w:jc w:val="left"/>
        <w:rPr>
          <w:sz w:val="20"/>
          <w:shd w:fill="FFFFFF" w:val="clear"/>
        </w:rPr>
      </w:pPr>
      <w:r>
        <w:rPr>
          <w:sz w:val="20"/>
          <w:shd w:fill="FFFFFF" w:val="clear"/>
        </w:rPr>
        <w:t>Účtovná závierka bola zostavená za predpokladu nepretržitého trvania Spoločnosti (going concern).</w:t>
      </w:r>
    </w:p>
    <w:p>
      <w:pPr>
        <w:pStyle w:val="Telotextu"/>
        <w:ind w:left="450" w:right="0" w:hanging="0"/>
        <w:jc w:val="left"/>
        <w:rPr>
          <w:sz w:val="20"/>
          <w:shd w:fill="FFFFFF" w:val="clear"/>
        </w:rPr>
      </w:pPr>
      <w:r>
        <w:rPr>
          <w:sz w:val="20"/>
          <w:shd w:fill="FFFFFF" w:val="clear"/>
        </w:rPr>
        <w:t>Účtovné metódy a všeobecné zásady boli účtovnou jednotkou konzistentne aplikované  podľa Zákona o účtovníctve.</w:t>
      </w:r>
    </w:p>
    <w:p>
      <w:pPr>
        <w:pStyle w:val="Telotextu"/>
        <w:ind w:left="0" w:right="0" w:hanging="0"/>
        <w:jc w:val="left"/>
        <w:rPr>
          <w:sz w:val="20"/>
          <w:shd w:fill="FFFFFF" w:val="clear"/>
        </w:rPr>
      </w:pPr>
      <w:r>
        <w:rPr>
          <w:sz w:val="20"/>
          <w:shd w:fill="FFFFFF" w:val="clear"/>
        </w:rPr>
      </w:r>
    </w:p>
    <w:p>
      <w:pPr>
        <w:pStyle w:val="Telotextu"/>
        <w:ind w:left="450" w:right="0" w:hanging="0"/>
        <w:jc w:val="left"/>
        <w:rPr>
          <w:sz w:val="20"/>
        </w:rPr>
      </w:pPr>
      <w:r>
        <w:rPr>
          <w:sz w:val="20"/>
        </w:rPr>
      </w:r>
    </w:p>
    <w:p>
      <w:pPr>
        <w:pStyle w:val="Pismenka"/>
        <w:numPr>
          <w:ilvl w:val="0"/>
          <w:numId w:val="2"/>
        </w:numPr>
        <w:ind w:left="426" w:right="0" w:hanging="360"/>
        <w:rPr>
          <w:sz w:val="20"/>
        </w:rPr>
      </w:pPr>
      <w:r>
        <w:rPr>
          <w:sz w:val="20"/>
        </w:rPr>
        <w:t>Dlhodobý nehmotný a dlhodobý hmotný majetok</w:t>
      </w:r>
    </w:p>
    <w:p>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pPr>
        <w:pStyle w:val="Telotextu"/>
        <w:rPr>
          <w:sz w:val="20"/>
        </w:rPr>
      </w:pPr>
      <w:r>
        <w:rPr>
          <w:sz w:val="20"/>
        </w:rPr>
      </w:r>
    </w:p>
    <w:p>
      <w:pPr>
        <w:pStyle w:val="Telotextu"/>
        <w:rPr>
          <w:sz w:val="20"/>
        </w:rPr>
      </w:pPr>
      <w:r>
        <w:rPr>
          <w:sz w:val="20"/>
        </w:rPr>
        <w:t>Spoločnosť nevytvára dlhodobý majetok vlastnou činnosťou.</w:t>
      </w:r>
    </w:p>
    <w:p>
      <w:pPr>
        <w:pStyle w:val="Telotextu"/>
        <w:rPr>
          <w:sz w:val="20"/>
        </w:rPr>
      </w:pPr>
      <w:r>
        <w:rPr>
          <w:sz w:val="20"/>
        </w:rPr>
      </w:r>
    </w:p>
    <w:p>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pPr>
        <w:pStyle w:val="Telotextu"/>
        <w:rPr>
          <w:sz w:val="20"/>
        </w:rPr>
      </w:pPr>
      <w:r>
        <w:rPr>
          <w:sz w:val="20"/>
        </w:rPr>
      </w:r>
    </w:p>
    <w:p>
      <w:pPr>
        <w:pStyle w:val="Telotextu"/>
        <w:rPr>
          <w:sz w:val="20"/>
        </w:rPr>
      </w:pPr>
      <w:r>
        <w:rPr>
          <w:sz w:val="20"/>
        </w:rPr>
        <w:t>Dlhodobý nehmotný majetok sa odpisuje v účtovníctve na základe odpisového plánu.</w:t>
      </w:r>
    </w:p>
    <w:p>
      <w:pPr>
        <w:pStyle w:val="Telotextu"/>
        <w:rPr>
          <w:sz w:val="20"/>
        </w:rPr>
      </w:pPr>
      <w:r>
        <w:rPr>
          <w:sz w:val="20"/>
        </w:rPr>
      </w:r>
    </w:p>
    <w:p>
      <w:pPr>
        <w:pStyle w:val="Telotextu"/>
        <w:rPr>
          <w:sz w:val="20"/>
        </w:rPr>
      </w:pPr>
      <w:r>
        <w:rPr>
          <w:sz w:val="20"/>
        </w:rPr>
        <w:t>Do účtovníctva je zaúčtovaná alikvótna časť odpisov, odpovedajúca príslušnej dvanástine ročného objemu odpisov, v závislosti od dátumu zaradenia predmetu do majetku spoločnosti.</w:t>
      </w:r>
    </w:p>
    <w:p>
      <w:pPr>
        <w:pStyle w:val="Telotextu"/>
        <w:rPr>
          <w:sz w:val="20"/>
        </w:rPr>
      </w:pPr>
      <w:r>
        <w:rPr>
          <w:sz w:val="20"/>
        </w:rPr>
      </w:r>
    </w:p>
    <w:p>
      <w:pPr>
        <w:pStyle w:val="Telotextu"/>
        <w:ind w:left="0" w:right="0" w:firstLine="426"/>
        <w:rPr>
          <w:sz w:val="20"/>
        </w:rPr>
      </w:pPr>
      <w:r>
        <w:rPr>
          <w:sz w:val="20"/>
        </w:rPr>
        <w:t>Dlhodobým hmotným majetkom sú:</w:t>
      </w:r>
    </w:p>
    <w:p>
      <w:pPr>
        <w:pStyle w:val="Telotextu"/>
        <w:ind w:left="720" w:right="0" w:hanging="294"/>
        <w:rPr>
          <w:sz w:val="20"/>
        </w:rPr>
      </w:pPr>
      <w:r>
        <w:rPr>
          <w:sz w:val="20"/>
        </w:rPr>
        <w:t>-</w:t>
        <w:tab/>
        <w:t>autá, vysokozdvižné vozíky, vetracia jednotka, regalový systém, policové regály</w:t>
      </w:r>
    </w:p>
    <w:p>
      <w:pPr>
        <w:pStyle w:val="Telotextu"/>
        <w:ind w:left="720" w:right="0" w:hanging="294"/>
        <w:rPr>
          <w:sz w:val="20"/>
        </w:rPr>
      </w:pPr>
      <w:r>
        <w:rPr>
          <w:sz w:val="20"/>
        </w:rPr>
        <w:t>-</w:t>
        <w:tab/>
        <w:t>samostatné hnuteľné veci, prípadne súbory hnuteľných vecí, ktorých obstarávacia cena je vyššia ako suma podľa daňového zákona a doba použiteľnosti dlhšia ako jeden rok.</w:t>
      </w:r>
    </w:p>
    <w:p>
      <w:pPr>
        <w:pStyle w:val="Telotextu"/>
        <w:ind w:left="720" w:right="0" w:hanging="294"/>
        <w:rPr>
          <w:sz w:val="20"/>
        </w:rPr>
      </w:pPr>
      <w:r>
        <w:rPr>
          <w:sz w:val="20"/>
        </w:rPr>
        <w:t>-</w:t>
        <w:tab/>
        <w:t xml:space="preserve">dlhodobý hmotný majetok je podľa svojho charakteru pre účely odpisovania zatriedený do odpisových skupín, stanovených zákonom o daniach z príjmov, rešpektujúc zaradenie podľa klasifikácie produkcie. </w:t>
      </w:r>
    </w:p>
    <w:p>
      <w:pPr>
        <w:pStyle w:val="Telotextu"/>
        <w:ind w:left="720" w:right="0" w:hanging="294"/>
        <w:rPr>
          <w:sz w:val="20"/>
        </w:rPr>
      </w:pPr>
      <w:r>
        <w:rPr>
          <w:sz w:val="20"/>
        </w:rPr>
        <w:t>-</w:t>
        <w:tab/>
        <w:t>dlhodobý hmotný majetok obstaraný formou finančného prenájmu.</w:t>
      </w:r>
    </w:p>
    <w:p>
      <w:pPr>
        <w:pStyle w:val="Telotextu"/>
        <w:ind w:left="720" w:right="0" w:hanging="294"/>
        <w:rPr>
          <w:sz w:val="20"/>
        </w:rPr>
      </w:pPr>
      <w:r>
        <w:rPr>
          <w:sz w:val="20"/>
        </w:rPr>
        <w:tab/>
      </w:r>
    </w:p>
    <w:p>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pPr>
        <w:pStyle w:val="Telotextu"/>
        <w:rPr>
          <w:sz w:val="20"/>
        </w:rPr>
      </w:pPr>
      <w:r>
        <w:rPr>
          <w:sz w:val="20"/>
        </w:rPr>
      </w:r>
    </w:p>
    <w:p>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pPr>
        <w:pStyle w:val="Telotextu"/>
        <w:rPr>
          <w:sz w:val="20"/>
        </w:rPr>
      </w:pPr>
      <w:r>
        <w:rPr>
          <w:sz w:val="20"/>
        </w:rPr>
      </w:r>
    </w:p>
    <w:p>
      <w:pPr>
        <w:pStyle w:val="Telotextu"/>
        <w:rPr>
          <w:sz w:val="20"/>
          <w:szCs w:val="18"/>
        </w:rPr>
      </w:pPr>
      <w:r>
        <w:rPr>
          <w:sz w:val="20"/>
          <w:u w:val="single"/>
        </w:rPr>
        <w:t>Pozemky</w:t>
      </w:r>
      <w:r>
        <w:rPr>
          <w:sz w:val="20"/>
        </w:rPr>
        <w:t xml:space="preserve"> sa neodpisujú. </w:t>
      </w:r>
      <w:r>
        <w:rPr>
          <w:sz w:val="20"/>
          <w:szCs w:val="18"/>
        </w:rPr>
        <w:t>Spoločnosť pozemky nevlastní.</w:t>
      </w:r>
    </w:p>
    <w:p>
      <w:pPr>
        <w:pStyle w:val="Telotextu"/>
        <w:rPr>
          <w:szCs w:val="18"/>
        </w:rPr>
      </w:pPr>
      <w:r>
        <w:rPr>
          <w:szCs w:val="18"/>
        </w:rPr>
      </w:r>
    </w:p>
    <w:p>
      <w:pPr>
        <w:pStyle w:val="Telotextu"/>
        <w:rPr>
          <w:sz w:val="20"/>
        </w:rPr>
      </w:pPr>
      <w:r>
        <w:rPr>
          <w:sz w:val="20"/>
        </w:rPr>
        <w:t>Predpokladaná doba používania, metóda odpisovania a počet rokov odpisovania sú uvedené v nasledujúcej tabuľke:</w:t>
      </w:r>
    </w:p>
    <w:tbl>
      <w:tblPr>
        <w:jc w:val="left"/>
        <w:tblInd w:w="286" w:type="dxa"/>
        <w:tblBorders>
          <w:top w:val="single" w:sz="8" w:space="0" w:color="000001"/>
          <w:left w:val="single" w:sz="8" w:space="0" w:color="000001"/>
          <w:bottom w:val="single" w:sz="8" w:space="0" w:color="000001"/>
          <w:insideH w:val="single" w:sz="8" w:space="0" w:color="000001"/>
          <w:right w:val="nil"/>
          <w:insideV w:val="nil"/>
        </w:tblBorders>
        <w:tblCellMar>
          <w:top w:w="0" w:type="dxa"/>
          <w:left w:w="20" w:type="dxa"/>
          <w:bottom w:w="0" w:type="dxa"/>
          <w:right w:w="70" w:type="dxa"/>
        </w:tblCellMar>
      </w:tblPr>
      <w:tblGrid>
        <w:gridCol w:w="2817"/>
        <w:gridCol w:w="1598"/>
        <w:gridCol w:w="3124"/>
        <w:gridCol w:w="364"/>
      </w:tblGrid>
      <w:tr>
        <w:trPr>
          <w:trHeight w:val="780" w:hRule="atLeast"/>
          <w:cantSplit w:val="false"/>
        </w:trPr>
        <w:tc>
          <w:tcPr>
            <w:tcW w:w="2817" w:type="dxa"/>
            <w:tcBorders>
              <w:top w:val="single" w:sz="8" w:space="0" w:color="000001"/>
              <w:left w:val="single" w:sz="8" w:space="0" w:color="000001"/>
              <w:bottom w:val="single" w:sz="8" w:space="0" w:color="000001"/>
              <w:insideH w:val="single" w:sz="8"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t>majetok</w:t>
            </w:r>
          </w:p>
        </w:tc>
        <w:tc>
          <w:tcPr>
            <w:tcW w:w="1598"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predpokladaná doba užívania v rokoch</w:t>
            </w:r>
          </w:p>
        </w:tc>
        <w:tc>
          <w:tcPr>
            <w:tcW w:w="3124"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metóda odpisovania</w:t>
            </w:r>
          </w:p>
        </w:tc>
        <w:tc>
          <w:tcPr>
            <w:tcW w:w="364" w:type="dxa"/>
            <w:tcBorders>
              <w:top w:val="single" w:sz="8" w:space="0" w:color="000001"/>
              <w:left w:val="single" w:sz="4" w:space="0" w:color="000001"/>
              <w:bottom w:val="single" w:sz="8" w:space="0" w:color="000001"/>
              <w:insideH w:val="single" w:sz="8" w:space="0" w:color="000001"/>
              <w:right w:val="single" w:sz="8" w:space="0" w:color="000001"/>
              <w:insideV w:val="single" w:sz="8" w:space="0" w:color="000001"/>
            </w:tcBorders>
            <w:shd w:fill="FFFFFF" w:val="clear"/>
            <w:tcMar>
              <w:left w:w="45" w:type="dxa"/>
            </w:tcMar>
            <w:vAlign w:val="bottom"/>
          </w:tcPr>
          <w:p>
            <w:pPr>
              <w:pStyle w:val="Normal"/>
              <w:rPr>
                <w:rFonts w:cs="Arial" w:ascii="Arial" w:hAnsi="Arial"/>
                <w:lang w:eastAsia="sk-SK"/>
              </w:rPr>
            </w:pPr>
            <w:r>
              <w:rPr>
                <w:rFonts w:cs="Arial" w:ascii="Arial" w:hAnsi="Arial"/>
                <w:lang w:eastAsia="sk-SK"/>
              </w:rPr>
            </w:r>
          </w:p>
        </w:tc>
      </w:tr>
      <w:tr>
        <w:trPr>
          <w:trHeight w:val="255" w:hRule="atLeast"/>
          <w:cantSplit w:val="false"/>
        </w:trPr>
        <w:tc>
          <w:tcPr>
            <w:tcW w:w="281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r>
          </w:p>
        </w:tc>
        <w:tc>
          <w:tcPr>
            <w:tcW w:w="1598"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r>
          </w:p>
        </w:tc>
        <w:tc>
          <w:tcPr>
            <w:tcW w:w="3124"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r>
          </w:p>
        </w:tc>
        <w:tc>
          <w:tcPr>
            <w:tcW w:w="364"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vetracia jednotka</w:t>
            </w:r>
          </w:p>
        </w:tc>
        <w:tc>
          <w:tcPr>
            <w:tcW w:w="1598"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12</w:t>
            </w:r>
          </w:p>
        </w:tc>
        <w:tc>
          <w:tcPr>
            <w:tcW w:w="3124"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rovnomerne</w:t>
            </w:r>
          </w:p>
        </w:tc>
        <w:tc>
          <w:tcPr>
            <w:tcW w:w="364"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regalový systém</w:t>
            </w:r>
          </w:p>
        </w:tc>
        <w:tc>
          <w:tcPr>
            <w:tcW w:w="1598"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6</w:t>
            </w:r>
          </w:p>
        </w:tc>
        <w:tc>
          <w:tcPr>
            <w:tcW w:w="3124"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rovnomerne</w:t>
            </w:r>
          </w:p>
        </w:tc>
        <w:tc>
          <w:tcPr>
            <w:tcW w:w="364"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policové regály</w:t>
            </w:r>
          </w:p>
        </w:tc>
        <w:tc>
          <w:tcPr>
            <w:tcW w:w="1598"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6</w:t>
            </w:r>
          </w:p>
        </w:tc>
        <w:tc>
          <w:tcPr>
            <w:tcW w:w="3124"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rovnomerne</w:t>
            </w:r>
          </w:p>
        </w:tc>
        <w:tc>
          <w:tcPr>
            <w:tcW w:w="364"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360" w:hRule="atLeast"/>
          <w:cantSplit w:val="false"/>
        </w:trPr>
        <w:tc>
          <w:tcPr>
            <w:tcW w:w="281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t xml:space="preserve">dopravné prostriedky </w:t>
            </w:r>
          </w:p>
        </w:tc>
        <w:tc>
          <w:tcPr>
            <w:tcW w:w="1598"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4</w:t>
            </w:r>
          </w:p>
        </w:tc>
        <w:tc>
          <w:tcPr>
            <w:tcW w:w="3124"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rovnomerne</w:t>
            </w:r>
          </w:p>
        </w:tc>
        <w:tc>
          <w:tcPr>
            <w:tcW w:w="364"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7" w:type="dxa"/>
            <w:tcBorders>
              <w:top w:val="nil"/>
              <w:left w:val="single" w:sz="8" w:space="0" w:color="000001"/>
              <w:bottom w:val="single" w:sz="8" w:space="0" w:color="000001"/>
              <w:insideH w:val="single" w:sz="8" w:space="0" w:color="000001"/>
              <w:right w:val="nil"/>
              <w:insideV w:val="nil"/>
            </w:tcBorders>
            <w:shd w:fill="FFFFFF" w:val="clear"/>
            <w:tcMar>
              <w:left w:w="2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vysokozdvižné vozíky</w:t>
            </w:r>
          </w:p>
        </w:tc>
        <w:tc>
          <w:tcPr>
            <w:tcW w:w="1598" w:type="dxa"/>
            <w:tcBorders>
              <w:top w:val="nil"/>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6</w:t>
            </w:r>
          </w:p>
        </w:tc>
        <w:tc>
          <w:tcPr>
            <w:tcW w:w="3124" w:type="dxa"/>
            <w:tcBorders>
              <w:top w:val="nil"/>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rovnomerne</w:t>
            </w:r>
          </w:p>
        </w:tc>
        <w:tc>
          <w:tcPr>
            <w:tcW w:w="364"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bl>
    <w:p>
      <w:pPr>
        <w:pStyle w:val="Telotextu"/>
        <w:rPr>
          <w:szCs w:val="18"/>
        </w:rPr>
      </w:pPr>
      <w:r>
        <w:rPr>
          <w:szCs w:val="18"/>
        </w:rPr>
      </w:r>
    </w:p>
    <w:p>
      <w:pPr>
        <w:pStyle w:val="Telotextu"/>
        <w:rPr/>
      </w:pPr>
      <w:r>
        <w:rPr/>
      </w:r>
    </w:p>
    <w:p>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pPr>
        <w:pStyle w:val="Telotextu"/>
        <w:rPr>
          <w:szCs w:val="18"/>
        </w:rPr>
      </w:pPr>
      <w:r>
        <w:rPr>
          <w:szCs w:val="18"/>
        </w:rPr>
      </w:r>
    </w:p>
    <w:p>
      <w:pPr>
        <w:pStyle w:val="Telotextu"/>
        <w:rPr>
          <w:szCs w:val="18"/>
        </w:rPr>
      </w:pPr>
      <w:r>
        <w:rPr>
          <w:szCs w:val="18"/>
        </w:rPr>
      </w:r>
    </w:p>
    <w:p>
      <w:pPr>
        <w:pStyle w:val="Telotextu"/>
        <w:ind w:left="1134" w:right="0" w:hanging="425"/>
        <w:rPr>
          <w:sz w:val="20"/>
        </w:rPr>
      </w:pPr>
      <w:r>
        <w:rPr>
          <w:sz w:val="20"/>
        </w:rPr>
        <w:t>-Majetok  sa odpisuje na báze  sadzieb lineárnych podľa zákona  o daniach z príjmov.</w:t>
      </w:r>
    </w:p>
    <w:p>
      <w:pPr>
        <w:pStyle w:val="Telotextu"/>
        <w:ind w:left="1134" w:right="0"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pPr>
        <w:pStyle w:val="Telotextu"/>
        <w:ind w:left="1134" w:right="0"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pPr>
        <w:pStyle w:val="Telotextu"/>
        <w:ind w:left="1134" w:right="0" w:hanging="425"/>
        <w:rPr>
          <w:sz w:val="20"/>
        </w:rPr>
      </w:pPr>
      <w:r>
        <w:rPr>
          <w:sz w:val="20"/>
        </w:rPr>
        <w:t>-Algoritmus výpočtu daňových odpisov rovnomerných  i  zrýchlených je uvedený v § 27 odst. 1 a v § 28  odst. 1,2,3 Zákona o dani z príjmov v znení neskorších predpisov a je zabudovaný do programov pre výpočet  daňových odpisov cestou výpočtovej techniky.</w:t>
      </w:r>
    </w:p>
    <w:p>
      <w:pPr>
        <w:pStyle w:val="Telotextu"/>
        <w:ind w:left="1134" w:right="0" w:hanging="425"/>
        <w:rPr>
          <w:sz w:val="20"/>
        </w:rPr>
      </w:pPr>
      <w:r>
        <w:rPr>
          <w:sz w:val="20"/>
        </w:rPr>
        <w:t>-Majetok obstaraný  formou finančného prenájmu sa odpisuje počas doby trvania prenájmu do výšky 100% hodnoty (istina, kúpna cena, poplatok za leasingovú zmluvu a ost.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pPr>
        <w:pStyle w:val="Telotextu"/>
        <w:ind w:left="1134" w:right="0" w:hanging="425"/>
        <w:rPr>
          <w:sz w:val="20"/>
        </w:rPr>
      </w:pPr>
      <w:r>
        <w:rPr>
          <w:sz w:val="20"/>
        </w:rPr>
        <w:t>-Pri odpisovaní  dlhodobého majetku, ktorý sa iba sčasti používa na zabezpečenie zdaniteľného príjmu sa do daňových výdavkov zahŕňa len pomerná časť odpisov.</w:t>
      </w:r>
    </w:p>
    <w:p>
      <w:pPr>
        <w:pStyle w:val="Zarkazkladnhotextu2"/>
        <w:rPr>
          <w:b/>
          <w:color w:val="000000"/>
        </w:rPr>
      </w:pPr>
      <w:r>
        <w:rPr>
          <w:b/>
          <w:color w:val="000000"/>
        </w:rPr>
      </w:r>
    </w:p>
    <w:p>
      <w:pPr>
        <w:pStyle w:val="Zarkazkladnhotextu2"/>
        <w:rPr>
          <w:b/>
          <w:color w:val="000000"/>
        </w:rPr>
      </w:pPr>
      <w:r>
        <w:rPr>
          <w:b/>
          <w:color w:val="000000"/>
        </w:rPr>
        <w:t>Prehľad účtovných a daňových odpisov v EUR  je uvedený v nasledujúcej tabuľke :</w:t>
      </w:r>
    </w:p>
    <w:p>
      <w:pPr>
        <w:pStyle w:val="Zarkazkladnhotextu2"/>
        <w:rPr>
          <w:b/>
          <w:color w:val="000000"/>
        </w:rPr>
      </w:pPr>
      <w:r>
        <w:rPr>
          <w:b/>
          <w:color w:val="000000"/>
        </w:rPr>
        <w:t xml:space="preserve">      </w:t>
      </w:r>
    </w:p>
    <w:tbl>
      <w:tblPr>
        <w:jc w:val="left"/>
        <w:tblInd w:w="855" w:type="dxa"/>
        <w:tblBorders>
          <w:top w:val="single" w:sz="8" w:space="0" w:color="000001"/>
          <w:left w:val="single" w:sz="8" w:space="0" w:color="000001"/>
          <w:bottom w:val="single" w:sz="4" w:space="0" w:color="000001"/>
          <w:insideH w:val="single" w:sz="4" w:space="0" w:color="000001"/>
          <w:right w:val="nil"/>
          <w:insideV w:val="nil"/>
        </w:tblBorders>
        <w:tblCellMar>
          <w:top w:w="0" w:type="dxa"/>
          <w:left w:w="20" w:type="dxa"/>
          <w:bottom w:w="0" w:type="dxa"/>
          <w:right w:w="70" w:type="dxa"/>
        </w:tblCellMar>
      </w:tblPr>
      <w:tblGrid>
        <w:gridCol w:w="3457"/>
        <w:gridCol w:w="1252"/>
        <w:gridCol w:w="840"/>
        <w:gridCol w:w="971"/>
        <w:gridCol w:w="1025"/>
      </w:tblGrid>
      <w:tr>
        <w:trPr>
          <w:trHeight w:val="255" w:hRule="atLeast"/>
          <w:cantSplit w:val="false"/>
        </w:trPr>
        <w:tc>
          <w:tcPr>
            <w:tcW w:w="3457" w:type="dxa"/>
            <w:vMerge w:val="restart"/>
            <w:tcBorders>
              <w:top w:val="single" w:sz="8" w:space="0" w:color="000001"/>
              <w:left w:val="single" w:sz="8" w:space="0" w:color="000001"/>
              <w:bottom w:val="single" w:sz="4" w:space="0" w:color="000001"/>
              <w:insideH w:val="single" w:sz="4" w:space="0" w:color="000001"/>
              <w:right w:val="nil"/>
              <w:insideV w:val="nil"/>
            </w:tcBorders>
            <w:shd w:fill="FFFFFF" w:val="clear"/>
            <w:tcMar>
              <w:left w:w="20" w:type="dxa"/>
            </w:tcMar>
            <w:vAlign w:val="center"/>
          </w:tcPr>
          <w:p>
            <w:pPr>
              <w:pStyle w:val="Normal"/>
              <w:jc w:val="center"/>
              <w:rPr>
                <w:rFonts w:cs="Arial" w:ascii="Arial" w:hAnsi="Arial"/>
                <w:lang w:eastAsia="sk-SK"/>
              </w:rPr>
            </w:pPr>
            <w:r>
              <w:rPr>
                <w:rFonts w:cs="Arial" w:ascii="Arial" w:hAnsi="Arial"/>
                <w:lang w:eastAsia="sk-SK"/>
              </w:rPr>
              <w:t>Odpisy</w:t>
            </w:r>
          </w:p>
        </w:tc>
        <w:tc>
          <w:tcPr>
            <w:tcW w:w="2092" w:type="dxa"/>
            <w:gridSpan w:val="2"/>
            <w:tcBorders>
              <w:top w:val="single" w:sz="8" w:space="0" w:color="000001"/>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center"/>
              <w:rPr>
                <w:rFonts w:cs="Arial" w:ascii="Arial" w:hAnsi="Arial"/>
                <w:lang w:eastAsia="sk-SK"/>
              </w:rPr>
            </w:pPr>
            <w:r>
              <w:rPr>
                <w:rFonts w:cs="Arial" w:ascii="Arial" w:hAnsi="Arial"/>
                <w:lang w:eastAsia="sk-SK"/>
              </w:rPr>
              <w:t>20</w:t>
            </w:r>
            <w:r>
              <w:rPr>
                <w:rFonts w:cs="Arial" w:ascii="Arial" w:hAnsi="Arial"/>
                <w:lang w:eastAsia="sk-SK"/>
              </w:rPr>
              <w:t>20</w:t>
            </w:r>
          </w:p>
        </w:tc>
        <w:tc>
          <w:tcPr>
            <w:tcW w:w="1996" w:type="dxa"/>
            <w:gridSpan w:val="2"/>
            <w:tcBorders>
              <w:top w:val="single" w:sz="8" w:space="0" w:color="000001"/>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center"/>
              <w:rPr>
                <w:rFonts w:cs="Arial" w:ascii="Arial" w:hAnsi="Arial"/>
                <w:lang w:eastAsia="sk-SK"/>
              </w:rPr>
            </w:pPr>
            <w:r>
              <w:rPr>
                <w:rFonts w:cs="Arial" w:ascii="Arial" w:hAnsi="Arial"/>
                <w:lang w:eastAsia="sk-SK"/>
              </w:rPr>
              <w:t>202</w:t>
            </w:r>
            <w:r>
              <w:rPr>
                <w:rFonts w:cs="Arial" w:ascii="Arial" w:hAnsi="Arial"/>
                <w:lang w:eastAsia="sk-SK"/>
              </w:rPr>
              <w:t>1</w:t>
            </w:r>
          </w:p>
        </w:tc>
      </w:tr>
      <w:tr>
        <w:trPr>
          <w:trHeight w:val="255" w:hRule="atLeast"/>
          <w:cantSplit w:val="false"/>
        </w:trPr>
        <w:tc>
          <w:tcPr>
            <w:tcW w:w="3457" w:type="dxa"/>
            <w:vMerge w:val="continue"/>
            <w:tcBorders>
              <w:top w:val="single" w:sz="8" w:space="0" w:color="000001"/>
              <w:left w:val="single" w:sz="8" w:space="0" w:color="000001"/>
              <w:bottom w:val="single" w:sz="4" w:space="0" w:color="000001"/>
              <w:insideH w:val="single" w:sz="4" w:space="0" w:color="000001"/>
              <w:right w:val="nil"/>
              <w:insideV w:val="nil"/>
            </w:tcBorders>
            <w:shd w:fill="FFFFFF" w:val="clear"/>
            <w:tcMar>
              <w:left w:w="20" w:type="dxa"/>
            </w:tcMar>
            <w:vAlign w:val="center"/>
          </w:tcPr>
          <w:p>
            <w:pPr>
              <w:pStyle w:val="Normal"/>
              <w:rPr>
                <w:rFonts w:cs="Arial" w:ascii="Arial" w:hAnsi="Arial"/>
                <w:lang w:eastAsia="sk-SK"/>
              </w:rPr>
            </w:pPr>
            <w:r>
              <w:rPr>
                <w:rFonts w:cs="Arial" w:ascii="Arial" w:hAnsi="Arial"/>
                <w:lang w:eastAsia="sk-SK"/>
              </w:rPr>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účtovné</w:t>
            </w:r>
          </w:p>
        </w:tc>
        <w:tc>
          <w:tcPr>
            <w:tcW w:w="840"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daňové</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rPr>
                <w:rFonts w:cs="Arial" w:ascii="Arial" w:hAnsi="Arial"/>
                <w:lang w:eastAsia="sk-SK"/>
              </w:rPr>
            </w:pPr>
            <w:r>
              <w:rPr>
                <w:rFonts w:cs="Arial" w:ascii="Arial" w:hAnsi="Arial"/>
                <w:lang w:eastAsia="sk-SK"/>
              </w:rPr>
              <w:t>účtovné</w:t>
            </w:r>
          </w:p>
        </w:tc>
        <w:tc>
          <w:tcPr>
            <w:tcW w:w="1025"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rPr>
                <w:rFonts w:cs="Arial" w:ascii="Arial" w:hAnsi="Arial"/>
                <w:lang w:eastAsia="sk-SK"/>
              </w:rPr>
            </w:pPr>
            <w:r>
              <w:rPr>
                <w:rFonts w:cs="Arial" w:ascii="Arial" w:hAnsi="Arial"/>
                <w:lang w:eastAsia="sk-SK"/>
              </w:rPr>
              <w:t>daňové</w:t>
            </w:r>
          </w:p>
        </w:tc>
      </w:tr>
      <w:tr>
        <w:trPr>
          <w:trHeight w:val="255" w:hRule="atLeast"/>
          <w:cantSplit w:val="false"/>
        </w:trPr>
        <w:tc>
          <w:tcPr>
            <w:tcW w:w="345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t>Softvér</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c>
          <w:tcPr>
            <w:tcW w:w="840"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c>
          <w:tcPr>
            <w:tcW w:w="1025"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r>
      <w:tr>
        <w:trPr>
          <w:trHeight w:val="255" w:hRule="atLeast"/>
          <w:cantSplit w:val="false"/>
        </w:trPr>
        <w:tc>
          <w:tcPr>
            <w:tcW w:w="345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t>Stavby</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c>
          <w:tcPr>
            <w:tcW w:w="840"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c>
          <w:tcPr>
            <w:tcW w:w="1025"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lang w:eastAsia="sk-SK"/>
              </w:rPr>
            </w:pPr>
            <w:r>
              <w:rPr>
                <w:rFonts w:cs="Arial" w:ascii="Arial" w:hAnsi="Arial"/>
                <w:lang w:eastAsia="sk-SK"/>
              </w:rPr>
              <w:t>0</w:t>
            </w:r>
          </w:p>
        </w:tc>
      </w:tr>
      <w:tr>
        <w:trPr>
          <w:trHeight w:val="510" w:hRule="atLeast"/>
          <w:cantSplit w:val="false"/>
        </w:trPr>
        <w:tc>
          <w:tcPr>
            <w:tcW w:w="3457" w:type="dxa"/>
            <w:tcBorders>
              <w:top w:val="nil"/>
              <w:left w:val="single" w:sz="8" w:space="0" w:color="000001"/>
              <w:bottom w:val="single" w:sz="4" w:space="0" w:color="000001"/>
              <w:insideH w:val="single" w:sz="4" w:space="0" w:color="000001"/>
              <w:right w:val="nil"/>
              <w:insideV w:val="nil"/>
            </w:tcBorders>
            <w:shd w:fill="FFFFFF" w:val="clear"/>
            <w:tcMar>
              <w:left w:w="20" w:type="dxa"/>
            </w:tcMar>
            <w:vAlign w:val="bottom"/>
          </w:tcPr>
          <w:p>
            <w:pPr>
              <w:pStyle w:val="Normal"/>
              <w:rPr>
                <w:rFonts w:cs="Arial" w:ascii="Arial" w:hAnsi="Arial"/>
                <w:lang w:eastAsia="sk-SK"/>
              </w:rPr>
            </w:pPr>
            <w:r>
              <w:rPr>
                <w:rFonts w:cs="Arial" w:ascii="Arial" w:hAnsi="Arial"/>
                <w:lang w:eastAsia="sk-SK"/>
              </w:rPr>
              <w:t>Samostatné hnuteľné veci a súbory hnuteľných vecí</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14451</w:t>
            </w:r>
          </w:p>
        </w:tc>
        <w:tc>
          <w:tcPr>
            <w:tcW w:w="840"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14451</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4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24180</w:t>
            </w:r>
          </w:p>
        </w:tc>
        <w:tc>
          <w:tcPr>
            <w:tcW w:w="1025"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24180</w:t>
            </w:r>
          </w:p>
        </w:tc>
      </w:tr>
      <w:tr>
        <w:trPr>
          <w:trHeight w:val="270" w:hRule="atLeast"/>
          <w:cantSplit w:val="false"/>
        </w:trPr>
        <w:tc>
          <w:tcPr>
            <w:tcW w:w="3457" w:type="dxa"/>
            <w:tcBorders>
              <w:top w:val="nil"/>
              <w:left w:val="single" w:sz="8" w:space="0" w:color="000001"/>
              <w:bottom w:val="single" w:sz="8" w:space="0" w:color="000001"/>
              <w:insideH w:val="single" w:sz="8" w:space="0" w:color="000001"/>
              <w:right w:val="nil"/>
              <w:insideV w:val="nil"/>
            </w:tcBorders>
            <w:shd w:fill="FFFFFF" w:val="clear"/>
            <w:tcMar>
              <w:left w:w="20" w:type="dxa"/>
            </w:tcMar>
            <w:vAlign w:val="bottom"/>
          </w:tcPr>
          <w:p>
            <w:pPr>
              <w:pStyle w:val="Normal"/>
              <w:rPr>
                <w:rFonts w:cs="Arial" w:ascii="Arial" w:hAnsi="Arial"/>
                <w:b/>
                <w:bCs/>
                <w:lang w:eastAsia="sk-SK"/>
              </w:rPr>
            </w:pPr>
            <w:r>
              <w:rPr>
                <w:rFonts w:cs="Arial" w:ascii="Arial" w:hAnsi="Arial"/>
                <w:b/>
                <w:bCs/>
                <w:lang w:eastAsia="sk-SK"/>
              </w:rPr>
              <w:t>Spolu</w:t>
            </w:r>
          </w:p>
        </w:tc>
        <w:tc>
          <w:tcPr>
            <w:tcW w:w="1252" w:type="dxa"/>
            <w:tcBorders>
              <w:top w:val="nil"/>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jc w:val="right"/>
              <w:rPr>
                <w:rFonts w:cs="Arial" w:ascii="Arial" w:hAnsi="Arial"/>
                <w:b/>
                <w:bCs/>
                <w:lang w:eastAsia="sk-SK"/>
              </w:rPr>
            </w:pPr>
            <w:r>
              <w:rPr>
                <w:rFonts w:cs="Arial" w:ascii="Arial" w:hAnsi="Arial"/>
                <w:b/>
                <w:bCs/>
                <w:lang w:eastAsia="sk-SK"/>
              </w:rPr>
              <w:t>14451</w:t>
            </w:r>
          </w:p>
        </w:tc>
        <w:tc>
          <w:tcPr>
            <w:tcW w:w="840" w:type="dxa"/>
            <w:tcBorders>
              <w:top w:val="nil"/>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jc w:val="right"/>
              <w:rPr>
                <w:rFonts w:cs="Arial" w:ascii="Arial" w:hAnsi="Arial"/>
                <w:b/>
                <w:bCs/>
                <w:lang w:eastAsia="sk-SK"/>
              </w:rPr>
            </w:pPr>
            <w:r>
              <w:rPr>
                <w:rFonts w:cs="Arial" w:ascii="Arial" w:hAnsi="Arial"/>
                <w:b/>
                <w:bCs/>
                <w:lang w:eastAsia="sk-SK"/>
              </w:rPr>
              <w:t>14451</w:t>
            </w:r>
          </w:p>
        </w:tc>
        <w:tc>
          <w:tcPr>
            <w:tcW w:w="971" w:type="dxa"/>
            <w:tcBorders>
              <w:top w:val="nil"/>
              <w:left w:val="single" w:sz="4" w:space="0" w:color="000001"/>
              <w:bottom w:val="single" w:sz="8" w:space="0" w:color="000001"/>
              <w:insideH w:val="single" w:sz="8" w:space="0" w:color="000001"/>
              <w:right w:val="nil"/>
              <w:insideV w:val="nil"/>
            </w:tcBorders>
            <w:shd w:fill="FFFFFF" w:val="clear"/>
            <w:tcMar>
              <w:left w:w="45" w:type="dxa"/>
            </w:tcMar>
            <w:vAlign w:val="bottom"/>
          </w:tcPr>
          <w:p>
            <w:pPr>
              <w:pStyle w:val="Normal"/>
              <w:jc w:val="right"/>
              <w:rPr>
                <w:rFonts w:cs="Arial" w:ascii="Arial" w:hAnsi="Arial"/>
                <w:b/>
                <w:bCs/>
                <w:lang w:eastAsia="sk-SK"/>
              </w:rPr>
            </w:pPr>
            <w:r>
              <w:rPr>
                <w:rFonts w:cs="Arial" w:ascii="Arial" w:hAnsi="Arial"/>
                <w:b/>
                <w:bCs/>
                <w:lang w:eastAsia="sk-SK"/>
              </w:rPr>
              <w:t>24180</w:t>
            </w:r>
          </w:p>
        </w:tc>
        <w:tc>
          <w:tcPr>
            <w:tcW w:w="1025"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45" w:type="dxa"/>
            </w:tcMar>
            <w:vAlign w:val="bottom"/>
          </w:tcPr>
          <w:p>
            <w:pPr>
              <w:pStyle w:val="Normal"/>
              <w:jc w:val="right"/>
              <w:rPr>
                <w:rFonts w:cs="Arial" w:ascii="Arial" w:hAnsi="Arial"/>
                <w:b/>
                <w:bCs/>
                <w:lang w:eastAsia="sk-SK"/>
              </w:rPr>
            </w:pPr>
            <w:r>
              <w:rPr>
                <w:rFonts w:cs="Arial" w:ascii="Arial" w:hAnsi="Arial"/>
                <w:b/>
                <w:bCs/>
                <w:lang w:eastAsia="sk-SK"/>
              </w:rPr>
              <w:t>24180</w:t>
            </w:r>
          </w:p>
        </w:tc>
      </w:tr>
    </w:tbl>
    <w:p>
      <w:pPr>
        <w:pStyle w:val="Telotextu"/>
        <w:ind w:left="0" w:right="0" w:hanging="0"/>
        <w:rPr>
          <w:b/>
          <w:sz w:val="20"/>
        </w:rPr>
      </w:pPr>
      <w:r>
        <w:rPr>
          <w:b/>
          <w:sz w:val="20"/>
        </w:rPr>
        <w:t xml:space="preserve">        </w:t>
      </w:r>
    </w:p>
    <w:p>
      <w:pPr>
        <w:pStyle w:val="Telotextu"/>
        <w:ind w:left="0" w:right="0" w:hanging="0"/>
        <w:rPr>
          <w:b/>
          <w:sz w:val="20"/>
        </w:rPr>
      </w:pPr>
      <w:r>
        <w:rPr>
          <w:b/>
          <w:sz w:val="20"/>
        </w:rPr>
        <w:t xml:space="preserve">        </w:t>
      </w:r>
      <w:r>
        <w:rPr>
          <w:b/>
          <w:sz w:val="20"/>
        </w:rPr>
        <w:t>Poistenie dlhodobého majetku</w:t>
      </w:r>
    </w:p>
    <w:p>
      <w:pPr>
        <w:pStyle w:val="Telotextu"/>
        <w:rPr>
          <w:sz w:val="20"/>
        </w:rPr>
      </w:pPr>
      <w:r>
        <w:rPr>
          <w:sz w:val="20"/>
        </w:rPr>
        <w:t>Spoločnosť má poistený majetok : budovy – živel ,  súbory hnuteľných vecí – strojné riziko, poistenie podnikateľa. Spoločnosť hradí poistné vo výške v polročných splátkach spoločnosti Allianz, a.s, Kooperatíva a.s., Uniqa, a.s.</w:t>
      </w:r>
    </w:p>
    <w:p>
      <w:pPr>
        <w:pStyle w:val="Telotextu"/>
        <w:rPr>
          <w:sz w:val="20"/>
        </w:rPr>
      </w:pPr>
      <w:r>
        <w:rPr>
          <w:sz w:val="20"/>
        </w:rPr>
        <w:t>Spoločnosť hradí povinné zákonné a  havarijné poistenie za osobné autá, ktoré má v majetku.</w:t>
      </w:r>
    </w:p>
    <w:p>
      <w:pPr>
        <w:pStyle w:val="Pismenka"/>
        <w:ind w:left="0" w:right="0" w:hanging="0"/>
        <w:rPr>
          <w:color w:val="000000"/>
          <w:sz w:val="20"/>
          <w:shd w:fill="FFFFFF" w:val="clear"/>
        </w:rPr>
      </w:pPr>
      <w:r>
        <w:rPr>
          <w:color w:val="000000"/>
          <w:sz w:val="20"/>
          <w:shd w:fill="FFFFFF" w:val="clear"/>
        </w:rPr>
      </w:r>
    </w:p>
    <w:p>
      <w:pPr>
        <w:pStyle w:val="Pismenka"/>
        <w:ind w:left="0" w:right="0" w:hanging="0"/>
        <w:rPr>
          <w:color w:val="000000"/>
          <w:sz w:val="20"/>
          <w:shd w:fill="FFFFFF" w:val="clear"/>
        </w:rPr>
      </w:pPr>
      <w:r>
        <w:rPr>
          <w:color w:val="000000"/>
          <w:sz w:val="20"/>
          <w:shd w:fill="FFFFFF" w:val="clear"/>
        </w:rPr>
      </w:r>
    </w:p>
    <w:p>
      <w:pPr>
        <w:pStyle w:val="Pismenka"/>
        <w:numPr>
          <w:ilvl w:val="0"/>
          <w:numId w:val="2"/>
        </w:numPr>
        <w:ind w:left="426" w:right="0" w:hanging="360"/>
        <w:rPr>
          <w:color w:val="000000"/>
          <w:sz w:val="20"/>
          <w:shd w:fill="FFFFFF" w:val="clear"/>
        </w:rPr>
      </w:pPr>
      <w:r>
        <w:rPr>
          <w:color w:val="000000"/>
          <w:sz w:val="20"/>
          <w:shd w:fill="FFFFFF" w:val="clear"/>
        </w:rPr>
        <w:t xml:space="preserve">Zásoby </w:t>
      </w:r>
    </w:p>
    <w:p>
      <w:pPr>
        <w:pStyle w:val="Telotextu"/>
        <w:rPr>
          <w:color w:val="000000"/>
          <w:shd w:fill="FFFFFF" w:val="clear"/>
        </w:rPr>
      </w:pPr>
      <w:r>
        <w:rPr>
          <w:color w:val="000000"/>
          <w:shd w:fill="FFFFFF" w:val="clear"/>
        </w:rPr>
        <w:t xml:space="preserve">Zásoby nakupované sa oceňujú obstarávacou cenou, ktorá zahrnuje cenu obstarania a náklady súvisiace s obstaraním (clo, prepravu, poistné, provízie, skonto a pod.). Úroky z cudzích zdrojov nie sú súčasťou obstarávacej ceny. </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Zarkazkladnhotextu2"/>
        <w:rPr>
          <w:color w:val="000000"/>
          <w:shd w:fill="FFFFFF" w:val="clear"/>
        </w:rPr>
      </w:pPr>
      <w:r>
        <w:rPr>
          <w:color w:val="000000"/>
          <w:u w:val="single"/>
          <w:shd w:fill="FFFFFF" w:val="clear"/>
        </w:rPr>
        <w:t>Zásoby nakupované</w:t>
      </w:r>
      <w:r>
        <w:rPr>
          <w:color w:val="000000"/>
          <w:shd w:fill="FFFFFF" w:val="clear"/>
        </w:rPr>
        <w:t xml:space="preserve"> </w:t>
      </w:r>
    </w:p>
    <w:p>
      <w:pPr>
        <w:pStyle w:val="Telotextu"/>
        <w:rPr>
          <w:color w:val="000000"/>
          <w:sz w:val="20"/>
          <w:shd w:fill="FFFFFF" w:val="clear"/>
        </w:rPr>
      </w:pPr>
      <w:r>
        <w:rPr>
          <w:color w:val="000000"/>
          <w:sz w:val="20"/>
          <w:shd w:fill="FFFFFF" w:val="clear"/>
        </w:rPr>
        <w:tab/>
        <w:t xml:space="preserve">                            </w:t>
      </w:r>
    </w:p>
    <w:p>
      <w:pPr>
        <w:pStyle w:val="Telotextu"/>
        <w:rPr>
          <w:color w:val="000000"/>
          <w:sz w:val="20"/>
          <w:shd w:fill="FFFFFF" w:val="clear"/>
        </w:rPr>
      </w:pPr>
      <w:r>
        <w:rPr>
          <w:color w:val="000000"/>
          <w:sz w:val="20"/>
          <w:shd w:fill="FFFFFF" w:val="clear"/>
        </w:rPr>
        <w:t>V priebehu účtovného obdobia sme používali spôsob A účtovania zásob s použitím kalkulačného účtu 111. Po spracovaní došlej faktúry s príjmom na sklad sa celá hodnota preúčtuje na účet 112 - Materiál na sklade,  v osobitnom analytickom členení obsahujúcom hodnotu materiálu a obstarávacích nákladov.</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t>Oceňovanie  materiálu na skladoch sa uskutočňuje systémom okamžitých reálnych cien.</w:t>
      </w:r>
    </w:p>
    <w:p>
      <w:pPr>
        <w:pStyle w:val="Telotextu"/>
        <w:rPr>
          <w:color w:val="000000"/>
          <w:sz w:val="20"/>
          <w:shd w:fill="FFFFFF" w:val="clear"/>
        </w:rPr>
      </w:pPr>
      <w:r>
        <w:rPr>
          <w:color w:val="000000"/>
          <w:sz w:val="20"/>
          <w:shd w:fill="FFFFFF" w:val="clear"/>
        </w:rPr>
      </w:r>
    </w:p>
    <w:p>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Zákazková výroba a výrobky</w:t>
      </w:r>
    </w:p>
    <w:p>
      <w:pPr>
        <w:pStyle w:val="Telotextu"/>
        <w:rPr>
          <w:sz w:val="20"/>
        </w:rPr>
      </w:pPr>
      <w:r>
        <w:rPr>
          <w:sz w:val="20"/>
        </w:rPr>
        <w:t>Spoločnosť neúčtuje o zákazkovej  výrobe. Výrobky oceňuje na základe kalkulácie jednotlivých druhov výrobkov.</w:t>
      </w:r>
    </w:p>
    <w:p>
      <w:pPr>
        <w:pStyle w:val="Pismenka"/>
        <w:numPr>
          <w:ilvl w:val="0"/>
          <w:numId w:val="2"/>
        </w:numPr>
        <w:ind w:left="-90" w:right="0" w:hanging="360"/>
        <w:rPr>
          <w:b w:val="false"/>
          <w:sz w:val="20"/>
        </w:rPr>
      </w:pPr>
      <w:r>
        <w:rPr>
          <w:b w:val="false"/>
          <w:sz w:val="20"/>
        </w:rPr>
      </w:r>
    </w:p>
    <w:p>
      <w:pPr>
        <w:pStyle w:val="Pismenka"/>
        <w:numPr>
          <w:ilvl w:val="0"/>
          <w:numId w:val="2"/>
        </w:numPr>
        <w:ind w:left="426" w:right="0" w:hanging="360"/>
        <w:rPr>
          <w:sz w:val="20"/>
        </w:rPr>
      </w:pPr>
      <w:r>
        <w:rPr>
          <w:sz w:val="20"/>
        </w:rPr>
        <w:t>Pohľadávky</w:t>
      </w:r>
    </w:p>
    <w:p>
      <w:pPr>
        <w:pStyle w:val="Telotextu"/>
        <w:rPr>
          <w:sz w:val="20"/>
        </w:rPr>
      </w:pPr>
      <w:r>
        <w:rPr>
          <w:sz w:val="20"/>
        </w:rPr>
        <w:t>Pohľadávky sa pri ich vzniku oceňujú ich menovitou hodnotou; postúpené pohľadávky sa oceňujú obstarávacou cenou, vrátane nákladov súvisiacich s obstaraním. Toto ocenenie sa znižuje o pochybné a nevymožiteľné pohľadávky- formou opravných položiek k pohľadávkam.</w:t>
      </w:r>
    </w:p>
    <w:p>
      <w:pPr>
        <w:pStyle w:val="Telotextu"/>
        <w:ind w:left="0" w:right="0" w:hanging="0"/>
        <w:rPr>
          <w:sz w:val="20"/>
        </w:rPr>
      </w:pPr>
      <w:r>
        <w:rPr>
          <w:sz w:val="20"/>
        </w:rPr>
      </w:r>
    </w:p>
    <w:p>
      <w:pPr>
        <w:pStyle w:val="Pismenka"/>
        <w:numPr>
          <w:ilvl w:val="0"/>
          <w:numId w:val="2"/>
        </w:numPr>
        <w:ind w:left="426" w:right="0" w:hanging="360"/>
        <w:rPr>
          <w:sz w:val="20"/>
        </w:rPr>
      </w:pPr>
      <w:r>
        <w:rPr>
          <w:sz w:val="20"/>
        </w:rPr>
        <w:t>Peňažné prostriedky a ceniny</w:t>
      </w:r>
    </w:p>
    <w:p>
      <w:pPr>
        <w:pStyle w:val="Telotextu"/>
        <w:rPr>
          <w:sz w:val="20"/>
        </w:rPr>
      </w:pPr>
      <w:r>
        <w:rPr>
          <w:sz w:val="20"/>
        </w:rPr>
        <w:t>Peňažné prostriedky a ceniny sa oceňujú ich menovitou hodnotou.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Náklady budúcich období a príjmy budúcich období</w:t>
      </w:r>
    </w:p>
    <w:p>
      <w:pPr>
        <w:pStyle w:val="Telotextu"/>
        <w:rPr>
          <w:sz w:val="20"/>
        </w:rPr>
      </w:pPr>
      <w:r>
        <w:rPr>
          <w:sz w:val="20"/>
        </w:rPr>
        <w:t>Náklady budúcich období a príjmy budúcich období sa vykazujú vo výške, ktorá je potrebná na dodržanie zásady vecnej a časovej súvislosti s účtovným obdobím.</w:t>
      </w:r>
    </w:p>
    <w:p>
      <w:pPr>
        <w:pStyle w:val="Telotextu"/>
        <w:rPr>
          <w:sz w:val="20"/>
        </w:rPr>
      </w:pPr>
      <w:r>
        <w:rPr>
          <w:sz w:val="20"/>
        </w:rPr>
        <w:t>Účtovná jednotka nevytvorila NBO.</w:t>
      </w:r>
    </w:p>
    <w:p>
      <w:pPr>
        <w:pStyle w:val="Telotextu"/>
        <w:rPr>
          <w:sz w:val="20"/>
        </w:rPr>
      </w:pPr>
      <w:r>
        <w:rPr>
          <w:sz w:val="20"/>
        </w:rPr>
      </w:r>
    </w:p>
    <w:p>
      <w:pPr>
        <w:pStyle w:val="Pismenka"/>
        <w:numPr>
          <w:ilvl w:val="0"/>
          <w:numId w:val="2"/>
        </w:numPr>
        <w:ind w:left="426" w:right="0" w:hanging="360"/>
        <w:rPr>
          <w:sz w:val="20"/>
        </w:rPr>
      </w:pPr>
      <w:r>
        <w:rPr>
          <w:sz w:val="20"/>
        </w:rPr>
        <w:t>Rezervy</w:t>
      </w:r>
    </w:p>
    <w:p>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pPr>
        <w:pStyle w:val="Telotextu"/>
        <w:rPr/>
      </w:pPr>
      <w:r>
        <w:rPr/>
      </w:r>
    </w:p>
    <w:p>
      <w:pPr>
        <w:pStyle w:val="Telotextu"/>
        <w:rPr>
          <w:sz w:val="20"/>
        </w:rPr>
      </w:pPr>
      <w:r>
        <w:rPr>
          <w:sz w:val="20"/>
        </w:rPr>
        <w:t>Rezerva na nevyčerpané dovolenky s odvodmi: 3.396€</w:t>
      </w:r>
    </w:p>
    <w:p>
      <w:pPr>
        <w:pStyle w:val="Telotextu"/>
        <w:rPr/>
      </w:pPr>
      <w:r>
        <w:rPr/>
      </w:r>
    </w:p>
    <w:p>
      <w:pPr>
        <w:pStyle w:val="Telotextu"/>
        <w:rPr/>
      </w:pPr>
      <w:r>
        <w:rPr/>
      </w:r>
    </w:p>
    <w:p>
      <w:pPr>
        <w:pStyle w:val="Telotextu"/>
        <w:rPr/>
      </w:pPr>
      <w:r>
        <w:rPr/>
      </w:r>
    </w:p>
    <w:p>
      <w:pPr>
        <w:pStyle w:val="Pismenka"/>
        <w:ind w:left="0" w:right="0" w:hanging="0"/>
        <w:rPr>
          <w:sz w:val="20"/>
        </w:rPr>
      </w:pPr>
      <w:r>
        <w:rPr>
          <w:sz w:val="20"/>
        </w:rPr>
        <w:t>(j)Záväzky</w:t>
      </w:r>
    </w:p>
    <w:p>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Telotextu"/>
        <w:rPr>
          <w:sz w:val="20"/>
        </w:rPr>
      </w:pPr>
      <w:r>
        <w:rPr>
          <w:sz w:val="20"/>
        </w:rPr>
      </w:r>
    </w:p>
    <w:p>
      <w:pPr>
        <w:pStyle w:val="Pismenka"/>
        <w:numPr>
          <w:ilvl w:val="0"/>
          <w:numId w:val="2"/>
        </w:numPr>
        <w:ind w:left="426" w:right="0" w:hanging="360"/>
        <w:rPr>
          <w:sz w:val="20"/>
        </w:rPr>
      </w:pPr>
      <w:r>
        <w:rPr>
          <w:sz w:val="20"/>
        </w:rPr>
        <w:t>Odložené dane</w:t>
      </w:r>
    </w:p>
    <w:p>
      <w:pPr>
        <w:pStyle w:val="Telotextu"/>
        <w:rPr>
          <w:sz w:val="20"/>
        </w:rPr>
      </w:pPr>
      <w:r>
        <w:rPr>
          <w:sz w:val="20"/>
        </w:rPr>
        <w:t xml:space="preserve">Odložené dane (odložená daňová pohľadávka a odložený daňový záväzok) sa vzťahujú na: </w:t>
      </w:r>
    </w:p>
    <w:p>
      <w:pPr>
        <w:pStyle w:val="Telotextu"/>
        <w:numPr>
          <w:ilvl w:val="0"/>
          <w:numId w:val="1"/>
        </w:numPr>
        <w:rPr>
          <w:sz w:val="20"/>
        </w:rPr>
      </w:pPr>
      <w:r>
        <w:rPr>
          <w:sz w:val="20"/>
        </w:rPr>
        <w:t>dočasné rozdiely medzi účtovnou hodnotou majetku a účtovnou hodnotou záväzkov vykázanou v súvahe a ich daňovou základňou,</w:t>
      </w:r>
    </w:p>
    <w:p>
      <w:pPr>
        <w:pStyle w:val="Telotextu"/>
        <w:numPr>
          <w:ilvl w:val="0"/>
          <w:numId w:val="1"/>
        </w:numPr>
        <w:rPr>
          <w:sz w:val="20"/>
        </w:rPr>
      </w:pPr>
      <w:r>
        <w:rPr>
          <w:sz w:val="20"/>
        </w:rPr>
        <w:t>možnosti umorovať daňovú stratu v budúcnosti, pod ktorou sa rozumie možnosť odpočítať daňovú stratu od základu dane v budúcnosti,</w:t>
      </w:r>
    </w:p>
    <w:p>
      <w:pPr>
        <w:pStyle w:val="Telotextu"/>
        <w:numPr>
          <w:ilvl w:val="0"/>
          <w:numId w:val="1"/>
        </w:numPr>
        <w:rPr>
          <w:sz w:val="20"/>
        </w:rPr>
      </w:pPr>
      <w:r>
        <w:rPr>
          <w:sz w:val="20"/>
        </w:rPr>
        <w:t>možnosti previesť nevyužité daňové odpočty a iné daňové nároky do budúcich období.</w:t>
      </w:r>
    </w:p>
    <w:p>
      <w:pPr>
        <w:pStyle w:val="Telotextu"/>
        <w:ind w:left="0" w:right="0" w:hanging="0"/>
        <w:rPr>
          <w:sz w:val="20"/>
        </w:rPr>
      </w:pPr>
      <w:r>
        <w:rPr>
          <w:sz w:val="20"/>
        </w:rPr>
        <w:t>V spoločnosti Tomkat, s.r.o. sa o odloženej dani neúčtovalo.</w:t>
      </w:r>
    </w:p>
    <w:p>
      <w:pPr>
        <w:pStyle w:val="Telotextu"/>
        <w:rPr>
          <w:sz w:val="20"/>
        </w:rPr>
      </w:pPr>
      <w:r>
        <w:rPr>
          <w:sz w:val="20"/>
        </w:rPr>
      </w:r>
    </w:p>
    <w:p>
      <w:pPr>
        <w:pStyle w:val="Pismenka"/>
        <w:numPr>
          <w:ilvl w:val="0"/>
          <w:numId w:val="2"/>
        </w:numPr>
        <w:ind w:left="426" w:right="0" w:hanging="360"/>
        <w:rPr>
          <w:sz w:val="20"/>
        </w:rPr>
      </w:pPr>
      <w:r>
        <w:rPr>
          <w:sz w:val="20"/>
        </w:rPr>
        <w:t>Výdavky budúcich období a výnosy budúcich období</w:t>
      </w:r>
    </w:p>
    <w:p>
      <w:pPr>
        <w:pStyle w:val="Telotextu"/>
        <w:rPr>
          <w:sz w:val="20"/>
        </w:rPr>
      </w:pPr>
      <w:r>
        <w:rPr>
          <w:sz w:val="20"/>
        </w:rPr>
        <w:t>Výdavky budúcich období a výnosy budúcich období sa vykazujú vo výške, ktorá je potrebná na dodržanie zásady vecnej a časovej súvislosti s účtovným obdobím.</w:t>
      </w:r>
    </w:p>
    <w:p>
      <w:pPr>
        <w:pStyle w:val="Telotextu"/>
        <w:rPr>
          <w:sz w:val="20"/>
        </w:rPr>
      </w:pPr>
      <w:r>
        <w:rPr>
          <w:sz w:val="20"/>
        </w:rPr>
        <w:t>-Nie sú.</w:t>
      </w:r>
    </w:p>
    <w:p>
      <w:pPr>
        <w:pStyle w:val="Telotextu"/>
        <w:rPr>
          <w:sz w:val="20"/>
        </w:rPr>
      </w:pPr>
      <w:r>
        <w:rPr>
          <w:sz w:val="20"/>
        </w:rPr>
      </w:r>
    </w:p>
    <w:p>
      <w:pPr>
        <w:pStyle w:val="Pismenka"/>
        <w:numPr>
          <w:ilvl w:val="0"/>
          <w:numId w:val="2"/>
        </w:numPr>
        <w:ind w:left="426" w:right="0" w:hanging="360"/>
        <w:rPr>
          <w:sz w:val="20"/>
        </w:rPr>
      </w:pPr>
      <w:r>
        <w:rPr>
          <w:sz w:val="20"/>
        </w:rPr>
        <w:t>Leasing</w:t>
      </w:r>
    </w:p>
    <w:p>
      <w:pPr>
        <w:pStyle w:val="Telotextu"/>
        <w:rPr>
          <w:sz w:val="20"/>
        </w:rPr>
      </w:pPr>
      <w:r>
        <w:rPr>
          <w:sz w:val="20"/>
        </w:rPr>
        <w:t xml:space="preserve">Pri zmluvách uzavretých po 1.1.2004 vykazuje majetok obstaraný formou finančného leasingu nájomca. </w:t>
      </w:r>
    </w:p>
    <w:p>
      <w:pPr>
        <w:pStyle w:val="Telotextu"/>
        <w:rPr>
          <w:sz w:val="20"/>
        </w:rPr>
      </w:pPr>
      <w:r>
        <w:rPr>
          <w:sz w:val="20"/>
        </w:rPr>
        <w:t>V roku 2018 spoločnosť nakúpila na leasingovú zmlúvu vysokozdvižný vozík.V roku 2021 sa na finančný leasing nenakupovalo.</w:t>
      </w:r>
    </w:p>
    <w:p>
      <w:pPr>
        <w:pStyle w:val="Telotextu"/>
        <w:rPr>
          <w:sz w:val="20"/>
        </w:rPr>
      </w:pPr>
      <w:r>
        <w:rPr>
          <w:sz w:val="20"/>
        </w:rPr>
      </w:r>
    </w:p>
    <w:p>
      <w:pPr>
        <w:pStyle w:val="Pismenka"/>
        <w:numPr>
          <w:ilvl w:val="0"/>
          <w:numId w:val="2"/>
        </w:numPr>
        <w:ind w:left="426" w:right="0" w:hanging="360"/>
        <w:rPr>
          <w:sz w:val="20"/>
        </w:rPr>
      </w:pPr>
      <w:r>
        <w:rPr>
          <w:sz w:val="20"/>
        </w:rPr>
        <w:t>Deriváty</w:t>
      </w:r>
    </w:p>
    <w:p>
      <w:pPr>
        <w:pStyle w:val="Telotextu"/>
        <w:rPr>
          <w:sz w:val="20"/>
        </w:rPr>
      </w:pPr>
      <w:r>
        <w:rPr>
          <w:sz w:val="20"/>
        </w:rPr>
        <w:t>O derivátoch spoločnosť neúčtovala.</w:t>
      </w:r>
    </w:p>
    <w:p>
      <w:pPr>
        <w:pStyle w:val="Telotextu"/>
        <w:rPr>
          <w:sz w:val="20"/>
        </w:rPr>
      </w:pPr>
      <w:r>
        <w:rPr>
          <w:sz w:val="20"/>
        </w:rPr>
      </w:r>
    </w:p>
    <w:p>
      <w:pPr>
        <w:pStyle w:val="Pismenka"/>
        <w:numPr>
          <w:ilvl w:val="0"/>
          <w:numId w:val="2"/>
        </w:numPr>
        <w:ind w:left="426" w:right="0" w:hanging="360"/>
        <w:rPr>
          <w:sz w:val="20"/>
        </w:rPr>
      </w:pPr>
      <w:r>
        <w:rPr>
          <w:sz w:val="20"/>
        </w:rPr>
        <w:t>Majetok a záväzky zabezpečené derivátmi</w:t>
      </w:r>
    </w:p>
    <w:p>
      <w:pPr>
        <w:pStyle w:val="Telotextu"/>
        <w:rPr>
          <w:sz w:val="20"/>
        </w:rPr>
      </w:pPr>
      <w:r>
        <w:rPr>
          <w:sz w:val="20"/>
        </w:rPr>
        <w:t xml:space="preserve">Majetok a záväzky neboli zabezpečené derivátmi. </w:t>
      </w:r>
    </w:p>
    <w:p>
      <w:pPr>
        <w:pStyle w:val="Telotextu"/>
        <w:rPr>
          <w:sz w:val="20"/>
        </w:rPr>
      </w:pPr>
      <w:r>
        <w:rPr>
          <w:sz w:val="20"/>
        </w:rPr>
      </w:r>
    </w:p>
    <w:p>
      <w:pPr>
        <w:pStyle w:val="Pismenka"/>
        <w:numPr>
          <w:ilvl w:val="0"/>
          <w:numId w:val="2"/>
        </w:numPr>
        <w:ind w:left="426" w:right="0" w:hanging="360"/>
        <w:rPr>
          <w:sz w:val="20"/>
        </w:rPr>
      </w:pPr>
      <w:r>
        <w:rPr>
          <w:sz w:val="20"/>
        </w:rPr>
        <w:t>Cudzia mena</w:t>
      </w:r>
    </w:p>
    <w:p>
      <w:pPr>
        <w:pStyle w:val="Pismenka"/>
        <w:numPr>
          <w:ilvl w:val="0"/>
          <w:numId w:val="2"/>
        </w:numPr>
        <w:ind w:left="0" w:right="0" w:hanging="360"/>
        <w:rPr>
          <w:sz w:val="20"/>
        </w:rPr>
      </w:pPr>
      <w:r>
        <w:rPr>
          <w:sz w:val="20"/>
        </w:rPr>
      </w:r>
    </w:p>
    <w:p>
      <w:pPr>
        <w:pStyle w:val="Telotextu"/>
        <w:rPr/>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t xml:space="preserve">. </w:t>
      </w:r>
    </w:p>
    <w:p>
      <w:pPr>
        <w:pStyle w:val="Telotextu"/>
        <w:rPr>
          <w:sz w:val="20"/>
        </w:rPr>
      </w:pPr>
      <w:r>
        <w:rPr>
          <w:sz w:val="20"/>
        </w:rPr>
        <w:t>Účtovná jednotka v cudzej mene neúčtovala.</w:t>
      </w:r>
    </w:p>
    <w:p>
      <w:pPr>
        <w:pStyle w:val="Telotextu"/>
        <w:ind w:left="0" w:right="0" w:hanging="0"/>
        <w:rPr>
          <w:sz w:val="20"/>
        </w:rPr>
      </w:pPr>
      <w:r>
        <w:rPr>
          <w:sz w:val="20"/>
        </w:rPr>
      </w:r>
    </w:p>
    <w:p>
      <w:pPr>
        <w:pStyle w:val="Pismenka"/>
        <w:numPr>
          <w:ilvl w:val="0"/>
          <w:numId w:val="2"/>
        </w:numPr>
        <w:ind w:left="426" w:right="0" w:hanging="360"/>
        <w:rPr>
          <w:sz w:val="20"/>
        </w:rPr>
      </w:pPr>
      <w:r>
        <w:rPr>
          <w:sz w:val="20"/>
        </w:rPr>
        <w:t>Výnosy</w:t>
      </w:r>
    </w:p>
    <w:p>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pPr>
        <w:pStyle w:val="Telotextu"/>
        <w:ind w:left="0" w:right="0" w:hanging="0"/>
        <w:rPr>
          <w:sz w:val="20"/>
        </w:rPr>
      </w:pPr>
      <w:r>
        <w:rPr>
          <w:sz w:val="20"/>
        </w:rPr>
      </w:r>
    </w:p>
    <w:p>
      <w:pPr>
        <w:pStyle w:val="Nadpis1"/>
        <w:numPr>
          <w:ilvl w:val="0"/>
          <w:numId w:val="4"/>
        </w:numPr>
        <w:rPr>
          <w:sz w:val="20"/>
        </w:rPr>
      </w:pPr>
      <w:r>
        <w:rPr>
          <w:sz w:val="20"/>
        </w:rPr>
        <w:t>informácie o údajoch na strane aktív súvahy</w:t>
      </w:r>
    </w:p>
    <w:p>
      <w:pPr>
        <w:pStyle w:val="Hlavika"/>
        <w:ind w:left="0" w:right="0" w:hanging="0"/>
        <w:jc w:val="both"/>
        <w:rPr>
          <w:shd w:fill="FFFF00" w:val="clear"/>
        </w:rPr>
      </w:pPr>
      <w:r>
        <w:rPr>
          <w:shd w:fill="FFFF00" w:val="clear"/>
        </w:rPr>
      </w:r>
    </w:p>
    <w:p>
      <w:pPr>
        <w:pStyle w:val="Nadpis2"/>
        <w:numPr>
          <w:ilvl w:val="0"/>
          <w:numId w:val="6"/>
        </w:numPr>
        <w:tabs>
          <w:tab w:val="left" w:pos="426" w:leader="none"/>
        </w:tabs>
        <w:rPr>
          <w:sz w:val="20"/>
          <w:shd w:fill="FFFFFF" w:val="clear"/>
        </w:rPr>
      </w:pPr>
      <w:r>
        <w:rPr>
          <w:sz w:val="20"/>
          <w:shd w:fill="FFFFFF" w:val="clear"/>
        </w:rPr>
        <w:t>Dlhodobý nehmotný majetok a dlhodobý hmotný majetok</w:t>
      </w:r>
    </w:p>
    <w:p>
      <w:pPr>
        <w:pStyle w:val="Telotextu"/>
        <w:rPr>
          <w:sz w:val="20"/>
          <w:shd w:fill="FFFFFF" w:val="clear"/>
        </w:rPr>
      </w:pPr>
      <w:r>
        <w:rPr>
          <w:sz w:val="20"/>
          <w:shd w:fill="FFFFFF" w:val="clear"/>
        </w:rPr>
        <w:t>Prehľad o pohybe dlhodobého nehmotného a dlhodobého hmotného majetku od 1. januára 2021 do              31. decembra 2021 je uvedený v tabuľke :</w:t>
      </w:r>
    </w:p>
    <w:p>
      <w:pPr>
        <w:pStyle w:val="Telotextu"/>
        <w:rPr>
          <w:sz w:val="20"/>
          <w:shd w:fill="FFFFFF" w:val="clear"/>
        </w:rPr>
      </w:pPr>
      <w:r>
        <w:rPr>
          <w:sz w:val="20"/>
          <w:shd w:fill="FFFFFF" w:val="clear"/>
        </w:rPr>
        <w:t>ZS                                      KS</w:t>
      </w:r>
    </w:p>
    <w:p>
      <w:pPr>
        <w:pStyle w:val="Telotextu"/>
        <w:rPr>
          <w:sz w:val="20"/>
          <w:shd w:fill="FFFFFF" w:val="clear"/>
        </w:rPr>
      </w:pPr>
      <w:r>
        <w:rPr>
          <w:sz w:val="20"/>
          <w:shd w:fill="FFFFFF" w:val="clear"/>
        </w:rPr>
        <w:t>245 239                             296295</w:t>
      </w:r>
    </w:p>
    <w:p>
      <w:pPr>
        <w:pStyle w:val="Telotextu"/>
        <w:rPr>
          <w:sz w:val="20"/>
          <w:shd w:fill="FFFFFF" w:val="clear"/>
        </w:rPr>
      </w:pPr>
      <w:r>
        <w:rPr>
          <w:sz w:val="20"/>
          <w:shd w:fill="FFFFFF" w:val="clear"/>
        </w:rPr>
        <w:t>Rozdiel: 51.056€</w:t>
      </w:r>
    </w:p>
    <w:p>
      <w:pPr>
        <w:pStyle w:val="Telotextu"/>
        <w:rPr>
          <w:sz w:val="20"/>
          <w:shd w:fill="FFFFFF" w:val="clear"/>
        </w:rPr>
      </w:pPr>
      <w:r>
        <w:rPr>
          <w:sz w:val="20"/>
          <w:shd w:fill="FFFFFF" w:val="clear"/>
        </w:rPr>
        <w:t>Nákup prívesného vozíka v sume: 3713€</w:t>
      </w:r>
    </w:p>
    <w:p>
      <w:pPr>
        <w:pStyle w:val="Telotextu"/>
        <w:rPr>
          <w:sz w:val="20"/>
          <w:shd w:fill="FFFFFF" w:val="clear"/>
        </w:rPr>
      </w:pPr>
      <w:r>
        <w:rPr>
          <w:sz w:val="20"/>
          <w:shd w:fill="FFFFFF" w:val="clear"/>
        </w:rPr>
        <w:t>Automobilu: BOXER v sume: 9843€</w:t>
      </w:r>
    </w:p>
    <w:p>
      <w:pPr>
        <w:pStyle w:val="Telotextu"/>
        <w:rPr>
          <w:sz w:val="20"/>
          <w:shd w:fill="FFFFFF" w:val="clear"/>
        </w:rPr>
      </w:pPr>
      <w:r>
        <w:rPr>
          <w:sz w:val="20"/>
          <w:shd w:fill="FFFFFF" w:val="clear"/>
        </w:rPr>
        <w:t>Automobil Mercedes v sume: 37500€</w:t>
      </w:r>
    </w:p>
    <w:p>
      <w:pPr>
        <w:pStyle w:val="Telotextu"/>
        <w:rPr/>
      </w:pPr>
      <w:r>
        <w:rPr/>
      </w:r>
    </w:p>
    <w:p>
      <w:pPr>
        <w:pStyle w:val="Telotextu"/>
        <w:rPr>
          <w:sz w:val="20"/>
          <w:shd w:fill="FFFFFF" w:val="clear"/>
        </w:rPr>
      </w:pPr>
      <w:r>
        <w:rPr>
          <w:sz w:val="20"/>
          <w:shd w:fill="FFFFFF" w:val="clear"/>
        </w:rPr>
        <w:t>Účtovná jednotka o  dlhodobom nehmotném majetku neúčtovala.</w:t>
      </w:r>
    </w:p>
    <w:p>
      <w:pPr>
        <w:pStyle w:val="Telotextu"/>
        <w:rPr>
          <w:sz w:val="20"/>
          <w:shd w:fill="FFFFFF" w:val="clear"/>
        </w:rPr>
      </w:pPr>
      <w:r>
        <w:rPr>
          <w:sz w:val="20"/>
          <w:shd w:fill="FFFFFF" w:val="clea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1.Dlhodobý finančný majetok</w:t>
      </w:r>
    </w:p>
    <w:p>
      <w:pPr>
        <w:pStyle w:val="Normal"/>
        <w:ind w:left="360" w:right="0" w:hanging="0"/>
        <w:rPr>
          <w:shd w:fill="FFFFFF" w:val="clear"/>
        </w:rPr>
      </w:pPr>
      <w:r>
        <w:rPr>
          <w:shd w:fill="FFFFFF" w:val="clear"/>
        </w:rPr>
        <w:t>Spoločnosť v roku 2021 účtovala o dlhodobom finančnom majetku.</w:t>
      </w:r>
    </w:p>
    <w:p>
      <w:pPr>
        <w:pStyle w:val="Normal"/>
        <w:ind w:left="360" w:right="0" w:hanging="0"/>
        <w:rPr>
          <w:shd w:fill="FFFFFF" w:val="clear"/>
        </w:rPr>
      </w:pPr>
      <w:r>
        <w:rPr>
          <w:shd w:fill="FFFFFF" w:val="clea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2.Zásoby</w:t>
      </w:r>
    </w:p>
    <w:p>
      <w:pPr>
        <w:pStyle w:val="Telotextu"/>
        <w:rPr>
          <w:color w:val="000000"/>
          <w:sz w:val="20"/>
          <w:shd w:fill="FFFFFF" w:val="clear"/>
        </w:rPr>
      </w:pPr>
      <w:r>
        <w:rPr>
          <w:sz w:val="20"/>
          <w:shd w:fill="FFFFFF" w:val="clear"/>
        </w:rPr>
        <w:t xml:space="preserve">Spoločnosť </w:t>
      </w:r>
      <w:r>
        <w:rPr>
          <w:color w:val="000000"/>
          <w:sz w:val="20"/>
          <w:shd w:fill="FFFFFF" w:val="clear"/>
        </w:rPr>
        <w:t>má poistené zásoby.</w:t>
      </w:r>
    </w:p>
    <w:p>
      <w:pPr>
        <w:pStyle w:val="Telotextu"/>
        <w:rPr>
          <w:sz w:val="20"/>
          <w:shd w:fill="FFFFFF" w:val="clear"/>
        </w:rPr>
      </w:pPr>
      <w:r>
        <w:rPr>
          <w:sz w:val="20"/>
          <w:shd w:fill="FFFFFF" w:val="clear"/>
        </w:rPr>
        <w:t xml:space="preserve">Opravné položky k zásobám v roku 2021 neboli tvorené. </w:t>
      </w:r>
    </w:p>
    <w:p>
      <w:pPr>
        <w:pStyle w:val="Telotextu"/>
        <w:rPr>
          <w:sz w:val="20"/>
          <w:shd w:fill="FFFFFF" w:val="clear"/>
        </w:rPr>
      </w:pPr>
      <w:r>
        <w:rPr>
          <w:sz w:val="20"/>
          <w:shd w:fill="FFFFFF" w:val="clear"/>
        </w:rPr>
      </w:r>
    </w:p>
    <w:p>
      <w:pPr>
        <w:pStyle w:val="Telotextu"/>
        <w:ind w:left="0" w:right="0" w:hanging="0"/>
        <w:rPr>
          <w:b/>
          <w:sz w:val="20"/>
        </w:rPr>
      </w:pPr>
      <w:r>
        <w:rPr>
          <w:b/>
          <w:sz w:val="20"/>
        </w:rPr>
        <w:t>3.Údaje o zákazkovej výrobe</w:t>
      </w:r>
    </w:p>
    <w:p>
      <w:pPr>
        <w:pStyle w:val="Telotextu"/>
        <w:rPr>
          <w:sz w:val="20"/>
        </w:rPr>
      </w:pPr>
      <w:r>
        <w:rPr>
          <w:sz w:val="20"/>
        </w:rPr>
        <w:t>Spoločnosť neúčtuje o zákazkovej výrobe.</w:t>
      </w:r>
    </w:p>
    <w:p>
      <w:pPr>
        <w:pStyle w:val="Telotextu"/>
        <w:ind w:left="0" w:right="0" w:hanging="0"/>
        <w:rPr>
          <w:sz w:val="20"/>
        </w:rPr>
      </w:pPr>
      <w:r>
        <w:rPr>
          <w:sz w:val="20"/>
        </w:rPr>
      </w:r>
    </w:p>
    <w:p>
      <w:pPr>
        <w:pStyle w:val="Nadpis2"/>
        <w:numPr>
          <w:ilvl w:val="1"/>
          <w:numId w:val="6"/>
        </w:numPr>
        <w:rPr>
          <w:sz w:val="20"/>
        </w:rPr>
      </w:pPr>
      <w:r>
        <w:rPr>
          <w:sz w:val="20"/>
        </w:rPr>
        <w:t>Pohľadávky</w:t>
      </w:r>
    </w:p>
    <w:p>
      <w:pPr>
        <w:pStyle w:val="Telotextu"/>
        <w:rPr>
          <w:sz w:val="20"/>
        </w:rPr>
      </w:pPr>
      <w:r>
        <w:rPr>
          <w:sz w:val="20"/>
        </w:rPr>
        <w:t>Spoločnosť netvorila opravné položky k pohľadávkam v roku 2021.</w:t>
      </w:r>
    </w:p>
    <w:p>
      <w:pPr>
        <w:pStyle w:val="Telotextu"/>
        <w:rPr>
          <w:sz w:val="20"/>
        </w:rPr>
      </w:pPr>
      <w:r>
        <w:rPr>
          <w:sz w:val="20"/>
        </w:rPr>
        <w:t>Pohľadávky:</w:t>
      </w:r>
    </w:p>
    <w:p>
      <w:pPr>
        <w:pStyle w:val="Telotextu"/>
        <w:rPr>
          <w:sz w:val="20"/>
        </w:rPr>
      </w:pPr>
      <w:r>
        <w:rPr>
          <w:sz w:val="20"/>
        </w:rPr>
        <w:t>ZS                      KS</w:t>
      </w:r>
    </w:p>
    <w:p>
      <w:pPr>
        <w:pStyle w:val="Telotextu"/>
        <w:rPr>
          <w:sz w:val="20"/>
        </w:rPr>
      </w:pPr>
      <w:r>
        <w:rPr>
          <w:sz w:val="20"/>
        </w:rPr>
        <w:t>322893         327865</w:t>
      </w:r>
    </w:p>
    <w:p>
      <w:pPr>
        <w:pStyle w:val="Telotextu"/>
        <w:rPr>
          <w:sz w:val="20"/>
        </w:rPr>
      </w:pPr>
      <w:r>
        <w:rPr>
          <w:sz w:val="20"/>
        </w:rPr>
      </w:r>
    </w:p>
    <w:p>
      <w:pPr>
        <w:pStyle w:val="Telotextu"/>
        <w:rPr/>
      </w:pPr>
      <w:r>
        <w:rPr/>
        <w:t>Rozdiel: nárast  o 4972€</w:t>
      </w:r>
    </w:p>
    <w:p>
      <w:pPr>
        <w:pStyle w:val="Telotextu"/>
        <w:rPr>
          <w:sz w:val="20"/>
        </w:rPr>
      </w:pPr>
      <w:r>
        <w:rPr>
          <w:sz w:val="20"/>
        </w:rPr>
        <w:t xml:space="preserve">       </w:t>
      </w:r>
      <w:r>
        <w:rPr>
          <w:sz w:val="20"/>
        </w:rPr>
        <w:t>Pohľadávky sú kryté záložným právom.</w:t>
      </w:r>
    </w:p>
    <w:p>
      <w:pPr>
        <w:pStyle w:val="Telotextu"/>
        <w:rPr>
          <w:sz w:val="20"/>
        </w:rPr>
      </w:pPr>
      <w:r>
        <w:rPr>
          <w:sz w:val="20"/>
        </w:rPr>
      </w:r>
    </w:p>
    <w:p>
      <w:pPr>
        <w:pStyle w:val="Nadpis2"/>
        <w:numPr>
          <w:ilvl w:val="1"/>
          <w:numId w:val="6"/>
        </w:numPr>
        <w:rPr>
          <w:sz w:val="20"/>
        </w:rPr>
      </w:pPr>
      <w:r>
        <w:rPr>
          <w:sz w:val="20"/>
        </w:rPr>
        <w:t>Finančné účty</w:t>
      </w:r>
    </w:p>
    <w:p>
      <w:pPr>
        <w:pStyle w:val="Telotextu"/>
        <w:rPr>
          <w:sz w:val="20"/>
        </w:rPr>
      </w:pPr>
      <w:r>
        <w:rPr>
          <w:sz w:val="20"/>
        </w:rPr>
        <w:t>Ako finančné účty sú vykázané peniaze v pokladnici a účty v bankách .</w:t>
      </w:r>
    </w:p>
    <w:p>
      <w:pPr>
        <w:pStyle w:val="Telotextu"/>
        <w:rPr/>
      </w:pPr>
      <w:bookmarkStart w:id="0" w:name="_1394383933"/>
      <w:bookmarkStart w:id="1" w:name="_1362742279"/>
      <w:bookmarkStart w:id="2" w:name="_1362730598"/>
      <w:bookmarkStart w:id="3" w:name="_1331385616"/>
      <w:bookmarkStart w:id="4" w:name="_1299608927"/>
      <w:bookmarkStart w:id="5" w:name="_1299574844"/>
      <w:bookmarkStart w:id="6" w:name="_1233745913"/>
      <w:bookmarkStart w:id="7" w:name="_1220015479"/>
      <w:bookmarkStart w:id="8" w:name="_1202653545"/>
      <w:bookmarkStart w:id="9" w:name="_1201870911"/>
      <w:bookmarkStart w:id="10" w:name="_1171883578"/>
      <w:bookmarkStart w:id="11" w:name="_1170591383"/>
      <w:bookmarkStart w:id="12" w:name="_1139748700"/>
      <w:bookmarkStart w:id="13" w:name="_1139643558"/>
      <w:bookmarkStart w:id="14" w:name="_1138803025"/>
      <w:bookmarkStart w:id="15" w:name="_1135417574"/>
      <w:bookmarkStart w:id="16" w:name="_1394383933"/>
      <w:bookmarkStart w:id="17" w:name="_1362742279"/>
      <w:bookmarkStart w:id="18" w:name="_1362730598"/>
      <w:bookmarkStart w:id="19" w:name="_1331385616"/>
      <w:bookmarkStart w:id="20" w:name="_1299608927"/>
      <w:bookmarkStart w:id="21" w:name="_1299574844"/>
      <w:bookmarkStart w:id="22" w:name="_1233745913"/>
      <w:bookmarkStart w:id="23" w:name="_1220015479"/>
      <w:bookmarkStart w:id="24" w:name="_1202653545"/>
      <w:bookmarkStart w:id="25" w:name="_1201870911"/>
      <w:bookmarkStart w:id="26" w:name="_1171883578"/>
      <w:bookmarkStart w:id="27" w:name="_1170591383"/>
      <w:bookmarkStart w:id="28" w:name="_1139748700"/>
      <w:bookmarkStart w:id="29" w:name="_1139643558"/>
      <w:bookmarkStart w:id="30" w:name="_1138803025"/>
      <w:bookmarkStart w:id="31" w:name="_1135417574"/>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r>
    </w:p>
    <w:p>
      <w:pPr>
        <w:pStyle w:val="Telotextu"/>
        <w:rPr>
          <w:sz w:val="20"/>
        </w:rPr>
      </w:pPr>
      <w:r>
        <w:rPr>
          <w:sz w:val="20"/>
        </w:rPr>
      </w:r>
    </w:p>
    <w:p>
      <w:pPr>
        <w:pStyle w:val="Telotextu"/>
        <w:rPr>
          <w:sz w:val="20"/>
        </w:rPr>
      </w:pPr>
      <w:r>
        <w:rPr>
          <w:sz w:val="20"/>
        </w:rPr>
        <w:t>Spoločnosť má poistenú hotovosť v pokladni do výšky 3 .319 EUR.</w:t>
      </w:r>
    </w:p>
    <w:p>
      <w:pPr>
        <w:pStyle w:val="Telotextu"/>
        <w:rPr>
          <w:sz w:val="20"/>
        </w:rPr>
      </w:pPr>
      <w:r>
        <w:rPr>
          <w:sz w:val="20"/>
        </w:rPr>
        <w:t>Výška cenín k 31.12.2021 je : 1053€ v počte kusov: 270ks</w:t>
      </w:r>
    </w:p>
    <w:p>
      <w:pPr>
        <w:pStyle w:val="Nadpis2"/>
        <w:numPr>
          <w:ilvl w:val="1"/>
          <w:numId w:val="6"/>
        </w:numPr>
        <w:rPr>
          <w:sz w:val="20"/>
        </w:rPr>
      </w:pPr>
      <w:r>
        <w:rPr>
          <w:sz w:val="20"/>
        </w:rPr>
        <w:t>Krátkodobý finančný majetok</w:t>
      </w:r>
    </w:p>
    <w:p>
      <w:pPr>
        <w:pStyle w:val="Telotextu"/>
        <w:rPr>
          <w:sz w:val="20"/>
        </w:rPr>
      </w:pPr>
      <w:r>
        <w:rPr>
          <w:sz w:val="20"/>
        </w:rPr>
        <w:t>Spoločnosť vlastní krátkodobý finančný majetok vo forme zásob a pohľadávok do 365dní obrátkovosti.</w:t>
      </w:r>
    </w:p>
    <w:p>
      <w:pPr>
        <w:pStyle w:val="Telotextu"/>
        <w:rPr/>
      </w:pPr>
      <w:bookmarkStart w:id="32" w:name="_1394383958"/>
      <w:bookmarkStart w:id="33" w:name="_1362730686"/>
      <w:bookmarkStart w:id="34" w:name="_1331385747"/>
      <w:bookmarkStart w:id="35" w:name="_1299609066"/>
      <w:bookmarkStart w:id="36" w:name="_1299574834"/>
      <w:bookmarkStart w:id="37" w:name="_1233746103"/>
      <w:bookmarkStart w:id="38" w:name="_1233746027"/>
      <w:bookmarkStart w:id="39" w:name="_1220015503"/>
      <w:bookmarkStart w:id="40" w:name="_1202653954"/>
      <w:bookmarkStart w:id="41" w:name="_1202653905"/>
      <w:bookmarkStart w:id="42" w:name="_1394383958"/>
      <w:bookmarkStart w:id="43" w:name="_1362730686"/>
      <w:bookmarkStart w:id="44" w:name="_1331385747"/>
      <w:bookmarkStart w:id="45" w:name="_1299609066"/>
      <w:bookmarkStart w:id="46" w:name="_1299574834"/>
      <w:bookmarkStart w:id="47" w:name="_1233746103"/>
      <w:bookmarkStart w:id="48" w:name="_1233746027"/>
      <w:bookmarkStart w:id="49" w:name="_1220015503"/>
      <w:bookmarkStart w:id="50" w:name="_1202653954"/>
      <w:bookmarkStart w:id="51" w:name="_1202653905"/>
      <w:bookmarkEnd w:id="42"/>
      <w:bookmarkEnd w:id="43"/>
      <w:bookmarkEnd w:id="44"/>
      <w:bookmarkEnd w:id="45"/>
      <w:bookmarkEnd w:id="46"/>
      <w:bookmarkEnd w:id="47"/>
      <w:bookmarkEnd w:id="48"/>
      <w:bookmarkEnd w:id="49"/>
      <w:bookmarkEnd w:id="50"/>
      <w:bookmarkEnd w:id="51"/>
      <w:r>
        <w:rPr/>
      </w:r>
    </w:p>
    <w:p>
      <w:pPr>
        <w:pStyle w:val="Nadpis2"/>
        <w:numPr>
          <w:ilvl w:val="1"/>
          <w:numId w:val="6"/>
        </w:numPr>
        <w:rPr>
          <w:sz w:val="20"/>
        </w:rPr>
      </w:pPr>
      <w:r>
        <w:rPr>
          <w:sz w:val="20"/>
        </w:rPr>
        <w:t>Časové rozlíšenie - aktívne</w:t>
      </w:r>
    </w:p>
    <w:p>
      <w:pPr>
        <w:pStyle w:val="Telotextu"/>
        <w:rPr>
          <w:sz w:val="20"/>
        </w:rPr>
      </w:pPr>
      <w:r>
        <w:rPr>
          <w:sz w:val="20"/>
        </w:rPr>
        <w:t>Ide o tieto položky: poistenie majetku, poistenie podnikateľa, stojov a zariadení..</w:t>
      </w:r>
    </w:p>
    <w:p>
      <w:pPr>
        <w:pStyle w:val="Telotextu"/>
        <w:rPr>
          <w:sz w:val="20"/>
        </w:rPr>
      </w:pPr>
      <w:r>
        <w:rPr>
          <w:sz w:val="20"/>
        </w:rPr>
      </w:r>
    </w:p>
    <w:p>
      <w:pPr>
        <w:pStyle w:val="Telotextu"/>
        <w:rPr/>
      </w:pPr>
      <w:bookmarkStart w:id="52" w:name="_1394383968"/>
      <w:bookmarkStart w:id="53" w:name="_1362742288"/>
      <w:bookmarkStart w:id="54" w:name="_1362730705"/>
      <w:bookmarkStart w:id="55" w:name="_1331385767"/>
      <w:bookmarkStart w:id="56" w:name="_1299609111"/>
      <w:bookmarkStart w:id="57" w:name="_1299574824"/>
      <w:bookmarkStart w:id="58" w:name="_1233747092"/>
      <w:bookmarkStart w:id="59" w:name="_1233746576"/>
      <w:bookmarkStart w:id="60" w:name="_1220015538"/>
      <w:bookmarkStart w:id="61" w:name="_1202654302"/>
      <w:bookmarkStart w:id="62" w:name="_1202654247"/>
      <w:bookmarkStart w:id="63" w:name="_1202654168"/>
      <w:bookmarkStart w:id="64" w:name="_1201870937"/>
      <w:bookmarkStart w:id="65" w:name="_1171883673"/>
      <w:bookmarkStart w:id="66" w:name="_1170591455"/>
      <w:bookmarkStart w:id="67" w:name="_1139748806"/>
      <w:bookmarkStart w:id="68" w:name="_1139643601"/>
      <w:bookmarkStart w:id="69" w:name="_1139506201"/>
      <w:bookmarkStart w:id="70" w:name="_1139384312"/>
      <w:bookmarkStart w:id="71" w:name="_1138868781"/>
      <w:bookmarkStart w:id="72" w:name="_1138868769"/>
      <w:bookmarkStart w:id="73" w:name="_1138868734"/>
      <w:bookmarkStart w:id="74" w:name="_1138868635"/>
      <w:bookmarkStart w:id="75" w:name="_1138868522"/>
      <w:bookmarkStart w:id="76" w:name="_1138868518"/>
      <w:bookmarkStart w:id="77" w:name="_1134979194"/>
      <w:bookmarkStart w:id="78" w:name="_1127126775"/>
      <w:bookmarkStart w:id="79" w:name="_1127126761"/>
      <w:bookmarkStart w:id="80" w:name="_1126546316"/>
      <w:bookmarkStart w:id="81" w:name="_1122622201"/>
      <w:bookmarkStart w:id="82" w:name="_1122620169"/>
      <w:bookmarkStart w:id="83" w:name="_1122619955"/>
      <w:bookmarkStart w:id="84" w:name="_1122619882"/>
      <w:bookmarkStart w:id="85" w:name="_1122619327"/>
      <w:bookmarkStart w:id="86" w:name="_1094479862"/>
      <w:bookmarkStart w:id="87" w:name="_1066749531"/>
      <w:bookmarkStart w:id="88" w:name="_1066669045"/>
      <w:bookmarkStart w:id="89" w:name="_1066668635"/>
      <w:bookmarkStart w:id="90" w:name="_1066668588"/>
      <w:bookmarkStart w:id="91" w:name="_1066668442"/>
      <w:bookmarkStart w:id="92" w:name="_1394383968"/>
      <w:bookmarkStart w:id="93" w:name="_1362742288"/>
      <w:bookmarkStart w:id="94" w:name="_1362730705"/>
      <w:bookmarkStart w:id="95" w:name="_1331385767"/>
      <w:bookmarkStart w:id="96" w:name="_1299609111"/>
      <w:bookmarkStart w:id="97" w:name="_1299574824"/>
      <w:bookmarkStart w:id="98" w:name="_1233747092"/>
      <w:bookmarkStart w:id="99" w:name="_1233746576"/>
      <w:bookmarkStart w:id="100" w:name="_1220015538"/>
      <w:bookmarkStart w:id="101" w:name="_1202654302"/>
      <w:bookmarkStart w:id="102" w:name="_1202654247"/>
      <w:bookmarkStart w:id="103" w:name="_1202654168"/>
      <w:bookmarkStart w:id="104" w:name="_1201870937"/>
      <w:bookmarkStart w:id="105" w:name="_1171883673"/>
      <w:bookmarkStart w:id="106" w:name="_1170591455"/>
      <w:bookmarkStart w:id="107" w:name="_1139748806"/>
      <w:bookmarkStart w:id="108" w:name="_1139643601"/>
      <w:bookmarkStart w:id="109" w:name="_1139506201"/>
      <w:bookmarkStart w:id="110" w:name="_1139384312"/>
      <w:bookmarkStart w:id="111" w:name="_1138868781"/>
      <w:bookmarkStart w:id="112" w:name="_1138868769"/>
      <w:bookmarkStart w:id="113" w:name="_1138868734"/>
      <w:bookmarkStart w:id="114" w:name="_1138868635"/>
      <w:bookmarkStart w:id="115" w:name="_1138868522"/>
      <w:bookmarkStart w:id="116" w:name="_1138868518"/>
      <w:bookmarkStart w:id="117" w:name="_1134979194"/>
      <w:bookmarkStart w:id="118" w:name="_1127126775"/>
      <w:bookmarkStart w:id="119" w:name="_1127126761"/>
      <w:bookmarkStart w:id="120" w:name="_1126546316"/>
      <w:bookmarkStart w:id="121" w:name="_1122622201"/>
      <w:bookmarkStart w:id="122" w:name="_1122620169"/>
      <w:bookmarkStart w:id="123" w:name="_1122619955"/>
      <w:bookmarkStart w:id="124" w:name="_1122619882"/>
      <w:bookmarkStart w:id="125" w:name="_1122619327"/>
      <w:bookmarkStart w:id="126" w:name="_1094479862"/>
      <w:bookmarkStart w:id="127" w:name="_1066749531"/>
      <w:bookmarkStart w:id="128" w:name="_1066669045"/>
      <w:bookmarkStart w:id="129" w:name="_1066668635"/>
      <w:bookmarkStart w:id="130" w:name="_1066668588"/>
      <w:bookmarkStart w:id="131" w:name="_1066668442"/>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Pr/>
      </w:r>
    </w:p>
    <w:p>
      <w:pPr>
        <w:pStyle w:val="Telotextu"/>
        <w:ind w:left="0" w:right="0" w:hanging="0"/>
        <w:rPr>
          <w:sz w:val="20"/>
        </w:rPr>
      </w:pPr>
      <w:r>
        <w:rPr>
          <w:sz w:val="20"/>
        </w:rPr>
      </w:r>
    </w:p>
    <w:p>
      <w:pPr>
        <w:pStyle w:val="Nadpis1"/>
        <w:numPr>
          <w:ilvl w:val="0"/>
          <w:numId w:val="4"/>
        </w:numPr>
        <w:rPr>
          <w:sz w:val="20"/>
        </w:rPr>
      </w:pPr>
      <w:r>
        <w:rPr>
          <w:sz w:val="20"/>
        </w:rPr>
        <w:t>Informácie o údajoch na strane pasív súvahy</w:t>
      </w:r>
    </w:p>
    <w:p>
      <w:pPr>
        <w:pStyle w:val="Telotextu"/>
        <w:rPr>
          <w:sz w:val="20"/>
        </w:rPr>
      </w:pPr>
      <w:r>
        <w:rPr>
          <w:sz w:val="20"/>
        </w:rPr>
      </w:r>
    </w:p>
    <w:p>
      <w:pPr>
        <w:pStyle w:val="Nadpis2"/>
        <w:numPr>
          <w:ilvl w:val="0"/>
          <w:numId w:val="7"/>
        </w:numPr>
        <w:rPr>
          <w:sz w:val="20"/>
        </w:rPr>
      </w:pPr>
      <w:r>
        <w:rPr>
          <w:sz w:val="20"/>
        </w:rPr>
        <w:t>Vlastné imanie</w:t>
      </w:r>
    </w:p>
    <w:p>
      <w:pPr>
        <w:pStyle w:val="Telotextu"/>
        <w:rPr>
          <w:sz w:val="20"/>
        </w:rPr>
      </w:pPr>
      <w:r>
        <w:rPr>
          <w:sz w:val="20"/>
        </w:rPr>
        <w:t>Informácie o vlastnom imaní sú uvedené v časti C a P.</w:t>
      </w:r>
    </w:p>
    <w:p>
      <w:pPr>
        <w:pStyle w:val="Telotextu"/>
        <w:rPr>
          <w:sz w:val="20"/>
        </w:rPr>
      </w:pPr>
      <w:r>
        <w:rPr>
          <w:sz w:val="20"/>
        </w:rPr>
        <w:t>Výška splateného imania: 50% na 50% -podiel na jedného: 3319,39€</w:t>
      </w:r>
    </w:p>
    <w:p>
      <w:pPr>
        <w:pStyle w:val="Telotextu"/>
        <w:ind w:left="0" w:right="0" w:hanging="0"/>
        <w:rPr>
          <w:sz w:val="20"/>
        </w:rPr>
      </w:pPr>
      <w:r>
        <w:rPr>
          <w:sz w:val="20"/>
        </w:rPr>
      </w:r>
    </w:p>
    <w:p>
      <w:pPr>
        <w:pStyle w:val="Nadpis2"/>
        <w:numPr>
          <w:ilvl w:val="0"/>
          <w:numId w:val="7"/>
        </w:numPr>
        <w:rPr>
          <w:sz w:val="20"/>
        </w:rPr>
      </w:pPr>
      <w:r>
        <w:rPr>
          <w:sz w:val="20"/>
        </w:rPr>
      </w:r>
    </w:p>
    <w:p>
      <w:pPr>
        <w:pStyle w:val="Nadpis2"/>
        <w:numPr>
          <w:ilvl w:val="1"/>
          <w:numId w:val="7"/>
        </w:numPr>
        <w:rPr/>
      </w:pPr>
      <w:r>
        <w:rPr/>
        <w:t>Záväzky</w:t>
      </w:r>
    </w:p>
    <w:p>
      <w:pPr>
        <w:pStyle w:val="Telotextu"/>
        <w:rPr>
          <w:sz w:val="20"/>
        </w:rPr>
      </w:pPr>
      <w:r>
        <w:rPr>
          <w:sz w:val="20"/>
        </w:rPr>
      </w:r>
    </w:p>
    <w:p>
      <w:pPr>
        <w:pStyle w:val="Telotextu"/>
        <w:rPr>
          <w:sz w:val="20"/>
        </w:rPr>
      </w:pPr>
      <w:r>
        <w:rPr>
          <w:sz w:val="20"/>
        </w:rPr>
        <w:t>Štruktúra záväzkov (okrem bankových úverov) podľa zostatkovej doby splatnosti je uvedená v nasledujúcej tabuľke:</w:t>
      </w:r>
    </w:p>
    <w:p>
      <w:pPr>
        <w:pStyle w:val="Telotextu"/>
        <w:rPr/>
      </w:pPr>
      <w:r>
        <w:rPr/>
        <w:t>ZS                 KS</w:t>
      </w:r>
    </w:p>
    <w:p>
      <w:pPr>
        <w:pStyle w:val="Telotextu"/>
        <w:rPr/>
      </w:pPr>
      <w:r>
        <w:rPr/>
      </w:r>
    </w:p>
    <w:p>
      <w:pPr>
        <w:pStyle w:val="Telotextu"/>
        <w:rPr/>
      </w:pPr>
      <w:r>
        <w:rPr/>
        <w:t>449481        644406</w:t>
      </w:r>
    </w:p>
    <w:p>
      <w:pPr>
        <w:pStyle w:val="Telotextu"/>
        <w:rPr/>
      </w:pPr>
      <w:r>
        <w:rPr/>
        <w:t>Rozdiel: 194.925€ nárast</w:t>
      </w:r>
    </w:p>
    <w:p>
      <w:pPr>
        <w:pStyle w:val="Telotextu"/>
        <w:rPr/>
      </w:pPr>
      <w:r>
        <w:rPr/>
      </w:r>
    </w:p>
    <w:p>
      <w:pPr>
        <w:pStyle w:val="Nadpis2"/>
        <w:rPr>
          <w:sz w:val="20"/>
        </w:rPr>
      </w:pPr>
      <w:r>
        <w:rPr>
          <w:sz w:val="20"/>
        </w:rPr>
        <w:t>Odložený daňový záväzok</w:t>
      </w:r>
    </w:p>
    <w:p>
      <w:pPr>
        <w:pStyle w:val="Normal"/>
        <w:ind w:left="0" w:right="0" w:hanging="0"/>
        <w:rPr>
          <w:sz w:val="20"/>
        </w:rPr>
      </w:pPr>
      <w:r>
        <w:rPr>
          <w:sz w:val="20"/>
        </w:rPr>
      </w:r>
    </w:p>
    <w:p>
      <w:pPr>
        <w:pStyle w:val="Normal"/>
        <w:ind w:left="0" w:right="0" w:hanging="0"/>
        <w:rPr>
          <w:sz w:val="20"/>
        </w:rPr>
      </w:pPr>
      <w:r>
        <w:rPr>
          <w:sz w:val="20"/>
        </w:rPr>
        <w:t>O odloženom daňovom záväzku účtovná jednotka v roku 2021 neúčtovala.</w:t>
      </w:r>
    </w:p>
    <w:p>
      <w:pPr>
        <w:pStyle w:val="Normal"/>
        <w:ind w:left="0" w:right="0" w:hanging="0"/>
        <w:rPr/>
      </w:pPr>
      <w:r>
        <w:rPr/>
      </w:r>
    </w:p>
    <w:p>
      <w:pPr>
        <w:pStyle w:val="Normal"/>
        <w:ind w:left="0" w:right="0" w:hanging="0"/>
        <w:rPr/>
      </w:pPr>
      <w:r>
        <w:rPr/>
      </w:r>
    </w:p>
    <w:p>
      <w:pPr>
        <w:pStyle w:val="Normal"/>
        <w:ind w:left="0" w:right="0" w:hanging="0"/>
        <w:rPr/>
      </w:pPr>
      <w:r>
        <w:rPr/>
      </w:r>
    </w:p>
    <w:p>
      <w:pPr>
        <w:pStyle w:val="Telotextu"/>
        <w:rPr>
          <w:sz w:val="20"/>
        </w:rPr>
      </w:pPr>
      <w:r>
        <w:rPr>
          <w:sz w:val="20"/>
        </w:rPr>
      </w:r>
    </w:p>
    <w:p>
      <w:pPr>
        <w:pStyle w:val="Telotextu"/>
        <w:rPr/>
      </w:pPr>
      <w:r>
        <w:rPr/>
      </w:r>
    </w:p>
    <w:p>
      <w:pPr>
        <w:pStyle w:val="Nadpis2"/>
        <w:numPr>
          <w:ilvl w:val="1"/>
          <w:numId w:val="7"/>
        </w:numPr>
        <w:rPr>
          <w:sz w:val="20"/>
        </w:rPr>
      </w:pPr>
      <w:r>
        <w:rPr>
          <w:sz w:val="20"/>
        </w:rPr>
        <w:t>Sociálny fond</w:t>
      </w:r>
    </w:p>
    <w:p>
      <w:pPr>
        <w:pStyle w:val="Telotextu"/>
        <w:rPr>
          <w:sz w:val="20"/>
        </w:rPr>
      </w:pPr>
      <w:r>
        <w:rPr>
          <w:sz w:val="20"/>
        </w:rPr>
      </w:r>
    </w:p>
    <w:p>
      <w:pPr>
        <w:pStyle w:val="Telotextu"/>
        <w:rPr>
          <w:sz w:val="20"/>
        </w:rPr>
      </w:pPr>
      <w:r>
        <w:rPr>
          <w:sz w:val="20"/>
        </w:rPr>
        <w:t>Tvorba a čerpanie sociálneho fondu v roku 2021 v priebehu účtovného obdobia sú znázornené v nasledujúcej tabuľke v Eur:</w:t>
      </w:r>
    </w:p>
    <w:p>
      <w:pPr>
        <w:pStyle w:val="Telotextu"/>
        <w:rPr>
          <w:sz w:val="20"/>
        </w:rPr>
      </w:pPr>
      <w:r>
        <w:rPr>
          <w:sz w:val="20"/>
        </w:rPr>
        <w:t>ZS 2020     Tvorba     Čerpanie Zostatok 2021</w:t>
      </w:r>
    </w:p>
    <w:p>
      <w:pPr>
        <w:pStyle w:val="Telotextu"/>
        <w:rPr>
          <w:sz w:val="20"/>
        </w:rPr>
      </w:pPr>
      <w:r>
        <w:rPr>
          <w:sz w:val="20"/>
        </w:rPr>
        <w:t>3384,57     1214,63     525,36      4073,84</w:t>
      </w:r>
    </w:p>
    <w:p>
      <w:pPr>
        <w:pStyle w:val="Telotextu"/>
        <w:rPr/>
      </w:pPr>
      <w:bookmarkStart w:id="132" w:name="_1362731487"/>
      <w:bookmarkStart w:id="133" w:name="_1362731442"/>
      <w:bookmarkStart w:id="134" w:name="_1362731420"/>
      <w:bookmarkStart w:id="135" w:name="_1362731404"/>
      <w:bookmarkStart w:id="136" w:name="_1362731380"/>
      <w:bookmarkStart w:id="137" w:name="_1362731370"/>
      <w:bookmarkStart w:id="138" w:name="_1362731302"/>
      <w:bookmarkStart w:id="139" w:name="_1331387250"/>
      <w:bookmarkStart w:id="140" w:name="_1331387236"/>
      <w:bookmarkStart w:id="141" w:name="_1331387204"/>
      <w:bookmarkStart w:id="142" w:name="_1331387087"/>
      <w:bookmarkStart w:id="143" w:name="_1299611524"/>
      <w:bookmarkStart w:id="144" w:name="_1299611511"/>
      <w:bookmarkStart w:id="145" w:name="_1299611504"/>
      <w:bookmarkStart w:id="146" w:name="_1299611495"/>
      <w:bookmarkStart w:id="147" w:name="_1299611298"/>
      <w:bookmarkStart w:id="148" w:name="_1233749363"/>
      <w:bookmarkStart w:id="149" w:name="_1233749345"/>
      <w:bookmarkStart w:id="150" w:name="_1220015651"/>
      <w:bookmarkStart w:id="151" w:name="_1202655385"/>
      <w:bookmarkStart w:id="152" w:name="_1201871142"/>
      <w:bookmarkStart w:id="153" w:name="_1170592382"/>
      <w:bookmarkStart w:id="154" w:name="_1139750327"/>
      <w:bookmarkStart w:id="155" w:name="_1139647841"/>
      <w:bookmarkStart w:id="156" w:name="_1139647731"/>
      <w:bookmarkStart w:id="157" w:name="_1134980337"/>
      <w:bookmarkStart w:id="158" w:name="_1127127132"/>
      <w:bookmarkStart w:id="159" w:name="_1127127101"/>
      <w:bookmarkStart w:id="160" w:name="_1122705501"/>
      <w:bookmarkStart w:id="161" w:name="_1094480522"/>
      <w:bookmarkStart w:id="162" w:name="_1066752750"/>
      <w:bookmarkStart w:id="163" w:name="_1066740976"/>
      <w:bookmarkStart w:id="164" w:name="_1362731487"/>
      <w:bookmarkStart w:id="165" w:name="_1362731442"/>
      <w:bookmarkStart w:id="166" w:name="_1362731420"/>
      <w:bookmarkStart w:id="167" w:name="_1362731404"/>
      <w:bookmarkStart w:id="168" w:name="_1362731380"/>
      <w:bookmarkStart w:id="169" w:name="_1362731370"/>
      <w:bookmarkStart w:id="170" w:name="_1362731302"/>
      <w:bookmarkStart w:id="171" w:name="_1331387250"/>
      <w:bookmarkStart w:id="172" w:name="_1331387236"/>
      <w:bookmarkStart w:id="173" w:name="_1331387204"/>
      <w:bookmarkStart w:id="174" w:name="_1331387087"/>
      <w:bookmarkStart w:id="175" w:name="_1299611524"/>
      <w:bookmarkStart w:id="176" w:name="_1299611511"/>
      <w:bookmarkStart w:id="177" w:name="_1299611504"/>
      <w:bookmarkStart w:id="178" w:name="_1299611495"/>
      <w:bookmarkStart w:id="179" w:name="_1299611298"/>
      <w:bookmarkStart w:id="180" w:name="_1233749363"/>
      <w:bookmarkStart w:id="181" w:name="_1233749345"/>
      <w:bookmarkStart w:id="182" w:name="_1220015651"/>
      <w:bookmarkStart w:id="183" w:name="_1202655385"/>
      <w:bookmarkStart w:id="184" w:name="_1201871142"/>
      <w:bookmarkStart w:id="185" w:name="_1170592382"/>
      <w:bookmarkStart w:id="186" w:name="_1139750327"/>
      <w:bookmarkStart w:id="187" w:name="_1139647841"/>
      <w:bookmarkStart w:id="188" w:name="_1139647731"/>
      <w:bookmarkStart w:id="189" w:name="_1134980337"/>
      <w:bookmarkStart w:id="190" w:name="_1127127132"/>
      <w:bookmarkStart w:id="191" w:name="_1127127101"/>
      <w:bookmarkStart w:id="192" w:name="_1122705501"/>
      <w:bookmarkStart w:id="193" w:name="_1094480522"/>
      <w:bookmarkStart w:id="194" w:name="_1066752750"/>
      <w:bookmarkStart w:id="195" w:name="_1066740976"/>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Pr/>
      </w:r>
    </w:p>
    <w:p>
      <w:pPr>
        <w:pStyle w:val="Nadpis2"/>
        <w:ind w:left="0" w:right="0" w:hanging="360"/>
        <w:rPr>
          <w:sz w:val="20"/>
        </w:rPr>
      </w:pPr>
      <w:r>
        <w:rPr>
          <w:sz w:val="20"/>
        </w:rPr>
      </w:r>
    </w:p>
    <w:p>
      <w:pPr>
        <w:pStyle w:val="Nadpis2"/>
        <w:ind w:left="0" w:right="0" w:hanging="360"/>
        <w:rPr>
          <w:sz w:val="20"/>
        </w:rPr>
      </w:pPr>
      <w:r>
        <w:rPr>
          <w:sz w:val="20"/>
        </w:rPr>
        <w:t>3.Bankové úvery finančné výpomoci a pôžičky</w:t>
      </w:r>
    </w:p>
    <w:p>
      <w:pPr>
        <w:pStyle w:val="Normal"/>
        <w:rPr>
          <w:sz w:val="20"/>
        </w:rPr>
      </w:pPr>
      <w:r>
        <w:rPr>
          <w:sz w:val="20"/>
        </w:rPr>
        <w:t xml:space="preserve">         </w:t>
      </w:r>
      <w:r>
        <w:rPr>
          <w:sz w:val="20"/>
        </w:rPr>
        <w:t>Účtovná jednotka má vo VÚB banke schválený kontokorentný úver do výšky 300.000€.</w:t>
      </w:r>
    </w:p>
    <w:p>
      <w:pPr>
        <w:pStyle w:val="Telotextu"/>
        <w:rPr>
          <w:sz w:val="20"/>
          <w:u w:val="single"/>
        </w:rPr>
      </w:pPr>
      <w:r>
        <w:rPr>
          <w:sz w:val="20"/>
          <w:u w:val="single"/>
        </w:rPr>
      </w:r>
    </w:p>
    <w:p>
      <w:pPr>
        <w:pStyle w:val="Telotextu"/>
        <w:rPr>
          <w:sz w:val="20"/>
          <w:u w:val="single"/>
        </w:rPr>
      </w:pPr>
      <w:r>
        <w:rPr>
          <w:sz w:val="20"/>
          <w:u w:val="single"/>
        </w:rPr>
      </w:r>
    </w:p>
    <w:p>
      <w:pPr>
        <w:pStyle w:val="Telotextu"/>
        <w:rPr>
          <w:sz w:val="20"/>
          <w:u w:val="single"/>
        </w:rPr>
      </w:pPr>
      <w:r>
        <w:rPr>
          <w:sz w:val="20"/>
          <w:u w:val="single"/>
        </w:rPr>
        <w:t xml:space="preserve">Zabezpečenie úverov vo VÚB </w:t>
      </w:r>
    </w:p>
    <w:p>
      <w:pPr>
        <w:pStyle w:val="Telotextu"/>
        <w:rPr>
          <w:sz w:val="20"/>
        </w:rPr>
      </w:pPr>
      <w:r>
        <w:rPr>
          <w:sz w:val="20"/>
        </w:rPr>
        <w:t>- notárska zápisnica – exekučný titul na majetok klienta</w:t>
      </w:r>
    </w:p>
    <w:p>
      <w:pPr>
        <w:pStyle w:val="Telotextu"/>
        <w:rPr>
          <w:sz w:val="20"/>
          <w:u w:val="single"/>
        </w:rPr>
      </w:pPr>
      <w:r>
        <w:rPr>
          <w:sz w:val="20"/>
          <w:u w:val="single"/>
        </w:rPr>
        <w:t>Úver vo VÚB  banke</w:t>
      </w:r>
    </w:p>
    <w:p>
      <w:pPr>
        <w:pStyle w:val="Telotextu"/>
        <w:ind w:left="0" w:right="0" w:firstLine="360"/>
        <w:rPr>
          <w:sz w:val="20"/>
        </w:rPr>
      </w:pPr>
      <w:r>
        <w:rPr>
          <w:sz w:val="20"/>
        </w:rPr>
        <w:t>- vlastná bianco zmenka</w:t>
      </w:r>
    </w:p>
    <w:p>
      <w:pPr>
        <w:pStyle w:val="Telotextu"/>
        <w:ind w:left="0" w:right="0" w:firstLine="360"/>
        <w:rPr>
          <w:sz w:val="20"/>
        </w:rPr>
      </w:pPr>
      <w:r>
        <w:rPr>
          <w:sz w:val="20"/>
        </w:rPr>
      </w:r>
    </w:p>
    <w:p>
      <w:pPr>
        <w:pStyle w:val="Nadpis2"/>
        <w:rPr>
          <w:sz w:val="20"/>
        </w:rPr>
      </w:pPr>
      <w:r>
        <w:rPr>
          <w:sz w:val="20"/>
        </w:rPr>
        <w:t>Časové rozlíšenie pasívne</w:t>
      </w:r>
    </w:p>
    <w:p>
      <w:pPr>
        <w:pStyle w:val="Telotextu"/>
        <w:rPr>
          <w:sz w:val="20"/>
        </w:rPr>
      </w:pPr>
      <w:r>
        <w:rPr>
          <w:sz w:val="20"/>
        </w:rPr>
      </w:r>
    </w:p>
    <w:p>
      <w:pPr>
        <w:pStyle w:val="Telotextu"/>
        <w:rPr>
          <w:sz w:val="20"/>
        </w:rPr>
      </w:pPr>
      <w:r>
        <w:rPr>
          <w:sz w:val="20"/>
        </w:rPr>
        <w:t>Štruktúra časového nie je vykázaná, spoločnosť nebola prijímateľom dotácií na obst. DM.</w:t>
      </w:r>
    </w:p>
    <w:p>
      <w:pPr>
        <w:pStyle w:val="Telotextu"/>
        <w:rPr>
          <w:sz w:val="20"/>
        </w:rPr>
      </w:pPr>
      <w:r>
        <w:rPr>
          <w:sz w:val="20"/>
        </w:rPr>
      </w:r>
    </w:p>
    <w:p>
      <w:pPr>
        <w:pStyle w:val="Telotextu"/>
        <w:rPr>
          <w:sz w:val="20"/>
        </w:rPr>
      </w:pPr>
      <w:r>
        <w:rPr>
          <w:sz w:val="20"/>
        </w:rPr>
      </w:r>
    </w:p>
    <w:p>
      <w:pPr>
        <w:pStyle w:val="Nadpis1"/>
        <w:numPr>
          <w:ilvl w:val="0"/>
          <w:numId w:val="4"/>
        </w:numPr>
        <w:ind w:left="0" w:right="0" w:hanging="360"/>
        <w:rPr>
          <w:sz w:val="20"/>
        </w:rPr>
      </w:pPr>
      <w:r>
        <w:rPr>
          <w:sz w:val="20"/>
        </w:rPr>
      </w:r>
    </w:p>
    <w:p>
      <w:pPr>
        <w:pStyle w:val="Nadpis1"/>
        <w:numPr>
          <w:ilvl w:val="0"/>
          <w:numId w:val="4"/>
        </w:numPr>
        <w:shd w:fill="FFFFFF" w:val="clear"/>
        <w:rPr>
          <w:sz w:val="20"/>
          <w:shd w:fill="FFFFFF" w:val="clear"/>
        </w:rPr>
      </w:pPr>
      <w:r>
        <w:rPr>
          <w:sz w:val="20"/>
          <w:shd w:fill="FFFFFF" w:val="clear"/>
        </w:rPr>
        <w:t>Informácie o nákladoch</w:t>
      </w:r>
    </w:p>
    <w:p>
      <w:pPr>
        <w:pStyle w:val="Telotextu"/>
        <w:shd w:fill="FFFFFF" w:val="clear"/>
        <w:rPr>
          <w:sz w:val="20"/>
          <w:shd w:fill="FFFFFF" w:val="clear"/>
        </w:rPr>
      </w:pPr>
      <w:r>
        <w:rPr>
          <w:sz w:val="20"/>
          <w:shd w:fill="FFFFFF" w:val="clear"/>
        </w:rPr>
      </w:r>
    </w:p>
    <w:p>
      <w:pPr>
        <w:pStyle w:val="Nadpis2"/>
        <w:numPr>
          <w:ilvl w:val="0"/>
          <w:numId w:val="8"/>
        </w:numPr>
        <w:shd w:fill="FFFFFF" w:val="clear"/>
        <w:rPr>
          <w:sz w:val="20"/>
          <w:shd w:fill="FFFFFF" w:val="clear"/>
        </w:rPr>
      </w:pPr>
      <w:r>
        <w:rPr>
          <w:sz w:val="20"/>
          <w:shd w:fill="FFFFFF" w:val="clear"/>
        </w:rPr>
        <w:t>Náklady na poskytnuté služby</w:t>
      </w:r>
    </w:p>
    <w:p>
      <w:pPr>
        <w:pStyle w:val="Normal"/>
        <w:shd w:fill="FFFFFF" w:val="clear"/>
        <w:rPr>
          <w:shd w:fill="FFFFFF" w:val="clear"/>
        </w:rPr>
      </w:pPr>
      <w:r>
        <w:rPr>
          <w:shd w:fill="FFFFFF" w:val="clear"/>
        </w:rPr>
      </w:r>
    </w:p>
    <w:p>
      <w:pPr>
        <w:pStyle w:val="Telotextu"/>
        <w:shd w:fill="FFFFFF" w:val="clear"/>
        <w:rPr>
          <w:sz w:val="20"/>
          <w:shd w:fill="FFFFFF" w:val="clear"/>
        </w:rPr>
      </w:pPr>
      <w:r>
        <w:rPr>
          <w:sz w:val="20"/>
          <w:shd w:fill="FFFFFF" w:val="clear"/>
        </w:rPr>
        <w:t>Prehľad o nákladoch na poskytnuté služby je znázornený v nasledujúcej tabuľke:</w:t>
      </w:r>
    </w:p>
    <w:p>
      <w:pPr>
        <w:pStyle w:val="Telotextu"/>
        <w:shd w:fill="FFFFFF" w:val="clear"/>
        <w:rPr>
          <w:sz w:val="20"/>
          <w:shd w:fill="FFFFFF" w:val="clear"/>
        </w:rPr>
      </w:pPr>
      <w:r>
        <w:rPr>
          <w:sz w:val="20"/>
          <w:shd w:fill="FFFFFF" w:val="clear"/>
        </w:rPr>
      </w:r>
    </w:p>
    <w:p>
      <w:pPr>
        <w:pStyle w:val="Nadpis2"/>
        <w:shd w:fill="FFFFFF" w:val="clear"/>
        <w:rPr/>
      </w:pPr>
      <w:r>
        <w:rPr/>
      </w:r>
    </w:p>
    <w:p>
      <w:pPr>
        <w:pStyle w:val="Nadpis2"/>
        <w:shd w:fill="FFFFFF" w:val="clear"/>
        <w:rPr/>
      </w:pPr>
      <w:r>
        <w:rPr/>
      </w:r>
    </w:p>
    <w:p>
      <w:pPr>
        <w:pStyle w:val="Nadpis2"/>
        <w:numPr>
          <w:ilvl w:val="1"/>
          <w:numId w:val="8"/>
        </w:numPr>
        <w:shd w:fill="FFFFFF" w:val="clear"/>
        <w:rPr>
          <w:sz w:val="20"/>
          <w:shd w:fill="FFFFFF" w:val="clear"/>
        </w:rPr>
      </w:pPr>
      <w:r>
        <w:rPr>
          <w:sz w:val="20"/>
          <w:shd w:fill="FFFFFF" w:val="clear"/>
        </w:rPr>
        <w:t>Kurzové straty</w:t>
      </w:r>
    </w:p>
    <w:p>
      <w:pPr>
        <w:pStyle w:val="Telotextu"/>
        <w:shd w:fill="FFFFFF" w:val="clear"/>
        <w:rPr>
          <w:sz w:val="20"/>
          <w:shd w:fill="FFFFFF" w:val="clear"/>
        </w:rPr>
      </w:pPr>
      <w:r>
        <w:rPr>
          <w:sz w:val="20"/>
          <w:shd w:fill="FFFFFF" w:val="clear"/>
        </w:rPr>
        <w:t>V účtovnej jednotke sa o kurzových stratách v roku 2021 neúčtovalo.</w:t>
      </w:r>
    </w:p>
    <w:p>
      <w:pPr>
        <w:pStyle w:val="Normal"/>
        <w:shd w:fill="FFFFFF" w:val="clear"/>
        <w:rPr>
          <w:sz w:val="20"/>
          <w:shd w:fill="FFFFFF" w:val="clear"/>
        </w:rPr>
      </w:pPr>
      <w:r>
        <w:rPr>
          <w:sz w:val="20"/>
          <w:shd w:fill="FFFFFF" w:val="clear"/>
        </w:rPr>
      </w:r>
    </w:p>
    <w:p>
      <w:pPr>
        <w:pStyle w:val="Nadpis2"/>
        <w:numPr>
          <w:ilvl w:val="1"/>
          <w:numId w:val="8"/>
        </w:numPr>
        <w:shd w:fill="FFFFFF" w:val="clear"/>
        <w:rPr>
          <w:sz w:val="20"/>
          <w:shd w:fill="FFFFFF" w:val="clear"/>
        </w:rPr>
      </w:pPr>
      <w:r>
        <w:rPr>
          <w:sz w:val="20"/>
          <w:shd w:fill="FFFFFF" w:val="clear"/>
        </w:rPr>
        <w:t>Mimoriadne náklady</w:t>
      </w:r>
    </w:p>
    <w:p>
      <w:pPr>
        <w:pStyle w:val="Telotextu"/>
        <w:shd w:fill="FFFFFF" w:val="clear"/>
        <w:rPr>
          <w:sz w:val="20"/>
          <w:shd w:fill="FFFFFF" w:val="clear"/>
        </w:rPr>
      </w:pPr>
      <w:r>
        <w:rPr>
          <w:sz w:val="20"/>
          <w:shd w:fill="FFFFFF" w:val="clear"/>
        </w:rPr>
        <w:t>V účtovnej jednotke sa o mimoriadných nákladoch v roku 2021 neúčtovalo.</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daniach z príjmov</w:t>
      </w:r>
    </w:p>
    <w:p>
      <w:pPr>
        <w:pStyle w:val="Telotextu"/>
        <w:shd w:fill="FFFFFF" w:val="clear"/>
        <w:ind w:left="0" w:right="0" w:firstLine="360"/>
        <w:rPr>
          <w:sz w:val="20"/>
          <w:shd w:fill="FFFFFF" w:val="clear"/>
        </w:rPr>
      </w:pPr>
      <w:r>
        <w:rPr>
          <w:sz w:val="20"/>
          <w:shd w:fill="FFFFFF" w:val="clear"/>
        </w:rPr>
      </w:r>
    </w:p>
    <w:p>
      <w:pPr>
        <w:pStyle w:val="Telotextu"/>
        <w:shd w:fill="FFFFFF" w:val="clear"/>
        <w:ind w:left="0" w:right="0" w:firstLine="360"/>
        <w:rPr>
          <w:sz w:val="20"/>
          <w:shd w:fill="FFFFFF" w:val="clear"/>
        </w:rPr>
      </w:pPr>
      <w:r>
        <w:rPr>
          <w:sz w:val="20"/>
          <w:shd w:fill="FFFFFF" w:val="clear"/>
        </w:rPr>
        <w:t>Dane z príjmov k vykázanej dani z príjmov je uvedený v nasledujúcej tabuľke:</w:t>
      </w:r>
    </w:p>
    <w:p>
      <w:pPr>
        <w:pStyle w:val="Telotextu"/>
        <w:shd w:fill="FFFFFF" w:val="clear"/>
        <w:ind w:left="0" w:right="0" w:firstLine="360"/>
        <w:rPr>
          <w:sz w:val="20"/>
          <w:shd w:fill="FFFFFF" w:val="clear"/>
        </w:rPr>
      </w:pPr>
      <w:r>
        <w:rPr>
          <w:sz w:val="20"/>
          <w:shd w:fill="FFFFFF" w:val="clear"/>
        </w:rPr>
        <w:t>Daň z príjmov PO za rok 2021 je vo výške 15% zo základu dane:17503,97 účtovný , daňový základ dane je :19860,88€. Daň 2979,13€.</w:t>
      </w:r>
    </w:p>
    <w:p>
      <w:pPr>
        <w:pStyle w:val="Telotextu"/>
        <w:shd w:fill="FFFFFF" w:val="clear"/>
        <w:rPr>
          <w:sz w:val="20"/>
          <w:shd w:fill="FFFFFF" w:val="clear"/>
        </w:rPr>
      </w:pPr>
      <w:r>
        <w:rPr>
          <w:sz w:val="20"/>
          <w:shd w:fill="FFFFFF" w:val="clear"/>
        </w:rPr>
      </w:r>
    </w:p>
    <w:p>
      <w:pPr>
        <w:pStyle w:val="Telotextu"/>
        <w:shd w:fill="FFFF00" w:val="clear"/>
        <w:rPr/>
      </w:pPr>
      <w:bookmarkStart w:id="196" w:name="_1362919484"/>
      <w:bookmarkStart w:id="197" w:name="_1362919471"/>
      <w:bookmarkStart w:id="198" w:name="_1362919320"/>
      <w:bookmarkStart w:id="199" w:name="_1362733492"/>
      <w:bookmarkStart w:id="200" w:name="_1362732359"/>
      <w:bookmarkStart w:id="201" w:name="_1331390997"/>
      <w:bookmarkStart w:id="202" w:name="_1331390484"/>
      <w:bookmarkStart w:id="203" w:name="_1331390217"/>
      <w:bookmarkStart w:id="204" w:name="_1299618341"/>
      <w:bookmarkStart w:id="205" w:name="_1299616225"/>
      <w:bookmarkStart w:id="206" w:name="_1299615792"/>
      <w:bookmarkStart w:id="207" w:name="_1299615624"/>
      <w:bookmarkStart w:id="208" w:name="_1299574258"/>
      <w:bookmarkStart w:id="209" w:name="_1233750101"/>
      <w:bookmarkStart w:id="210" w:name="_1220015779"/>
      <w:bookmarkStart w:id="211" w:name="_1202725703"/>
      <w:bookmarkStart w:id="212" w:name="_1202725564"/>
      <w:bookmarkStart w:id="213" w:name="_1201871330"/>
      <w:bookmarkStart w:id="214" w:name="_1171884761"/>
      <w:bookmarkStart w:id="215" w:name="_1170594993"/>
      <w:bookmarkStart w:id="216" w:name="_1170594885"/>
      <w:bookmarkStart w:id="217" w:name="_1170594146"/>
      <w:bookmarkStart w:id="218" w:name="_1139754062"/>
      <w:bookmarkStart w:id="219" w:name="_1139661415"/>
      <w:bookmarkStart w:id="220" w:name="_1139661263"/>
      <w:bookmarkStart w:id="221" w:name="_1139489636"/>
      <w:bookmarkStart w:id="222" w:name="_1139393468"/>
      <w:bookmarkStart w:id="223" w:name="_1134980849"/>
      <w:bookmarkStart w:id="224" w:name="_1134980725"/>
      <w:bookmarkStart w:id="225" w:name="_1127127942"/>
      <w:bookmarkStart w:id="226" w:name="_1127127343"/>
      <w:bookmarkStart w:id="227" w:name="_1122811320"/>
      <w:bookmarkStart w:id="228" w:name="_1122711043"/>
      <w:bookmarkStart w:id="229" w:name="_1094481452"/>
      <w:bookmarkStart w:id="230" w:name="_1066753346"/>
      <w:bookmarkStart w:id="231" w:name="_1066744472"/>
      <w:bookmarkStart w:id="232" w:name="_1066744407"/>
      <w:bookmarkStart w:id="233" w:name="_1066743700"/>
      <w:bookmarkStart w:id="234" w:name="_1066743675"/>
      <w:bookmarkStart w:id="235" w:name="_1066743652"/>
      <w:bookmarkStart w:id="236" w:name="_1066743605"/>
      <w:bookmarkStart w:id="237" w:name="_1362919484"/>
      <w:bookmarkStart w:id="238" w:name="_1362919471"/>
      <w:bookmarkStart w:id="239" w:name="_1362919320"/>
      <w:bookmarkStart w:id="240" w:name="_1362733492"/>
      <w:bookmarkStart w:id="241" w:name="_1362732359"/>
      <w:bookmarkStart w:id="242" w:name="_1331390997"/>
      <w:bookmarkStart w:id="243" w:name="_1331390484"/>
      <w:bookmarkStart w:id="244" w:name="_1331390217"/>
      <w:bookmarkStart w:id="245" w:name="_1299618341"/>
      <w:bookmarkStart w:id="246" w:name="_1299616225"/>
      <w:bookmarkStart w:id="247" w:name="_1299615792"/>
      <w:bookmarkStart w:id="248" w:name="_1299615624"/>
      <w:bookmarkStart w:id="249" w:name="_1299574258"/>
      <w:bookmarkStart w:id="250" w:name="_1233750101"/>
      <w:bookmarkStart w:id="251" w:name="_1220015779"/>
      <w:bookmarkStart w:id="252" w:name="_1202725703"/>
      <w:bookmarkStart w:id="253" w:name="_1202725564"/>
      <w:bookmarkStart w:id="254" w:name="_1201871330"/>
      <w:bookmarkStart w:id="255" w:name="_1171884761"/>
      <w:bookmarkStart w:id="256" w:name="_1170594993"/>
      <w:bookmarkStart w:id="257" w:name="_1170594885"/>
      <w:bookmarkStart w:id="258" w:name="_1170594146"/>
      <w:bookmarkStart w:id="259" w:name="_1139754062"/>
      <w:bookmarkStart w:id="260" w:name="_1139661415"/>
      <w:bookmarkStart w:id="261" w:name="_1139661263"/>
      <w:bookmarkStart w:id="262" w:name="_1139489636"/>
      <w:bookmarkStart w:id="263" w:name="_1139393468"/>
      <w:bookmarkStart w:id="264" w:name="_1134980849"/>
      <w:bookmarkStart w:id="265" w:name="_1134980725"/>
      <w:bookmarkStart w:id="266" w:name="_1127127942"/>
      <w:bookmarkStart w:id="267" w:name="_1127127343"/>
      <w:bookmarkStart w:id="268" w:name="_1122811320"/>
      <w:bookmarkStart w:id="269" w:name="_1122711043"/>
      <w:bookmarkStart w:id="270" w:name="_1094481452"/>
      <w:bookmarkStart w:id="271" w:name="_1066753346"/>
      <w:bookmarkStart w:id="272" w:name="_1066744472"/>
      <w:bookmarkStart w:id="273" w:name="_1066744407"/>
      <w:bookmarkStart w:id="274" w:name="_1066743700"/>
      <w:bookmarkStart w:id="275" w:name="_1066743675"/>
      <w:bookmarkStart w:id="276" w:name="_1066743652"/>
      <w:bookmarkStart w:id="277" w:name="_1066743605"/>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r>
        <w:rPr/>
      </w:r>
    </w:p>
    <w:p>
      <w:pPr>
        <w:pStyle w:val="Telotextu"/>
        <w:ind w:left="0" w:right="0" w:hanging="0"/>
        <w:jc w:val="left"/>
        <w:rPr>
          <w:sz w:val="20"/>
        </w:rPr>
      </w:pPr>
      <w:r>
        <w:rPr>
          <w:sz w:val="20"/>
        </w:rPr>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Informácie o údajoch na podsúvahových  účtoch</w:t>
      </w:r>
    </w:p>
    <w:p>
      <w:pPr>
        <w:pStyle w:val="Telotextu"/>
        <w:rPr>
          <w:sz w:val="20"/>
        </w:rPr>
      </w:pPr>
      <w:r>
        <w:rPr>
          <w:sz w:val="20"/>
        </w:rPr>
      </w:r>
    </w:p>
    <w:p>
      <w:pPr>
        <w:pStyle w:val="Nadpis2"/>
        <w:numPr>
          <w:ilvl w:val="0"/>
          <w:numId w:val="8"/>
        </w:numPr>
        <w:ind w:left="0" w:right="0" w:hanging="360"/>
        <w:rPr>
          <w:b w:val="false"/>
          <w:sz w:val="20"/>
        </w:rPr>
      </w:pPr>
      <w:r>
        <w:rPr>
          <w:b w:val="false"/>
          <w:sz w:val="20"/>
        </w:rPr>
        <w:t xml:space="preserve">      </w:t>
      </w:r>
      <w:r>
        <w:rPr>
          <w:b w:val="false"/>
          <w:sz w:val="20"/>
        </w:rPr>
        <w:t xml:space="preserve">Spoločnosť neeviduje zostatky na podsúvahových účtoch. </w:t>
      </w:r>
    </w:p>
    <w:p>
      <w:pPr>
        <w:pStyle w:val="Normal"/>
        <w:ind w:left="0" w:right="0" w:hanging="0"/>
        <w:rPr/>
      </w:pPr>
      <w:r>
        <w:rPr/>
      </w:r>
    </w:p>
    <w:p>
      <w:pPr>
        <w:pStyle w:val="Telotextu"/>
        <w:ind w:left="0" w:right="0" w:hanging="0"/>
        <w:rPr>
          <w:sz w:val="20"/>
        </w:rPr>
      </w:pPr>
      <w:r>
        <w:rPr>
          <w:sz w:val="20"/>
        </w:rPr>
      </w:r>
    </w:p>
    <w:p>
      <w:pPr>
        <w:pStyle w:val="Nadpis1"/>
        <w:numPr>
          <w:ilvl w:val="0"/>
          <w:numId w:val="4"/>
        </w:numPr>
        <w:rPr>
          <w:sz w:val="20"/>
        </w:rPr>
      </w:pPr>
      <w:r>
        <w:rPr>
          <w:sz w:val="20"/>
        </w:rPr>
        <w:t>Informácie o iných aktívach a iných pasívach</w:t>
      </w:r>
    </w:p>
    <w:p>
      <w:pPr>
        <w:pStyle w:val="Telotextu"/>
        <w:ind w:left="0" w:right="0" w:hanging="0"/>
        <w:rPr>
          <w:b/>
          <w:sz w:val="20"/>
        </w:rPr>
      </w:pPr>
      <w:r>
        <w:rPr>
          <w:b/>
          <w:sz w:val="20"/>
        </w:rPr>
      </w:r>
    </w:p>
    <w:p>
      <w:pPr>
        <w:pStyle w:val="Telotextu"/>
        <w:shd w:fill="FFFFFF" w:val="clear"/>
        <w:tabs>
          <w:tab w:val="left" w:pos="426" w:leader="none"/>
        </w:tabs>
        <w:ind w:left="720" w:right="0" w:hanging="426"/>
        <w:rPr>
          <w:sz w:val="20"/>
          <w:shd w:fill="FFFFFF" w:val="clear"/>
        </w:rPr>
      </w:pPr>
      <w:r>
        <w:rPr>
          <w:b/>
          <w:sz w:val="20"/>
        </w:rPr>
        <w:tab/>
        <w:tab/>
      </w:r>
      <w:r>
        <w:rPr>
          <w:sz w:val="20"/>
        </w:rPr>
        <w:t xml:space="preserve">Spoločnosť nemá žiadne podmienené záväzky k 31.12.2021 zo súdnych rozhodnutí, neposkytla žiadne </w:t>
      </w:r>
      <w:r>
        <w:rPr>
          <w:sz w:val="20"/>
          <w:shd w:fill="FFFFFF" w:val="clear"/>
        </w:rPr>
        <w:t>záruky , nemá žiadne podmienené záväzky zo všeobecne platných právnych predpisov ani zmluvy o podriadenom záväzku.</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príjmoch a výhodách členov štatutárnych orgánov, dozorných orgánov a iných orgánov účtovnej jednotky</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t>Hrubé príjmy členov štatutárnych orgánov Spoločnosti za ich činnosť pre spoločnosť v roku 2021 boli vo výške 26tis.Eur (v predchádzajúcom účtovnom období 15 tis. Eur).</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rPr>
      </w:pPr>
      <w:r>
        <w:rPr>
          <w:sz w:val="20"/>
        </w:rPr>
        <w:t>Informácie o ekonomických vzťahoch účtovnej jednotky a spriaznených osôb</w:t>
      </w:r>
    </w:p>
    <w:p>
      <w:pPr>
        <w:pStyle w:val="Normal"/>
        <w:shd w:fill="FFFFFF" w:val="clear"/>
        <w:rPr/>
      </w:pPr>
      <w:r>
        <w:rPr/>
      </w:r>
    </w:p>
    <w:p>
      <w:pPr>
        <w:pStyle w:val="Telotextu"/>
        <w:shd w:fill="FFFFFF" w:val="clear"/>
        <w:rPr>
          <w:sz w:val="20"/>
        </w:rPr>
      </w:pPr>
      <w:r>
        <w:rPr>
          <w:sz w:val="20"/>
        </w:rPr>
        <w:t>Spoločnosť uskutočnila v priebehu účtovného obdobia so spriaznenými osobami tieto transakcie:</w:t>
      </w:r>
    </w:p>
    <w:p>
      <w:pPr>
        <w:pStyle w:val="Telotextu"/>
        <w:shd w:fill="FFFFFF" w:val="clear"/>
        <w:rPr>
          <w:sz w:val="20"/>
        </w:rPr>
      </w:pPr>
      <w:r>
        <w:rPr>
          <w:sz w:val="20"/>
        </w:rPr>
      </w:r>
    </w:p>
    <w:p>
      <w:pPr>
        <w:pStyle w:val="Telotextu"/>
        <w:shd w:fill="FFFFFF" w:val="clear"/>
        <w:rPr>
          <w:sz w:val="20"/>
        </w:rPr>
      </w:pPr>
      <w:r>
        <w:rPr>
          <w:sz w:val="20"/>
        </w:rPr>
        <w:t>-spoločnosť Štefan Pavlík-Brahama poskytovala pre spoločnosť Tomkat, s.r.o.služby vo forme prenájmu priestorov pre predajne maloobchodu a veľkoobchodu Tomakat, s.r.o. za obvyklé ceny prenájmov v celkovej výške: 67308 bez DPH za rok.</w:t>
      </w:r>
    </w:p>
    <w:p>
      <w:pPr>
        <w:pStyle w:val="Telotextu"/>
        <w:shd w:fill="FFFFFF" w:val="clear"/>
        <w:rPr>
          <w:sz w:val="20"/>
        </w:rPr>
      </w:pPr>
      <w:r>
        <w:rPr>
          <w:sz w:val="20"/>
        </w:rPr>
      </w:r>
    </w:p>
    <w:p>
      <w:pPr>
        <w:pStyle w:val="Telotextu"/>
        <w:shd w:fill="FFFFFF" w:val="clear"/>
        <w:rPr>
          <w:sz w:val="20"/>
        </w:rPr>
      </w:pPr>
      <w:r>
        <w:rPr>
          <w:sz w:val="20"/>
        </w:rPr>
        <w:t>FirmaTomkat, s.r.o. predala spoločnosti Štefan Pavlík-Brahama tovar v sume: 514</w:t>
      </w:r>
      <w:r>
        <w:rPr>
          <w:color w:val="00000A"/>
          <w:sz w:val="20"/>
        </w:rPr>
        <w:t>€</w:t>
      </w:r>
      <w:r>
        <w:rPr>
          <w:color w:val="FF3333"/>
          <w:sz w:val="20"/>
        </w:rPr>
        <w:t xml:space="preserve"> </w:t>
      </w:r>
      <w:r>
        <w:rPr>
          <w:sz w:val="20"/>
        </w:rPr>
        <w:t>bez dph za obvyklé predajné ceny.</w:t>
      </w:r>
    </w:p>
    <w:p>
      <w:pPr>
        <w:pStyle w:val="Telotextu"/>
        <w:shd w:fill="FFFFFF" w:val="clear"/>
        <w:ind w:left="0" w:right="0" w:hanging="0"/>
        <w:rPr>
          <w:color w:val="FF0000"/>
          <w:sz w:val="20"/>
        </w:rPr>
      </w:pPr>
      <w:r>
        <w:rPr>
          <w:color w:val="FF0000"/>
          <w:sz w:val="20"/>
        </w:rPr>
      </w:r>
    </w:p>
    <w:p>
      <w:pPr>
        <w:pStyle w:val="Nadpis1"/>
        <w:numPr>
          <w:ilvl w:val="0"/>
          <w:numId w:val="4"/>
        </w:numPr>
        <w:rPr>
          <w:sz w:val="20"/>
        </w:rPr>
      </w:pPr>
      <w:r>
        <w:rPr>
          <w:sz w:val="20"/>
        </w:rPr>
        <w:t>Informácie o skutočnostiach, ktoré nastali po dni, ku ktorému sa zostavuje účtovná závierka, do dňa zostavenia účtovnej závierky</w:t>
      </w:r>
    </w:p>
    <w:p>
      <w:pPr>
        <w:pStyle w:val="Telotextu"/>
        <w:rPr>
          <w:sz w:val="20"/>
        </w:rPr>
      </w:pPr>
      <w:r>
        <w:rPr>
          <w:sz w:val="20"/>
        </w:rPr>
      </w:r>
    </w:p>
    <w:p>
      <w:pPr>
        <w:pStyle w:val="Telotextu"/>
        <w:rPr>
          <w:sz w:val="20"/>
        </w:rPr>
      </w:pPr>
      <w:r>
        <w:rPr>
          <w:sz w:val="20"/>
        </w:rPr>
        <w:t>Zmena v súvislosti s popisom po  31. decembri 2021  bola v podobe pandémie COVID-19, ktorá výrazne zasiahla sociálne i ekonomické dianie na Slovensku, aj na celom svete.V tejto súvislosti sa zvýšili náklady firmy na dezinfekciu, čistenie priestorov predajne aj veľkoobchodu. Výpadok tržby v prípade povinného  zatvorenia prevádzky predstavoval 5% pokles v porovnaní s predchádzajúcim obdobím minulého roka.Iné výrazné ťažkosti okrem obmedzeného zásobovania Spoločnosť nezaznamenala.  Iné skutočnosti, ktoré by mali významný vplyv na verné zobrazenie skutočností Spoločnosť neeviduje.</w:t>
      </w:r>
    </w:p>
    <w:p>
      <w:pPr>
        <w:pStyle w:val="Telotextu"/>
        <w:rPr>
          <w:sz w:val="20"/>
        </w:rPr>
      </w:pPr>
      <w:r>
        <w:rPr>
          <w:sz w:val="20"/>
        </w:rPr>
      </w:r>
    </w:p>
    <w:p>
      <w:pPr>
        <w:pStyle w:val="Nadpis1"/>
        <w:numPr>
          <w:ilvl w:val="0"/>
          <w:numId w:val="4"/>
        </w:numPr>
        <w:rPr>
          <w:sz w:val="20"/>
        </w:rPr>
      </w:pPr>
      <w:r>
        <w:rPr>
          <w:sz w:val="20"/>
        </w:rPr>
        <w:t>Informácie o Vlastnom imaní</w:t>
      </w:r>
    </w:p>
    <w:p>
      <w:pPr>
        <w:pStyle w:val="Telotextu"/>
        <w:ind w:left="0" w:right="0" w:hanging="0"/>
        <w:rPr>
          <w:sz w:val="20"/>
        </w:rPr>
      </w:pPr>
      <w:r>
        <w:rPr>
          <w:sz w:val="20"/>
        </w:rPr>
      </w:r>
    </w:p>
    <w:p>
      <w:pPr>
        <w:pStyle w:val="Telotextu"/>
        <w:rPr>
          <w:sz w:val="20"/>
        </w:rPr>
      </w:pPr>
      <w:r>
        <w:rPr>
          <w:sz w:val="20"/>
        </w:rPr>
        <w:t>Prehľad o pohybe vlastného imania v priebehu účtovného obdobia je uvedený v nasledujúcej tabuľke:</w:t>
      </w:r>
    </w:p>
    <w:p>
      <w:pPr>
        <w:pStyle w:val="Telotextu"/>
        <w:rPr>
          <w:sz w:val="20"/>
        </w:rPr>
      </w:pPr>
      <w:r>
        <w:rPr>
          <w:sz w:val="20"/>
        </w:rPr>
        <w:t>Výška základného splateného imania: 6638,78€ spolu.</w:t>
      </w:r>
    </w:p>
    <w:p>
      <w:pPr>
        <w:pStyle w:val="Telotextu"/>
        <w:tabs>
          <w:tab w:val="left" w:pos="8222" w:leader="none"/>
        </w:tabs>
        <w:rPr>
          <w:sz w:val="20"/>
        </w:rPr>
      </w:pPr>
      <w:r>
        <w:rPr>
          <w:sz w:val="20"/>
        </w:rPr>
      </w:r>
    </w:p>
    <w:p>
      <w:pPr>
        <w:pStyle w:val="Telotextu"/>
        <w:ind w:left="0" w:right="0" w:hanging="0"/>
        <w:rPr>
          <w:sz w:val="20"/>
        </w:rPr>
      </w:pPr>
      <w:r>
        <w:rPr>
          <w:sz w:val="20"/>
        </w:rPr>
      </w:r>
    </w:p>
    <w:p>
      <w:pPr>
        <w:pStyle w:val="Nadpis1"/>
        <w:numPr>
          <w:ilvl w:val="0"/>
          <w:numId w:val="5"/>
        </w:numPr>
        <w:rPr>
          <w:sz w:val="20"/>
        </w:rPr>
      </w:pPr>
      <w:r>
        <w:rPr>
          <w:sz w:val="20"/>
        </w:rPr>
        <w:t>Prehľad peňažných prostriedkov pouŽitých vo firme do 31.12.2021.</w:t>
      </w:r>
    </w:p>
    <w:p>
      <w:pPr>
        <w:pStyle w:val="Normal"/>
        <w:rPr/>
      </w:pPr>
      <w:r>
        <w:rPr/>
      </w:r>
    </w:p>
    <w:p>
      <w:pPr>
        <w:pStyle w:val="Normal"/>
        <w:rPr/>
      </w:pPr>
      <w:r>
        <w:rPr/>
      </w:r>
    </w:p>
    <w:p>
      <w:pPr>
        <w:pStyle w:val="Telotextu"/>
        <w:rPr>
          <w:b/>
          <w:sz w:val="20"/>
          <w:shd w:fill="FFFFFF" w:val="clear"/>
        </w:rPr>
      </w:pPr>
      <w:r>
        <w:rPr>
          <w:b/>
          <w:sz w:val="20"/>
          <w:shd w:fill="FFFFFF" w:val="clear"/>
        </w:rPr>
        <w:t>Peňažné prostriedky</w:t>
      </w:r>
    </w:p>
    <w:p>
      <w:pPr>
        <w:pStyle w:val="Telotextu"/>
        <w:rPr>
          <w:sz w:val="20"/>
          <w:shd w:fill="FFFFFF" w:val="clear"/>
        </w:rPr>
      </w:pPr>
      <w:r>
        <w:rPr>
          <w:sz w:val="20"/>
          <w:shd w:fill="FFFFFF" w:val="clear"/>
        </w:rPr>
      </w:r>
    </w:p>
    <w:p>
      <w:pPr>
        <w:pStyle w:val="Telotextu"/>
        <w:rPr>
          <w:sz w:val="20"/>
          <w:shd w:fill="FFFFFF" w:val="clear"/>
        </w:rPr>
      </w:pPr>
      <w:r>
        <w:rPr>
          <w:sz w:val="20"/>
          <w:shd w:fill="FFFFFF" w:val="clear"/>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Telotextu"/>
        <w:rPr>
          <w:sz w:val="20"/>
          <w:shd w:fill="FFFFFF" w:val="clear"/>
        </w:rPr>
      </w:pPr>
      <w:r>
        <w:rPr>
          <w:sz w:val="20"/>
          <w:shd w:fill="FFFFFF" w:val="clear"/>
        </w:rPr>
        <w:t>Za peňažné prostriedky spoločnosť považovala stavy na účtoch 211=8858€ - Pokladnica, 213=1053€ -Ceniny, 261-0€ – Peniaze na ceste,  221 =218433€ -Bankové účty.</w:t>
      </w:r>
    </w:p>
    <w:p>
      <w:pPr>
        <w:pStyle w:val="Telotextu"/>
        <w:ind w:left="0" w:right="0" w:hanging="0"/>
        <w:rPr>
          <w:sz w:val="20"/>
          <w:shd w:fill="FFFFFF" w:val="clear"/>
        </w:rPr>
      </w:pPr>
      <w:r>
        <w:rPr>
          <w:sz w:val="20"/>
          <w:shd w:fill="FFFFFF" w:val="clear"/>
        </w:rPr>
      </w:r>
    </w:p>
    <w:p>
      <w:pPr>
        <w:pStyle w:val="Telotextu"/>
        <w:rPr>
          <w:b/>
          <w:sz w:val="20"/>
          <w:shd w:fill="FFFFFF" w:val="clear"/>
        </w:rPr>
      </w:pPr>
      <w:r>
        <w:rPr>
          <w:b/>
          <w:sz w:val="20"/>
          <w:shd w:fill="FFFFFF" w:val="clear"/>
        </w:rPr>
        <w:t>Peňažné ekvivalenty</w:t>
      </w:r>
    </w:p>
    <w:p>
      <w:pPr>
        <w:pStyle w:val="Telotextu"/>
        <w:spacing w:lineRule="auto" w:line="288" w:before="0" w:after="140"/>
        <w:ind w:left="426" w:right="0" w:hanging="0"/>
        <w:jc w:val="both"/>
        <w:rPr>
          <w:sz w:val="20"/>
        </w:rPr>
      </w:pPr>
      <w:r>
        <w:rPr>
          <w:sz w:val="20"/>
        </w:rPr>
        <w:t>Peňažné ekvivalenty spoločnosť k 1.1.202</w:t>
      </w:r>
      <w:r>
        <w:rPr>
          <w:sz w:val="20"/>
        </w:rPr>
        <w:t>1</w:t>
      </w:r>
      <w:r>
        <w:rPr>
          <w:sz w:val="20"/>
        </w:rPr>
        <w:t xml:space="preserve"> ani k 31.12.2021 nevlastnila. </w:t>
      </w:r>
    </w:p>
    <w:sectPr>
      <w:headerReference w:type="default" r:id="rId2"/>
      <w:footerReference w:type="default" r:id="rId3"/>
      <w:type w:val="nextPage"/>
      <w:pgSz w:w="11906" w:h="16838"/>
      <w:pgMar w:left="1673" w:right="1021" w:header="675" w:top="1979" w:footer="408" w:bottom="465" w:gutter="0"/>
      <w:pgNumType w:start="1" w:fmt="decimal"/>
      <w:formProt w:val="false"/>
      <w:textDirection w:val="lrTb"/>
      <w:docGrid w:type="default" w:linePitch="360"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Geneva">
    <w:altName w:val="Arial"/>
    <w:charset w:val="ee"/>
    <w:family w:val="roman"/>
    <w:pitch w:val="variable"/>
  </w:font>
  <w:font w:name="Courier New">
    <w:charset w:val="ee"/>
    <w:family w:val="roman"/>
    <w:pitch w:val="variable"/>
  </w:font>
  <w:font w:name="Wingdings">
    <w:charset w:val="ee"/>
    <w:family w:val="roman"/>
    <w:pitch w:val="variable"/>
  </w:font>
  <w:font w:name="Symbol">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tabs>
        <w:tab w:val="center" w:pos="4153" w:leader="none"/>
        <w:tab w:val="center" w:pos="4593" w:leader="none"/>
        <w:tab w:val="right" w:pos="8306" w:leader="none"/>
        <w:tab w:val="right" w:pos="9214" w:leader="none"/>
      </w:tabs>
      <w:rPr/>
    </w:pPr>
    <w:r>
      <w:rPr/>
      <w:tab/>
      <w:t xml:space="preserve">- </w:t>
    </w:r>
    <w:r>
      <w:rPr/>
      <w:fldChar w:fldCharType="begin"/>
    </w:r>
    <w:r>
      <w:instrText> PAGE </w:instrText>
    </w:r>
    <w:r>
      <w:fldChar w:fldCharType="separate"/>
    </w:r>
    <w:r>
      <w:t>11</w:t>
    </w:r>
    <w:r>
      <w:fldChar w:fldCharType="end"/>
    </w:r>
    <w:r>
      <w:rPr/>
      <w:t xml:space="preserve"> -</w:t>
    </w:r>
  </w:p>
  <w:p>
    <w:pPr>
      <w:pStyle w:val="Pta"/>
      <w:tabs>
        <w:tab w:val="center" w:pos="4153" w:leader="none"/>
        <w:tab w:val="center" w:pos="4593" w:leader="none"/>
        <w:tab w:val="right" w:pos="8306" w:leader="none"/>
        <w:tab w:val="right" w:pos="9214" w:leader="none"/>
      </w:tabs>
      <w:rPr/>
    </w:pPr>
    <w:r>
      <w:rPr/>
      <w:tab/>
      <w:tab/>
    </w:r>
  </w:p>
  <w:p>
    <w:pPr>
      <w:pStyle w:val="Pta"/>
      <w:ind w:left="0" w:right="360" w:hanging="0"/>
      <w:rPr/>
    </w:pPr>
    <w:r>
      <w:rPr/>
      <w:tab/>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tabs>
        <w:tab w:val="center" w:pos="4153" w:leader="none"/>
        <w:tab w:val="right" w:pos="8306" w:leader="none"/>
        <w:tab w:val="right" w:pos="9214" w:leader="none"/>
      </w:tabs>
      <w:ind w:left="0" w:right="-1" w:hanging="0"/>
      <w:rPr>
        <w:i/>
        <w:sz w:val="18"/>
      </w:rPr>
    </w:pPr>
    <w:r>
      <w:rPr>
        <w:b/>
        <w:i/>
      </w:rPr>
      <w:t xml:space="preserve">TOMKAT s.r.o.                              </w:t>
    </w:r>
    <w:r>
      <w:rPr>
        <w:i/>
        <w:sz w:val="18"/>
      </w:rPr>
      <w:t xml:space="preserve">                                  Účtovná závierka k 31. decembru 2021</w:t>
    </w:r>
  </w:p>
  <w:p>
    <w:pPr>
      <w:pStyle w:val="Hlavika"/>
      <w:tabs>
        <w:tab w:val="center" w:pos="4153" w:leader="none"/>
        <w:tab w:val="right" w:pos="8306" w:leader="none"/>
        <w:tab w:val="right" w:pos="9214" w:leader="none"/>
      </w:tabs>
      <w:ind w:left="0" w:right="-1" w:hanging="0"/>
      <w:rPr>
        <w:i/>
        <w:sz w:val="18"/>
      </w:rPr>
    </w:pPr>
    <w:r>
      <w:rPr>
        <w:i/>
        <w:sz w:val="18"/>
      </w:rPr>
    </w:r>
  </w:p>
  <w:p>
    <w:pPr>
      <w:pStyle w:val="Hlavika"/>
      <w:tabs>
        <w:tab w:val="center" w:pos="4153" w:leader="none"/>
        <w:tab w:val="right" w:pos="8306" w:leader="none"/>
        <w:tab w:val="right" w:pos="9214" w:leader="none"/>
      </w:tabs>
      <w:ind w:left="0" w:right="-1" w:hanging="0"/>
      <w:rPr>
        <w:i/>
        <w:sz w:val="18"/>
      </w:rPr>
    </w:pPr>
    <w:r>
      <w:rPr>
        <w:i/>
        <w:sz w:val="18"/>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b w:val="false"/>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8"/>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isplayBackgroundShape/>
  <w:defaultTabStop w:val="720"/>
</w:settings>
</file>

<file path=word/styles.xml><?xml version="1.0" encoding="utf-8"?>
<w:styles xmlns:w="http://schemas.openxmlformats.org/wordprocessingml/2006/main">
  <w:docDefaults>
    <w:rPrDefault>
      <w:rPr>
        <w:rFonts w:ascii="Liberation Serif" w:hAnsi="Liberation Serif" w:eastAsia="SimSun" w:cs="Arial Unicode MS"/>
        <w:sz w:val="24"/>
        <w:szCs w:val="24"/>
        <w:lang w:val="sk-SK" w:eastAsia="zh-CN" w:bidi="hi-IN"/>
      </w:rPr>
    </w:rPrDefault>
    <w:pPrDefault>
      <w:pPr/>
    </w:pPrDefault>
  </w:docDefaults>
  <w:style w:type="paragraph" w:styleId="Normal">
    <w:name w:val="Normal"/>
    <w:pPr>
      <w:widowControl/>
      <w:suppressAutoHyphens w:val="true"/>
      <w:bidi w:val="0"/>
      <w:jc w:val="left"/>
    </w:pPr>
    <w:rPr>
      <w:rFonts w:ascii="Times New Roman" w:hAnsi="Times New Roman" w:eastAsia="Times New Roman" w:cs="Times New Roman"/>
      <w:color w:val="00000A"/>
      <w:sz w:val="20"/>
      <w:szCs w:val="20"/>
      <w:lang w:val="sk-SK" w:eastAsia="zh-CN" w:bidi="ar-SA"/>
    </w:rPr>
  </w:style>
  <w:style w:type="paragraph" w:styleId="Nadpis1">
    <w:name w:val="Nadpis 1"/>
    <w:basedOn w:val="Normal"/>
    <w:next w:val="Normal"/>
    <w:pPr>
      <w:keepNext/>
      <w:outlineLvl w:val="0"/>
    </w:pPr>
    <w:rPr>
      <w:b/>
      <w:caps/>
      <w:sz w:val="18"/>
    </w:rPr>
  </w:style>
  <w:style w:type="paragraph" w:styleId="Nadpis2">
    <w:name w:val="Nadpis 2"/>
    <w:basedOn w:val="Normal"/>
    <w:next w:val="Normal"/>
    <w:pPr>
      <w:keepNext/>
    </w:pPr>
    <w:rPr>
      <w:b/>
      <w:sz w:val="18"/>
    </w:rPr>
  </w:style>
  <w:style w:type="paragraph" w:styleId="Nadpis3">
    <w:name w:val="Nadpis 3"/>
    <w:basedOn w:val="Normal"/>
    <w:next w:val="Normal"/>
    <w:pPr>
      <w:keepNext/>
    </w:pPr>
    <w:rPr>
      <w:rFonts w:ascii="Geneva;Arial" w:hAnsi="Geneva;Arial" w:cs="Geneva;Arial"/>
      <w:b/>
      <w:i/>
      <w:color w:val="000000"/>
      <w:sz w:val="16"/>
      <w:lang w:val="en-GB"/>
    </w:rPr>
  </w:style>
  <w:style w:type="paragraph" w:styleId="Nadpis4">
    <w:name w:val="Nadpis 4"/>
    <w:basedOn w:val="Normal"/>
    <w:next w:val="Normal"/>
    <w:pPr>
      <w:keepNext/>
    </w:pPr>
    <w:rPr>
      <w:b/>
      <w:lang w:val="sk-SK"/>
    </w:rPr>
  </w:style>
  <w:style w:type="paragraph" w:styleId="Nadpis5">
    <w:name w:val="Nadpis 5"/>
    <w:basedOn w:val="Normal"/>
    <w:next w:val="Normal"/>
    <w:pPr>
      <w:keepNext/>
    </w:pPr>
    <w:rPr>
      <w:b/>
      <w:sz w:val="28"/>
      <w:lang w:val="sk-SK"/>
    </w:rPr>
  </w:style>
  <w:style w:type="paragraph" w:styleId="Nadpis6">
    <w:name w:val="Nadpis 6"/>
    <w:basedOn w:val="Normal"/>
    <w:next w:val="Normal"/>
    <w:pPr>
      <w:keepNext/>
    </w:pPr>
    <w:rPr>
      <w:b/>
      <w:caps/>
      <w:sz w:val="32"/>
    </w:rPr>
  </w:style>
  <w:style w:type="paragraph" w:styleId="Nadpis7">
    <w:name w:val="Nadpis 7"/>
    <w:basedOn w:val="Normal"/>
    <w:next w:val="Normal"/>
    <w:pPr>
      <w:keepNext/>
      <w:jc w:val="center"/>
    </w:pPr>
    <w:rPr>
      <w:b/>
      <w:sz w:val="52"/>
    </w:rPr>
  </w:style>
  <w:style w:type="paragraph" w:styleId="Nadpis8">
    <w:name w:val="Nadpis 8"/>
    <w:basedOn w:val="Normal"/>
    <w:next w:val="Normal"/>
    <w:pPr>
      <w:keepNext/>
      <w:jc w:val="center"/>
    </w:pPr>
    <w:rPr>
      <w:rFonts w:ascii="Geneva;Arial" w:hAnsi="Geneva;Arial" w:cs="Geneva;Arial"/>
      <w:color w:val="000000"/>
      <w:sz w:val="14"/>
      <w:u w:val="single"/>
      <w:lang w:val="sk-SK"/>
    </w:rPr>
  </w:style>
  <w:style w:type="paragraph" w:styleId="Nadpis9">
    <w:name w:val="Nadpis 9"/>
    <w:basedOn w:val="Normal"/>
    <w:next w:val="Normal"/>
    <w:pPr>
      <w:keepNext/>
      <w:jc w:val="center"/>
    </w:pPr>
    <w:rPr>
      <w:sz w:val="32"/>
      <w:lang w:val="sk-SK"/>
    </w:rPr>
  </w:style>
  <w:style w:type="character" w:styleId="WW8Num1z0">
    <w:name w:val="WW8Num1z0"/>
    <w:rPr>
      <w:sz w:val="20"/>
    </w:rPr>
  </w:style>
  <w:style w:type="character" w:styleId="WW8Num2z0">
    <w:name w:val="WW8Num2z0"/>
    <w:rPr/>
  </w:style>
  <w:style w:type="character" w:styleId="WW8Num3z0">
    <w:name w:val="WW8Num3z0"/>
    <w:rPr/>
  </w:style>
  <w:style w:type="character" w:styleId="WW8Num4z0">
    <w:name w:val="WW8Num4z0"/>
    <w:rPr/>
  </w:style>
  <w:style w:type="character" w:styleId="WW8Num4z1">
    <w:name w:val="WW8Num4z1"/>
    <w:rPr>
      <w:b w:val="false"/>
      <w:sz w:val="20"/>
    </w:rPr>
  </w:style>
  <w:style w:type="character" w:styleId="WW8Num4z2">
    <w:name w:val="WW8Num4z2"/>
    <w:rPr/>
  </w:style>
  <w:style w:type="character" w:styleId="WW8Num4z3">
    <w:name w:val="WW8Num4z3"/>
    <w:rPr/>
  </w:style>
  <w:style w:type="character" w:styleId="WW8Num4z4">
    <w:name w:val="WW8Num4z4"/>
    <w:rPr/>
  </w:style>
  <w:style w:type="character" w:styleId="WW8Num4z5">
    <w:name w:val="WW8Num4z5"/>
    <w:rPr/>
  </w:style>
  <w:style w:type="character" w:styleId="WW8Num4z6">
    <w:name w:val="WW8Num4z6"/>
    <w:rPr/>
  </w:style>
  <w:style w:type="character" w:styleId="WW8Num4z7">
    <w:name w:val="WW8Num4z7"/>
    <w:rPr/>
  </w:style>
  <w:style w:type="character" w:styleId="WW8Num4z8">
    <w:name w:val="WW8Num4z8"/>
    <w:rPr/>
  </w:style>
  <w:style w:type="character" w:styleId="WW8Num5z0">
    <w:name w:val="WW8Num5z0"/>
    <w:rPr>
      <w:sz w:val="20"/>
    </w:rPr>
  </w:style>
  <w:style w:type="character" w:styleId="WW8Num6z0">
    <w:name w:val="WW8Num6z0"/>
    <w:rPr>
      <w:sz w:val="20"/>
    </w:rPr>
  </w:style>
  <w:style w:type="character" w:styleId="WW8Num7z0">
    <w:name w:val="WW8Num7z0"/>
    <w:rPr/>
  </w:style>
  <w:style w:type="character" w:styleId="WW8Num7z1">
    <w:name w:val="WW8Num7z1"/>
    <w:rPr/>
  </w:style>
  <w:style w:type="character" w:styleId="WW8Num7z2">
    <w:name w:val="WW8Num7z2"/>
    <w:rPr/>
  </w:style>
  <w:style w:type="character" w:styleId="WW8Num7z3">
    <w:name w:val="WW8Num7z3"/>
    <w:rPr/>
  </w:style>
  <w:style w:type="character" w:styleId="WW8Num7z4">
    <w:name w:val="WW8Num7z4"/>
    <w:rPr/>
  </w:style>
  <w:style w:type="character" w:styleId="WW8Num7z5">
    <w:name w:val="WW8Num7z5"/>
    <w:rPr/>
  </w:style>
  <w:style w:type="character" w:styleId="WW8Num7z6">
    <w:name w:val="WW8Num7z6"/>
    <w:rPr/>
  </w:style>
  <w:style w:type="character" w:styleId="WW8Num7z7">
    <w:name w:val="WW8Num7z7"/>
    <w:rPr/>
  </w:style>
  <w:style w:type="character" w:styleId="WW8Num7z8">
    <w:name w:val="WW8Num7z8"/>
    <w:rPr/>
  </w:style>
  <w:style w:type="character" w:styleId="WW8Num8z0">
    <w:name w:val="WW8Num8z0"/>
    <w:rPr/>
  </w:style>
  <w:style w:type="character" w:styleId="WW8Num8z1">
    <w:name w:val="WW8Num8z1"/>
    <w:rPr>
      <w:sz w:val="20"/>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9z0">
    <w:name w:val="WW8Num9z0"/>
    <w:rPr/>
  </w:style>
  <w:style w:type="character" w:styleId="WW8Num9z1">
    <w:name w:val="WW8Num9z1"/>
    <w:rPr/>
  </w:style>
  <w:style w:type="character" w:styleId="WW8Num9z2">
    <w:name w:val="WW8Num9z2"/>
    <w:rPr/>
  </w:style>
  <w:style w:type="character" w:styleId="WW8Num9z3">
    <w:name w:val="WW8Num9z3"/>
    <w:rPr/>
  </w:style>
  <w:style w:type="character" w:styleId="WW8Num9z4">
    <w:name w:val="WW8Num9z4"/>
    <w:rPr/>
  </w:style>
  <w:style w:type="character" w:styleId="WW8Num9z5">
    <w:name w:val="WW8Num9z5"/>
    <w:rPr/>
  </w:style>
  <w:style w:type="character" w:styleId="WW8Num9z6">
    <w:name w:val="WW8Num9z6"/>
    <w:rPr/>
  </w:style>
  <w:style w:type="character" w:styleId="WW8Num9z7">
    <w:name w:val="WW8Num9z7"/>
    <w:rPr/>
  </w:style>
  <w:style w:type="character" w:styleId="WW8Num9z8">
    <w:name w:val="WW8Num9z8"/>
    <w:rPr/>
  </w:style>
  <w:style w:type="character" w:styleId="WW8Num10z0">
    <w:name w:val="WW8Num10z0"/>
    <w:rPr/>
  </w:style>
  <w:style w:type="character" w:styleId="WW8Num10z1">
    <w:name w:val="WW8Num10z1"/>
    <w:rPr/>
  </w:style>
  <w:style w:type="character" w:styleId="WW8Num10z2">
    <w:name w:val="WW8Num10z2"/>
    <w:rPr/>
  </w:style>
  <w:style w:type="character" w:styleId="WW8Num10z3">
    <w:name w:val="WW8Num10z3"/>
    <w:rPr/>
  </w:style>
  <w:style w:type="character" w:styleId="WW8Num10z4">
    <w:name w:val="WW8Num10z4"/>
    <w:rPr/>
  </w:style>
  <w:style w:type="character" w:styleId="WW8Num10z5">
    <w:name w:val="WW8Num10z5"/>
    <w:rPr/>
  </w:style>
  <w:style w:type="character" w:styleId="WW8Num10z6">
    <w:name w:val="WW8Num10z6"/>
    <w:rPr/>
  </w:style>
  <w:style w:type="character" w:styleId="WW8Num10z7">
    <w:name w:val="WW8Num10z7"/>
    <w:rPr/>
  </w:style>
  <w:style w:type="character" w:styleId="WW8Num10z8">
    <w:name w:val="WW8Num10z8"/>
    <w:rPr/>
  </w:style>
  <w:style w:type="character" w:styleId="WW8Num11z0">
    <w:name w:val="WW8Num11z0"/>
    <w:rPr/>
  </w:style>
  <w:style w:type="character" w:styleId="WW8Num11z1">
    <w:name w:val="WW8Num11z1"/>
    <w:rPr/>
  </w:style>
  <w:style w:type="character" w:styleId="WW8Num11z2">
    <w:name w:val="WW8Num11z2"/>
    <w:rPr/>
  </w:style>
  <w:style w:type="character" w:styleId="WW8Num11z3">
    <w:name w:val="WW8Num11z3"/>
    <w:rPr/>
  </w:style>
  <w:style w:type="character" w:styleId="WW8Num11z4">
    <w:name w:val="WW8Num11z4"/>
    <w:rPr/>
  </w:style>
  <w:style w:type="character" w:styleId="WW8Num11z5">
    <w:name w:val="WW8Num11z5"/>
    <w:rPr/>
  </w:style>
  <w:style w:type="character" w:styleId="WW8Num11z6">
    <w:name w:val="WW8Num11z6"/>
    <w:rPr/>
  </w:style>
  <w:style w:type="character" w:styleId="WW8Num11z7">
    <w:name w:val="WW8Num11z7"/>
    <w:rPr/>
  </w:style>
  <w:style w:type="character" w:styleId="WW8Num11z8">
    <w:name w:val="WW8Num11z8"/>
    <w:rPr/>
  </w:style>
  <w:style w:type="character" w:styleId="WW8Num12z0">
    <w:name w:val="WW8Num12z0"/>
    <w:rPr/>
  </w:style>
  <w:style w:type="character" w:styleId="WW8Num12z1">
    <w:name w:val="WW8Num12z1"/>
    <w:rPr/>
  </w:style>
  <w:style w:type="character" w:styleId="WW8Num12z2">
    <w:name w:val="WW8Num12z2"/>
    <w:rPr/>
  </w:style>
  <w:style w:type="character" w:styleId="WW8Num12z3">
    <w:name w:val="WW8Num12z3"/>
    <w:rPr/>
  </w:style>
  <w:style w:type="character" w:styleId="WW8Num12z4">
    <w:name w:val="WW8Num12z4"/>
    <w:rPr/>
  </w:style>
  <w:style w:type="character" w:styleId="WW8Num12z5">
    <w:name w:val="WW8Num12z5"/>
    <w:rPr/>
  </w:style>
  <w:style w:type="character" w:styleId="WW8Num12z6">
    <w:name w:val="WW8Num12z6"/>
    <w:rPr/>
  </w:style>
  <w:style w:type="character" w:styleId="WW8Num12z7">
    <w:name w:val="WW8Num12z7"/>
    <w:rPr/>
  </w:style>
  <w:style w:type="character" w:styleId="WW8Num12z8">
    <w:name w:val="WW8Num12z8"/>
    <w:rPr/>
  </w:style>
  <w:style w:type="character" w:styleId="WW8Num13z0">
    <w:name w:val="WW8Num13z0"/>
    <w:rPr/>
  </w:style>
  <w:style w:type="character" w:styleId="WW8Num13z1">
    <w:name w:val="WW8Num13z1"/>
    <w:rPr/>
  </w:style>
  <w:style w:type="character" w:styleId="WW8Num13z2">
    <w:name w:val="WW8Num13z2"/>
    <w:rPr/>
  </w:style>
  <w:style w:type="character" w:styleId="WW8Num13z3">
    <w:name w:val="WW8Num13z3"/>
    <w:rPr/>
  </w:style>
  <w:style w:type="character" w:styleId="WW8Num13z4">
    <w:name w:val="WW8Num13z4"/>
    <w:rPr/>
  </w:style>
  <w:style w:type="character" w:styleId="WW8Num13z5">
    <w:name w:val="WW8Num13z5"/>
    <w:rPr/>
  </w:style>
  <w:style w:type="character" w:styleId="WW8Num13z6">
    <w:name w:val="WW8Num13z6"/>
    <w:rPr/>
  </w:style>
  <w:style w:type="character" w:styleId="WW8Num13z7">
    <w:name w:val="WW8Num13z7"/>
    <w:rPr/>
  </w:style>
  <w:style w:type="character" w:styleId="WW8Num13z8">
    <w:name w:val="WW8Num13z8"/>
    <w:rPr/>
  </w:style>
  <w:style w:type="character" w:styleId="WW8Num14z0">
    <w:name w:val="WW8Num14z0"/>
    <w:rPr/>
  </w:style>
  <w:style w:type="character" w:styleId="WW8Num14z1">
    <w:name w:val="WW8Num14z1"/>
    <w:rPr/>
  </w:style>
  <w:style w:type="character" w:styleId="WW8Num14z2">
    <w:name w:val="WW8Num14z2"/>
    <w:rPr/>
  </w:style>
  <w:style w:type="character" w:styleId="WW8Num14z3">
    <w:name w:val="WW8Num14z3"/>
    <w:rPr/>
  </w:style>
  <w:style w:type="character" w:styleId="WW8Num14z4">
    <w:name w:val="WW8Num14z4"/>
    <w:rPr/>
  </w:style>
  <w:style w:type="character" w:styleId="WW8Num14z5">
    <w:name w:val="WW8Num14z5"/>
    <w:rPr/>
  </w:style>
  <w:style w:type="character" w:styleId="WW8Num14z6">
    <w:name w:val="WW8Num14z6"/>
    <w:rPr/>
  </w:style>
  <w:style w:type="character" w:styleId="WW8Num14z7">
    <w:name w:val="WW8Num14z7"/>
    <w:rPr/>
  </w:style>
  <w:style w:type="character" w:styleId="WW8Num14z8">
    <w:name w:val="WW8Num14z8"/>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WW8Num5z1">
    <w:name w:val="WW8Num5z1"/>
    <w:rPr>
      <w:rFonts w:ascii="Times New Roman" w:hAnsi="Times New Roman" w:eastAsia="Times New Roman" w:cs="Times New Roman"/>
    </w:rPr>
  </w:style>
  <w:style w:type="character" w:styleId="WW8Num5z2">
    <w:name w:val="WW8Num5z2"/>
    <w:rPr/>
  </w:style>
  <w:style w:type="character" w:styleId="WW8Num5z3">
    <w:name w:val="WW8Num5z3"/>
    <w:rPr/>
  </w:style>
  <w:style w:type="character" w:styleId="WW8Num5z4">
    <w:name w:val="WW8Num5z4"/>
    <w:rPr/>
  </w:style>
  <w:style w:type="character" w:styleId="WW8Num5z5">
    <w:name w:val="WW8Num5z5"/>
    <w:rPr/>
  </w:style>
  <w:style w:type="character" w:styleId="WW8Num5z6">
    <w:name w:val="WW8Num5z6"/>
    <w:rPr/>
  </w:style>
  <w:style w:type="character" w:styleId="WW8Num5z7">
    <w:name w:val="WW8Num5z7"/>
    <w:rPr/>
  </w:style>
  <w:style w:type="character" w:styleId="WW8Num5z8">
    <w:name w:val="WW8Num5z8"/>
    <w:rPr/>
  </w:style>
  <w:style w:type="character" w:styleId="WW8Num6z1">
    <w:name w:val="WW8Num6z1"/>
    <w:rPr>
      <w:rFonts w:ascii="Courier New" w:hAnsi="Courier New" w:cs="Courier New"/>
    </w:rPr>
  </w:style>
  <w:style w:type="character" w:styleId="WW8Num6z2">
    <w:name w:val="WW8Num6z2"/>
    <w:rPr>
      <w:rFonts w:ascii="Wingdings" w:hAnsi="Wingdings" w:cs="Wingdings"/>
    </w:rPr>
  </w:style>
  <w:style w:type="character" w:styleId="WW8Num6z3">
    <w:name w:val="WW8Num6z3"/>
    <w:rPr>
      <w:rFonts w:ascii="Symbol" w:hAnsi="Symbol" w:cs="Symbol"/>
    </w:rPr>
  </w:style>
  <w:style w:type="character" w:styleId="Predvolenpsmoodseku">
    <w:name w:val="Predvolené písmo odseku"/>
    <w:rPr/>
  </w:style>
  <w:style w:type="character" w:styleId="Slostrany">
    <w:name w:val="Číslo strany"/>
    <w:basedOn w:val="Predvolenpsmoodseku"/>
    <w:rPr/>
  </w:style>
  <w:style w:type="character" w:styleId="Internetovodkaz">
    <w:name w:val="Internetový odkaz"/>
    <w:rPr>
      <w:color w:val="0000FF"/>
      <w:u w:val="single"/>
      <w:lang w:val="zxx" w:eastAsia="zxx" w:bidi="zxx"/>
    </w:rPr>
  </w:style>
  <w:style w:type="character" w:styleId="Navtveninternetovodkaz">
    <w:name w:val="Navštívený internetový odkaz"/>
    <w:rPr>
      <w:color w:val="800080"/>
      <w:u w:val="single"/>
      <w:lang w:val="zxx" w:eastAsia="zxx" w:bidi="zxx"/>
    </w:rPr>
  </w:style>
  <w:style w:type="character" w:styleId="ListLabel1">
    <w:name w:val="ListLabel 1"/>
    <w:rPr>
      <w:sz w:val="20"/>
    </w:rPr>
  </w:style>
  <w:style w:type="character" w:styleId="ListLabel2">
    <w:name w:val="ListLabel 2"/>
    <w:rPr>
      <w:b w:val="false"/>
      <w:sz w:val="20"/>
    </w:rPr>
  </w:style>
  <w:style w:type="character" w:styleId="ListLabel3">
    <w:name w:val="ListLabel 3"/>
    <w:rPr>
      <w:b w:val="false"/>
      <w:sz w:val="20"/>
    </w:rPr>
  </w:style>
  <w:style w:type="character" w:styleId="ListLabel4">
    <w:name w:val="ListLabel 4"/>
    <w:rPr>
      <w:sz w:val="20"/>
    </w:rPr>
  </w:style>
  <w:style w:type="character" w:styleId="ListLabel5">
    <w:name w:val="ListLabel 5"/>
    <w:rPr>
      <w:b w:val="false"/>
      <w:sz w:val="20"/>
    </w:rPr>
  </w:style>
  <w:style w:type="character" w:styleId="ListLabel6">
    <w:name w:val="ListLabel 6"/>
    <w:rPr>
      <w:sz w:val="20"/>
    </w:rPr>
  </w:style>
  <w:style w:type="character" w:styleId="ListLabel7">
    <w:name w:val="ListLabel 7"/>
    <w:rPr>
      <w:b w:val="false"/>
      <w:sz w:val="20"/>
    </w:rPr>
  </w:style>
  <w:style w:type="character" w:styleId="ListLabel8">
    <w:name w:val="ListLabel 8"/>
    <w:rPr>
      <w:sz w:val="20"/>
    </w:rPr>
  </w:style>
  <w:style w:type="paragraph" w:styleId="Nadpis">
    <w:name w:val="Nadpis"/>
    <w:basedOn w:val="Normal"/>
    <w:next w:val="Telotextu"/>
    <w:pPr>
      <w:keepNext/>
      <w:spacing w:before="240" w:after="120"/>
    </w:pPr>
    <w:rPr>
      <w:rFonts w:ascii="Liberation Sans;Arial" w:hAnsi="Liberation Sans;Arial" w:eastAsia="Microsoft YaHei" w:cs="Arial Unicode MS"/>
      <w:sz w:val="28"/>
      <w:szCs w:val="28"/>
    </w:rPr>
  </w:style>
  <w:style w:type="paragraph" w:styleId="Telotextu">
    <w:name w:val="Telo textu"/>
    <w:basedOn w:val="Normal"/>
    <w:pPr>
      <w:spacing w:lineRule="auto" w:line="288" w:before="0" w:after="140"/>
      <w:ind w:left="426" w:right="0" w:hanging="0"/>
      <w:jc w:val="both"/>
    </w:pPr>
    <w:rPr>
      <w:sz w:val="18"/>
      <w:lang w:val="sk-SK"/>
    </w:rPr>
  </w:style>
  <w:style w:type="paragraph" w:styleId="Zoznam">
    <w:name w:val="Zoznam"/>
    <w:basedOn w:val="Telotextu"/>
    <w:pPr/>
    <w:rPr>
      <w:rFonts w:cs="Arial Unicode MS"/>
    </w:rPr>
  </w:style>
  <w:style w:type="paragraph" w:styleId="Popis">
    <w:name w:val="Popis"/>
    <w:basedOn w:val="Normal"/>
    <w:pPr>
      <w:suppressLineNumbers/>
      <w:spacing w:before="120" w:after="120"/>
    </w:pPr>
    <w:rPr>
      <w:rFonts w:cs="Arial Unicode MS"/>
      <w:i/>
      <w:iCs/>
      <w:sz w:val="24"/>
      <w:szCs w:val="24"/>
    </w:rPr>
  </w:style>
  <w:style w:type="paragraph" w:styleId="Index">
    <w:name w:val="Index"/>
    <w:basedOn w:val="Normal"/>
    <w:pPr>
      <w:suppressLineNumbers/>
    </w:pPr>
    <w:rPr>
      <w:rFonts w:cs="Arial Unicode MS"/>
    </w:rPr>
  </w:style>
  <w:style w:type="paragraph" w:styleId="Hlavika">
    <w:name w:val="Hlavička"/>
    <w:basedOn w:val="Normal"/>
    <w:pPr>
      <w:tabs>
        <w:tab w:val="center" w:pos="4153" w:leader="none"/>
        <w:tab w:val="right" w:pos="8306" w:leader="none"/>
      </w:tabs>
    </w:pPr>
    <w:rPr/>
  </w:style>
  <w:style w:type="paragraph" w:styleId="Pta">
    <w:name w:val="Päta"/>
    <w:basedOn w:val="Normal"/>
    <w:pPr>
      <w:tabs>
        <w:tab w:val="center" w:pos="4153" w:leader="none"/>
        <w:tab w:val="right" w:pos="8306" w:leader="none"/>
      </w:tabs>
    </w:pPr>
    <w:rPr/>
  </w:style>
  <w:style w:type="paragraph" w:styleId="Uvod">
    <w:name w:val="Uvod"/>
    <w:basedOn w:val="Normal"/>
    <w:pPr>
      <w:ind w:left="284" w:right="0" w:hanging="284"/>
      <w:jc w:val="both"/>
    </w:pPr>
    <w:rPr>
      <w:sz w:val="22"/>
    </w:rPr>
  </w:style>
  <w:style w:type="paragraph" w:styleId="Tabulka">
    <w:name w:val="Tabulka"/>
    <w:basedOn w:val="Normal"/>
    <w:pPr/>
    <w:rPr>
      <w:color w:val="000000"/>
      <w:sz w:val="18"/>
      <w:lang w:val="sk-SK"/>
    </w:rPr>
  </w:style>
  <w:style w:type="paragraph" w:styleId="Pismenka">
    <w:name w:val="Pismenka"/>
    <w:basedOn w:val="Telotextu"/>
    <w:pPr>
      <w:tabs>
        <w:tab w:val="left" w:pos="426" w:leader="none"/>
      </w:tabs>
      <w:ind w:left="426" w:right="0" w:hanging="426"/>
    </w:pPr>
    <w:rPr>
      <w:b/>
    </w:rPr>
  </w:style>
  <w:style w:type="paragraph" w:styleId="Obsah1">
    <w:name w:val="Obsah 1"/>
    <w:basedOn w:val="Normal"/>
    <w:next w:val="Normal"/>
    <w:pPr>
      <w:tabs>
        <w:tab w:val="left" w:pos="426" w:leader="none"/>
        <w:tab w:val="right" w:pos="9203" w:leader="none"/>
      </w:tabs>
      <w:spacing w:before="360" w:after="0"/>
    </w:pPr>
    <w:rPr>
      <w:b/>
      <w:bCs/>
      <w:caps/>
      <w:szCs w:val="18"/>
      <w:lang w:val="sk-SK" w:eastAsia="sk-SK"/>
    </w:rPr>
  </w:style>
  <w:style w:type="paragraph" w:styleId="Obsah2">
    <w:name w:val="Obsah 2"/>
    <w:basedOn w:val="Normal"/>
    <w:next w:val="Normal"/>
    <w:pPr>
      <w:tabs>
        <w:tab w:val="left" w:pos="993" w:leader="none"/>
        <w:tab w:val="right" w:pos="9203" w:leader="none"/>
      </w:tabs>
      <w:ind w:left="0" w:right="0" w:firstLine="567"/>
    </w:pPr>
    <w:rPr>
      <w:b/>
      <w:bCs/>
      <w:szCs w:val="18"/>
      <w:lang w:val="sk-SK" w:eastAsia="sk-SK"/>
    </w:rPr>
  </w:style>
  <w:style w:type="paragraph" w:styleId="Obsah3">
    <w:name w:val="Obsah 3"/>
    <w:basedOn w:val="Normal"/>
    <w:next w:val="Normal"/>
    <w:pPr>
      <w:ind w:left="200" w:right="0" w:hanging="0"/>
    </w:pPr>
    <w:rPr>
      <w:szCs w:val="24"/>
    </w:rPr>
  </w:style>
  <w:style w:type="paragraph" w:styleId="Obsah4">
    <w:name w:val="Obsah 4"/>
    <w:basedOn w:val="Normal"/>
    <w:next w:val="Normal"/>
    <w:pPr>
      <w:ind w:left="400" w:right="0" w:hanging="0"/>
    </w:pPr>
    <w:rPr>
      <w:szCs w:val="24"/>
    </w:rPr>
  </w:style>
  <w:style w:type="paragraph" w:styleId="Obsah5">
    <w:name w:val="Obsah 5"/>
    <w:basedOn w:val="Normal"/>
    <w:next w:val="Normal"/>
    <w:pPr>
      <w:ind w:left="600" w:right="0" w:hanging="0"/>
    </w:pPr>
    <w:rPr>
      <w:szCs w:val="24"/>
    </w:rPr>
  </w:style>
  <w:style w:type="paragraph" w:styleId="Obsah6">
    <w:name w:val="Obsah 6"/>
    <w:basedOn w:val="Normal"/>
    <w:next w:val="Normal"/>
    <w:pPr>
      <w:ind w:left="800" w:right="0" w:hanging="0"/>
    </w:pPr>
    <w:rPr>
      <w:szCs w:val="24"/>
    </w:rPr>
  </w:style>
  <w:style w:type="paragraph" w:styleId="Obsah7">
    <w:name w:val="Obsah 7"/>
    <w:basedOn w:val="Normal"/>
    <w:next w:val="Normal"/>
    <w:pPr>
      <w:ind w:left="1000" w:right="0" w:hanging="0"/>
    </w:pPr>
    <w:rPr>
      <w:szCs w:val="24"/>
    </w:rPr>
  </w:style>
  <w:style w:type="paragraph" w:styleId="Obsah8">
    <w:name w:val="Obsah 8"/>
    <w:basedOn w:val="Normal"/>
    <w:next w:val="Normal"/>
    <w:pPr>
      <w:ind w:left="1200" w:right="0" w:hanging="0"/>
    </w:pPr>
    <w:rPr>
      <w:szCs w:val="24"/>
    </w:rPr>
  </w:style>
  <w:style w:type="paragraph" w:styleId="Obsah9">
    <w:name w:val="Obsah 9"/>
    <w:basedOn w:val="Normal"/>
    <w:next w:val="Normal"/>
    <w:pPr>
      <w:ind w:left="1400" w:right="0" w:hanging="0"/>
    </w:pPr>
    <w:rPr>
      <w:szCs w:val="24"/>
    </w:rPr>
  </w:style>
  <w:style w:type="paragraph" w:styleId="Odsadenietelatextu">
    <w:name w:val="Odsadenie tela textu"/>
    <w:basedOn w:val="Normal"/>
    <w:pPr>
      <w:spacing w:before="0" w:after="120"/>
      <w:ind w:left="283" w:right="0" w:hanging="0"/>
    </w:pPr>
    <w:rPr/>
  </w:style>
  <w:style w:type="paragraph" w:styleId="Odstavec">
    <w:name w:val="Odstavec"/>
    <w:basedOn w:val="Normal"/>
    <w:pPr>
      <w:jc w:val="both"/>
    </w:pPr>
    <w:rPr>
      <w:b/>
      <w:sz w:val="24"/>
    </w:rPr>
  </w:style>
  <w:style w:type="paragraph" w:styleId="Zarkazkladnhotextu2">
    <w:name w:val="Zarážka základného textu 2"/>
    <w:basedOn w:val="Normal"/>
    <w:pPr>
      <w:spacing w:lineRule="atLeast" w:line="240" w:before="120" w:after="0"/>
      <w:ind w:left="426" w:right="0" w:hanging="0"/>
      <w:jc w:val="both"/>
    </w:pPr>
    <w:rPr>
      <w:color w:val="0000FF"/>
    </w:rPr>
  </w:style>
  <w:style w:type="paragraph" w:styleId="Zarkazkladnhotextu3">
    <w:name w:val="Zarážka základného textu 3"/>
    <w:basedOn w:val="Normal"/>
    <w:pPr>
      <w:ind w:left="426" w:right="0" w:hanging="0"/>
    </w:pPr>
    <w:rPr>
      <w:color w:val="0000FF"/>
    </w:rPr>
  </w:style>
  <w:style w:type="paragraph" w:styleId="Zkladntext2">
    <w:name w:val="Základný text 2"/>
    <w:basedOn w:val="Normal"/>
    <w:pPr/>
    <w:rPr/>
  </w:style>
  <w:style w:type="paragraph" w:styleId="Zkladntext3">
    <w:name w:val="Základný text 3"/>
    <w:basedOn w:val="Normal"/>
    <w:pPr>
      <w:spacing w:lineRule="atLeast" w:line="240" w:before="120" w:after="0"/>
      <w:jc w:val="both"/>
    </w:pPr>
    <w:rPr/>
  </w:style>
  <w:style w:type="paragraph" w:styleId="Truktradokumentu">
    <w:name w:val="Štruktúra dokumentu"/>
    <w:basedOn w:val="Normal"/>
    <w:pPr>
      <w:shd w:fill="000080" w:val="clear"/>
    </w:pPr>
    <w:rPr>
      <w:rFonts w:ascii="Tahoma" w:hAnsi="Tahoma" w:cs="Tahoma"/>
      <w:szCs w:val="24"/>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numbering" w:styleId="WW8Num1">
    <w:name w:val="WW8Num1"/>
  </w:style>
  <w:style w:type="numbering" w:styleId="WW8Num2">
    <w:name w:val="WW8Num2"/>
  </w:style>
  <w:style w:type="numbering" w:styleId="WW8Num3">
    <w:name w:val="WW8Num3"/>
  </w:style>
  <w:style w:type="numbering" w:styleId="WW8Num4">
    <w:name w:val="WW8Num4"/>
  </w:style>
  <w:style w:type="numbering" w:styleId="WW8Num5">
    <w:name w:val="WW8Num5"/>
  </w:style>
  <w:style w:type="numbering" w:styleId="WW8Num6">
    <w:name w:val="WW8Num6"/>
  </w:style>
  <w:style w:type="numbering" w:styleId="WW8Num7">
    <w:name w:val="WW8Num7"/>
  </w:style>
  <w:style w:type="numbering" w:styleId="WW8Num8">
    <w:name w:val="WW8Num8"/>
  </w:style>
  <w:style w:type="numbering" w:styleId="WW8Num9">
    <w:name w:val="WW8Num9"/>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120</TotalTime>
  <Application>LibreOffice/4.2.4.2$Windows_x86 LibreOffice_project/63150712c6d317d27ce2db16eb94c2f3d7b699f8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2018-03-27T12:51:00Z</dcterms:created>
  <dc:creator>imachac</dc:creator>
  <dc:language>sk-SK</dc:language>
  <cp:lastModifiedBy>miso</cp:lastModifiedBy>
  <cp:lastPrinted>2018-06-12T12:06:00Z</cp:lastPrinted>
  <dcterms:modified xsi:type="dcterms:W3CDTF">2018-03-27T12:54:00Z</dcterms:modified>
  <cp:revision>7</cp:revision>
  <dc:title>Všeobecné údaje</dc:title>
</cp:coreProperties>
</file>