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79" w:line="259"/>
        <w:ind w:right="188" w:left="43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  <w:t xml:space="preserve">POZNÁMKY K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Arial" w:hAnsi="Arial" w:cs="Arial" w:eastAsia="Arial"/>
          <w:b/>
          <w:color w:val="000000"/>
          <w:spacing w:val="0"/>
          <w:position w:val="0"/>
          <w:sz w:val="24"/>
          <w:shd w:fill="auto" w:val="clear"/>
        </w:rPr>
        <w:t xml:space="preserve">ÁVIERKE 2021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28" w:line="240"/>
        <w:ind w:right="188" w:left="43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ľa Opatrenia č.MF/15464/2013-74, ktor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ým sa ustanovujú podrobnosti o individuálnej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ávierke a rozsahu údajov ur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z individuálnej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ávierky na zverejnenie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pre mikro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keepLines w:val="true"/>
        <w:spacing w:before="0" w:after="0" w:line="259"/>
        <w:ind w:right="145" w:left="10" w:hanging="10"/>
        <w:jc w:val="center"/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ánok I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 V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ŠEOBECN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É INFORMÁCIE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6"/>
        </w:numPr>
        <w:spacing w:before="0" w:after="10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Základné informácie o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čtovnej jednotke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: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2638"/>
        <w:gridCol w:w="7016"/>
      </w:tblGrid>
      <w:tr>
        <w:trPr>
          <w:trHeight w:val="264" w:hRule="auto"/>
          <w:jc w:val="left"/>
        </w:trPr>
        <w:tc>
          <w:tcPr>
            <w:tcW w:w="26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70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MONFOOD, spol. s r.o. Ko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šice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262" w:hRule="auto"/>
          <w:jc w:val="left"/>
        </w:trPr>
        <w:tc>
          <w:tcPr>
            <w:tcW w:w="26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Sídlo: </w:t>
            </w:r>
          </w:p>
        </w:tc>
        <w:tc>
          <w:tcPr>
            <w:tcW w:w="70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Ju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žna trieda 4B, Košice </w:t>
            </w:r>
          </w:p>
        </w:tc>
      </w:tr>
      <w:tr>
        <w:trPr>
          <w:trHeight w:val="262" w:hRule="auto"/>
          <w:jc w:val="left"/>
        </w:trPr>
        <w:tc>
          <w:tcPr>
            <w:tcW w:w="26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Právna forma: </w:t>
            </w:r>
          </w:p>
        </w:tc>
        <w:tc>
          <w:tcPr>
            <w:tcW w:w="701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Spolo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čnosť s ručen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ím obmedzeným </w:t>
            </w:r>
          </w:p>
        </w:tc>
      </w:tr>
      <w:tr>
        <w:trPr>
          <w:trHeight w:val="264" w:hRule="auto"/>
          <w:jc w:val="left"/>
        </w:trPr>
        <w:tc>
          <w:tcPr>
            <w:tcW w:w="263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Dátum vzniku: </w:t>
            </w:r>
          </w:p>
        </w:tc>
        <w:tc>
          <w:tcPr>
            <w:tcW w:w="701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Zápis do obchodného registra: 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01.10.2020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</w:tc>
      </w:tr>
      <w:tr>
        <w:trPr>
          <w:trHeight w:val="262" w:hRule="auto"/>
          <w:jc w:val="left"/>
        </w:trPr>
        <w:tc>
          <w:tcPr>
            <w:tcW w:w="263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Hlavný predmet podnikania: </w:t>
            </w:r>
          </w:p>
        </w:tc>
        <w:tc>
          <w:tcPr>
            <w:tcW w:w="701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333333"/>
                <w:spacing w:val="0"/>
                <w:position w:val="0"/>
                <w:sz w:val="20"/>
                <w:shd w:fill="auto" w:val="clear"/>
              </w:rPr>
              <w:t xml:space="preserve">Dodávka jedál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</w:tc>
      </w:tr>
      <w:tr>
        <w:trPr>
          <w:trHeight w:val="262" w:hRule="auto"/>
          <w:jc w:val="left"/>
        </w:trPr>
        <w:tc>
          <w:tcPr>
            <w:tcW w:w="263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Subjekt verejného záujmu: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7016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MONFOOD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, spol. s r.o. nie je subjektom verejného záujmu </w:t>
            </w:r>
          </w:p>
        </w:tc>
      </w:tr>
      <w:tr>
        <w:trPr>
          <w:trHeight w:val="269" w:hRule="auto"/>
          <w:jc w:val="left"/>
        </w:trPr>
        <w:tc>
          <w:tcPr>
            <w:tcW w:w="2638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obdobie: </w:t>
            </w:r>
          </w:p>
        </w:tc>
        <w:tc>
          <w:tcPr>
            <w:tcW w:w="7016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01-12.2021 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2196"/>
        <w:gridCol w:w="2835"/>
        <w:gridCol w:w="3262"/>
        <w:gridCol w:w="1306"/>
      </w:tblGrid>
      <w:tr>
        <w:trPr>
          <w:trHeight w:val="516" w:hRule="auto"/>
          <w:jc w:val="left"/>
        </w:trPr>
        <w:tc>
          <w:tcPr>
            <w:tcW w:w="21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7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 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7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  <w:tc>
          <w:tcPr>
            <w:tcW w:w="3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  <w:tc>
          <w:tcPr>
            <w:tcW w:w="13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7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Áno/Nie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361" w:hRule="auto"/>
          <w:jc w:val="left"/>
        </w:trPr>
        <w:tc>
          <w:tcPr>
            <w:tcW w:w="21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Netto aktíva celkom 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     2 28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</w:t>
            </w:r>
          </w:p>
        </w:tc>
        <w:tc>
          <w:tcPr>
            <w:tcW w:w="3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         3818</w:t>
            </w:r>
          </w:p>
        </w:tc>
        <w:tc>
          <w:tcPr>
            <w:tcW w:w="13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7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áno </w:t>
            </w:r>
          </w:p>
        </w:tc>
      </w:tr>
      <w:tr>
        <w:trPr>
          <w:trHeight w:val="331" w:hRule="auto"/>
          <w:jc w:val="left"/>
        </w:trPr>
        <w:tc>
          <w:tcPr>
            <w:tcW w:w="21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ý obrat celkom 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5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44 183</w:t>
            </w:r>
          </w:p>
        </w:tc>
        <w:tc>
          <w:tcPr>
            <w:tcW w:w="3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54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10548 </w:t>
            </w:r>
          </w:p>
        </w:tc>
        <w:tc>
          <w:tcPr>
            <w:tcW w:w="13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7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áno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286" w:hRule="auto"/>
          <w:jc w:val="left"/>
        </w:trPr>
        <w:tc>
          <w:tcPr>
            <w:tcW w:w="219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5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32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9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0 </w:t>
            </w:r>
          </w:p>
        </w:tc>
        <w:tc>
          <w:tcPr>
            <w:tcW w:w="13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7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áno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49"/>
        <w:ind w:right="130" w:left="-5" w:hanging="1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Komentár: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UJ sp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ĺňa veľkostn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podmienky na zatriedenie do ve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ľkostnej skupiny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á jednotka,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preto zostavuje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 závierku pod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ľa metodiky pre 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úto ve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ľkostn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 skupinu (Opatrenie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č.MF/15464/2013-74).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60"/>
        </w:numPr>
        <w:spacing w:before="0" w:after="5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Dátum schválenia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ávierky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za bezprostredne predchádzajúce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jednotky:31.12.2021 </w:t>
      </w:r>
    </w:p>
    <w:p>
      <w:pPr>
        <w:spacing w:before="0" w:after="10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62"/>
        </w:numPr>
        <w:spacing w:before="0" w:after="5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Právny dôvod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na zostavenie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ávierky: Riadna </w:t>
      </w:r>
    </w:p>
    <w:p>
      <w:pPr>
        <w:spacing w:before="0" w:after="98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64"/>
        </w:numPr>
        <w:spacing w:before="0" w:after="5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Údaje o skupine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jednotiek v súvislosti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s konsolidáciou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: MÚV nezostavuje konsolidovanú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 závierku.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66"/>
        </w:numPr>
        <w:spacing w:before="0" w:after="10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ítaný 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čet zamestnancov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: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858"/>
        <w:gridCol w:w="2523"/>
        <w:gridCol w:w="2398"/>
      </w:tblGrid>
      <w:tr>
        <w:trPr>
          <w:trHeight w:val="768" w:hRule="auto"/>
          <w:jc w:val="left"/>
        </w:trPr>
        <w:tc>
          <w:tcPr>
            <w:tcW w:w="48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2" w:type="dxa"/>
              <w:right w:w="102" w:type="dxa"/>
            </w:tcMar>
            <w:vAlign w:val="center"/>
          </w:tcPr>
          <w:p>
            <w:pPr>
              <w:spacing w:before="0" w:after="0" w:line="259"/>
              <w:ind w:right="471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 </w:t>
            </w:r>
          </w:p>
        </w:tc>
        <w:tc>
          <w:tcPr>
            <w:tcW w:w="2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2" w:type="dxa"/>
              <w:right w:w="102" w:type="dxa"/>
            </w:tcMar>
            <w:vAlign w:val="center"/>
          </w:tcPr>
          <w:p>
            <w:pPr>
              <w:spacing w:before="0" w:after="0" w:line="259"/>
              <w:ind w:right="11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  <w:tc>
          <w:tcPr>
            <w:tcW w:w="23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2" w:type="dxa"/>
              <w:right w:w="10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</w:t>
            </w:r>
          </w:p>
          <w:p>
            <w:pPr>
              <w:spacing w:before="0" w:after="0" w:line="259"/>
              <w:ind w:right="11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obdobie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265" w:hRule="auto"/>
          <w:jc w:val="left"/>
        </w:trPr>
        <w:tc>
          <w:tcPr>
            <w:tcW w:w="485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2" w:type="dxa"/>
              <w:right w:w="10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počas 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 </w:t>
            </w:r>
          </w:p>
        </w:tc>
        <w:tc>
          <w:tcPr>
            <w:tcW w:w="2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2" w:type="dxa"/>
              <w:right w:w="102" w:type="dxa"/>
            </w:tcMar>
            <w:vAlign w:val="top"/>
          </w:tcPr>
          <w:p>
            <w:pPr>
              <w:spacing w:before="0" w:after="0" w:line="259"/>
              <w:ind w:right="12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 </w:t>
            </w:r>
          </w:p>
        </w:tc>
        <w:tc>
          <w:tcPr>
            <w:tcW w:w="23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2" w:type="dxa"/>
              <w:right w:w="102" w:type="dxa"/>
            </w:tcMar>
            <w:vAlign w:val="top"/>
          </w:tcPr>
          <w:p>
            <w:pPr>
              <w:spacing w:before="0" w:after="0" w:line="259"/>
              <w:ind w:right="0" w:left="49" w:firstLine="0"/>
              <w:jc w:val="center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</w:tbl>
    <w:p>
      <w:pPr>
        <w:spacing w:before="0" w:after="0" w:line="259"/>
        <w:ind w:right="0" w:left="929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" w:line="260"/>
        <w:ind w:right="1437" w:left="1772" w:hanging="1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ánok II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INFORMÁCIE O ORGÁNOCH SPOLO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ČNOSTI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5" w:line="249"/>
        <w:ind w:right="130" w:left="-5" w:hanging="1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Informácie o orgánoch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jednotky, pričom sa uv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ádzajú najmä informácie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o podmienkach a vý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ške jednotliv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í, o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ách a ich podmienkach (vý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ška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úrokov, celková suma pô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žičky, suma splatenej p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žičky, suma odpustenej p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žičky), o použit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majetku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jednotky na s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úkromné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čely; v členen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 na jednotlivé orgány (informácie sa neuvádzajú vtedy, ak by umo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žnili identifik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áciu 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ácie konkrétnej fyzickej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osoby): </w:t>
      </w:r>
    </w:p>
    <w:tbl>
      <w:tblPr/>
      <w:tblGrid>
        <w:gridCol w:w="6207"/>
        <w:gridCol w:w="1689"/>
        <w:gridCol w:w="1850"/>
      </w:tblGrid>
      <w:tr>
        <w:trPr>
          <w:trHeight w:val="790" w:hRule="auto"/>
          <w:jc w:val="left"/>
        </w:trPr>
        <w:tc>
          <w:tcPr>
            <w:tcW w:w="62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center"/>
          </w:tcPr>
          <w:p>
            <w:pPr>
              <w:spacing w:before="0" w:after="0" w:line="259"/>
              <w:ind w:right="3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Orgány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 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center"/>
          </w:tcPr>
          <w:p>
            <w:pPr>
              <w:spacing w:before="0" w:after="0" w:line="259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  <w:tc>
          <w:tcPr>
            <w:tcW w:w="1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2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35" w:hRule="auto"/>
          <w:jc w:val="left"/>
        </w:trPr>
        <w:tc>
          <w:tcPr>
            <w:tcW w:w="62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 orgán: Konate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  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Antonina Monda </w:t>
            </w:r>
          </w:p>
          <w:p>
            <w:pPr>
              <w:spacing w:before="0" w:after="0" w:line="259"/>
              <w:ind w:right="0" w:left="0" w:firstLine="0"/>
              <w:jc w:val="left"/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ATSUSHI KOSHIDA   </w:t>
            </w:r>
          </w:p>
        </w:tc>
        <w:tc>
          <w:tcPr>
            <w:tcW w:w="1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Antonina</w:t>
            </w:r>
          </w:p>
          <w:p>
            <w:pPr>
              <w:spacing w:before="0" w:after="0" w:line="259"/>
              <w:ind w:right="0" w:left="0" w:firstLine="0"/>
              <w:jc w:val="left"/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Monda </w:t>
            </w:r>
          </w:p>
          <w:p>
            <w:pPr>
              <w:spacing w:before="0" w:after="0" w:line="259"/>
              <w:ind w:right="0" w:left="0" w:firstLine="0"/>
              <w:jc w:val="left"/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ATSUSHI</w:t>
            </w:r>
          </w:p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KOSHIDA   </w:t>
            </w:r>
          </w:p>
        </w:tc>
      </w:tr>
      <w:tr>
        <w:trPr>
          <w:trHeight w:val="516" w:hRule="auto"/>
          <w:jc w:val="left"/>
        </w:trPr>
        <w:tc>
          <w:tcPr>
            <w:tcW w:w="62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16" w:line="259"/>
              <w:ind w:right="0" w:left="0" w:firstLine="0"/>
              <w:jc w:val="left"/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 orgán  </w:t>
            </w:r>
          </w:p>
          <w:p>
            <w:pPr>
              <w:spacing w:before="0" w:after="0" w:line="259"/>
              <w:ind w:right="0" w:left="36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- 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 (výhody):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center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1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center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286" w:hRule="auto"/>
          <w:jc w:val="left"/>
        </w:trPr>
        <w:tc>
          <w:tcPr>
            <w:tcW w:w="62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36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- druh príjmu (výhody):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286" w:hRule="auto"/>
          <w:jc w:val="left"/>
        </w:trPr>
        <w:tc>
          <w:tcPr>
            <w:tcW w:w="62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 orgán ú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286" w:hRule="auto"/>
          <w:jc w:val="left"/>
        </w:trPr>
        <w:tc>
          <w:tcPr>
            <w:tcW w:w="62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360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- druh príjmu (výhody):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  <w:tr>
        <w:trPr>
          <w:trHeight w:val="286" w:hRule="auto"/>
          <w:jc w:val="left"/>
        </w:trPr>
        <w:tc>
          <w:tcPr>
            <w:tcW w:w="62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68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  <w:tc>
          <w:tcPr>
            <w:tcW w:w="185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2" w:type="dxa"/>
              <w:right w:w="92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keepLines w:val="true"/>
        <w:spacing w:before="0" w:after="0" w:line="259"/>
        <w:ind w:right="7" w:left="10" w:hanging="10"/>
        <w:jc w:val="center"/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ánok III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 INFORMÁCIE O PRIJATÝCH POSTUPOCH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111"/>
        </w:numPr>
        <w:spacing w:before="0" w:after="5" w:line="249"/>
        <w:ind w:right="66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závierka je zostavená za splnenia predpokladu,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nepretr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žite pokračovať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vo svojej činnosti minim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álne 12 mesiacov po závierkovom dni v zmysle § 7 ods. 4 zákona o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íctve. Ak by tento predpoklad nebol splnený, uvedie sa aj dopad do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ávierky (napr. zru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šenie dlhodob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rezerv):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zásady a metódy neboli menené v priebehu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ého obdobia. 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113"/>
        </w:numPr>
        <w:spacing w:before="0" w:after="5" w:line="249"/>
        <w:ind w:right="66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Informácia o aplikácii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zásad a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metód, ktoré sú dôle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na posúdenie majetku, záväzkov, 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ácie a výsledku hospodárenia. Informácia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o zmenách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ých zásad a zmenách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ých metód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a to s uvedením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dôvodu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ich uplatnenia a ich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vplyvu na hodnotu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majetku, záväzkov, vlastného imania a výsledku hospodárenia. Ak v dôsledku zmeny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zásad a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metód nie sú hodnoty za bezprostredne predchádzajúce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obdobie v jednotlivých sú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častiach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ávierky porovnate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é, uvádza sa vysvetlenie v neporovnate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hodnotách: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1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115"/>
        </w:numPr>
        <w:spacing w:before="0" w:after="5" w:line="249"/>
        <w:ind w:right="66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šetky inform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ácie o transakciách sú zachytené v súvahe.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96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96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96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96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96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96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79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120"/>
        </w:numPr>
        <w:spacing w:before="0" w:after="148" w:line="249"/>
        <w:ind w:right="66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Spôsob a ur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čenie oceňovania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majetku a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áväzkov (vrátane rozhodujúcich odhadov): </w:t>
      </w:r>
    </w:p>
    <w:p>
      <w:pPr>
        <w:numPr>
          <w:ilvl w:val="0"/>
          <w:numId w:val="120"/>
        </w:numPr>
        <w:spacing w:before="0" w:after="5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ňovania majetku a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áväzkov (§ 25 ZoU):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706"/>
        <w:gridCol w:w="5300"/>
        <w:gridCol w:w="3632"/>
      </w:tblGrid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47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42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4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ňovania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externe kúpený: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 </w:t>
            </w:r>
          </w:p>
        </w:tc>
      </w:tr>
      <w:tr>
        <w:trPr>
          <w:trHeight w:val="264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2.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interne vytvorený: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Vlastné náklady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3.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obstaraný inak (darom):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Reproduk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á obstarávacia cena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4.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externe kúpený: 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 </w:t>
            </w:r>
          </w:p>
        </w:tc>
      </w:tr>
      <w:tr>
        <w:trPr>
          <w:trHeight w:val="264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5.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interne vytvorený: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Vlastné náklady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6.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obstaraný inak (darom):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Reproduk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á obstarávacia cena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7.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majetok: 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 </w:t>
            </w:r>
          </w:p>
        </w:tc>
      </w:tr>
      <w:tr>
        <w:trPr>
          <w:trHeight w:val="265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8.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9.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Vlastné náklady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10.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inak (darom):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Reproduk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á obstarávacia cena </w:t>
            </w:r>
          </w:p>
        </w:tc>
      </w:tr>
      <w:tr>
        <w:trPr>
          <w:trHeight w:val="264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11.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ZV a zákazková výstavba nehnute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ľnosti určenej na predaj: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12.1.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12.2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 </w:t>
            </w:r>
          </w:p>
        </w:tc>
      </w:tr>
      <w:tr>
        <w:trPr>
          <w:trHeight w:val="264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13.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14.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na strane akt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ív súvahy: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 </w:t>
            </w:r>
          </w:p>
        </w:tc>
      </w:tr>
      <w:tr>
        <w:trPr>
          <w:trHeight w:val="264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15.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Záväzky, vrátane rezerv, dlhopisov, pô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žičiek a 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úverov: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16.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Časov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é rozlí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šenie na strane pas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ív súvahy: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 </w:t>
            </w:r>
          </w:p>
        </w:tc>
      </w:tr>
      <w:tr>
        <w:trPr>
          <w:trHeight w:val="262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17.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Deriváty: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 </w:t>
            </w:r>
          </w:p>
        </w:tc>
      </w:tr>
      <w:tr>
        <w:trPr>
          <w:trHeight w:val="264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18.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Majetok a záväzky zabezpe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é derivátmi: 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 </w:t>
            </w:r>
          </w:p>
        </w:tc>
      </w:tr>
      <w:tr>
        <w:trPr>
          <w:trHeight w:val="514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19.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both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Prenajatý majetok a majetok obstaraný na základe zmluvy o kúpe prenajatej veci: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Obstarávacia cena </w:t>
            </w:r>
          </w:p>
        </w:tc>
      </w:tr>
      <w:tr>
        <w:trPr>
          <w:trHeight w:val="264" w:hRule="auto"/>
          <w:jc w:val="left"/>
        </w:trPr>
        <w:tc>
          <w:tcPr>
            <w:tcW w:w="7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20. </w:t>
            </w:r>
          </w:p>
        </w:tc>
        <w:tc>
          <w:tcPr>
            <w:tcW w:w="53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íjmov a odlo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íjmov: </w:t>
            </w:r>
          </w:p>
        </w:tc>
        <w:tc>
          <w:tcPr>
            <w:tcW w:w="3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86" w:type="dxa"/>
              <w:right w:w="86" w:type="dxa"/>
            </w:tcMar>
            <w:vAlign w:val="top"/>
          </w:tcPr>
          <w:p>
            <w:pPr>
              <w:spacing w:before="0" w:after="0" w:line="259"/>
              <w:ind w:right="0" w:left="2" w:firstLine="0"/>
              <w:jc w:val="left"/>
              <w:rPr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  <w:t xml:space="preserve"> </w:t>
            </w:r>
          </w:p>
        </w:tc>
      </w:tr>
    </w:tbl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209"/>
        </w:numPr>
        <w:spacing w:before="0" w:after="107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Trvalé zní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ženie hodnoty majetku nebolo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é.  </w:t>
      </w:r>
    </w:p>
    <w:p>
      <w:pPr>
        <w:numPr>
          <w:ilvl w:val="0"/>
          <w:numId w:val="209"/>
        </w:numPr>
        <w:spacing w:before="0" w:after="107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Záväzky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ocenila menovitou hodnotou záväzkov.  </w:t>
      </w:r>
    </w:p>
    <w:p>
      <w:pPr>
        <w:spacing w:before="0" w:after="16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211"/>
        </w:numPr>
        <w:spacing w:before="0" w:after="177" w:line="249"/>
        <w:ind w:right="65" w:left="226" w:hanging="226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é odpisy sa rovnajú da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ým odpisom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. Majetok sa za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ína odpisova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ť v mesiaci, kedy bol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zaraden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ý do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ívania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.  </w:t>
      </w:r>
    </w:p>
    <w:p>
      <w:pPr>
        <w:numPr>
          <w:ilvl w:val="0"/>
          <w:numId w:val="211"/>
        </w:numPr>
        <w:spacing w:before="0" w:after="103" w:line="249"/>
        <w:ind w:right="65" w:left="226" w:hanging="226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UJ pou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íva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rovnomerné odpisovanie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dlhodobého hmotného majetku a dlhodobého nehmotného majetku.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79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11" w:line="249"/>
        <w:ind w:right="130" w:left="-5" w:hanging="1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d) Informácia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o poskytnutých dotáciách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a pri dotáciách na obstaranie majetku sa uvedú zlo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žky majetku a ich ocenenie: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nedostala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ácie. </w:t>
      </w:r>
    </w:p>
    <w:p>
      <w:pPr>
        <w:spacing w:before="0" w:after="107" w:line="249"/>
        <w:ind w:right="130" w:left="-5" w:hanging="1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5)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čtovala o oprave 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období.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98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0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98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98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98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98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01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703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ánok IV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 INFORMÁCIE, KTORÉ VYSVET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 A DOP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ĹŇAJ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u w:val="single"/>
          <w:shd w:fill="auto" w:val="clear"/>
        </w:rPr>
        <w:t xml:space="preserve">Ú SÚVAHU A VÝKAZ ZISKOV A STRÁT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5" w:line="249"/>
        <w:ind w:right="130" w:left="-5" w:hanging="1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a) Dlhodobý nehmotný majetok, ktorým je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goodwill alebo záporný goodwill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dôvod jeho vzniku, spôsob výpo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čtu a prehodnotenie opodstatnenosti jeho 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šky a odpisu jeho hodnoty: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čtovala o goodwille ani o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ápornom goodwille.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02" w:line="249"/>
        <w:ind w:right="130" w:left="-5" w:hanging="1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2) Informácie o významných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polo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žk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ách derivátov, majetku a záväzkoch zabezpe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ých derivátmi (§ 16 PU):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nemá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žiadny majetok ani z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áväzky zabezpe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derivátmi.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46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92" w:line="249"/>
        <w:ind w:right="0" w:left="-5" w:hanging="1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3a) Celková suma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záväzkov so zostatkovou dobou splatnosti dlh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šou ako 5 rokov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:  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  <w:t xml:space="preserve">á jednotka nemá záväzky splatné viac ako 5 rokov.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51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229"/>
        </w:numPr>
        <w:spacing w:before="0" w:after="106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Informácie o vlastných akciách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: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nemá vlastné akcie.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76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numPr>
          <w:ilvl w:val="0"/>
          <w:numId w:val="231"/>
        </w:numPr>
        <w:spacing w:before="0" w:after="5" w:line="249"/>
        <w:ind w:right="130" w:left="211" w:hanging="211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Informácie o sume a dôvodoch vzniku jednotlivých polo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žiek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ákladov alebo výnosov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u w:val="single"/>
          <w:shd w:fill="auto" w:val="clear"/>
        </w:rPr>
        <w:t xml:space="preserve">rozsah alebo výskyt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(napr. výnosy z predaja podniku alebo jeho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časti, 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áklady z dôvodu predaja podniku alebo jeho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časti, škody z d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ôvodu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živeln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pohrôm):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neú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čtovala o v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ýnimo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nákladoch ani výnosoch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15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79" w:line="259"/>
        <w:ind w:right="0" w:left="384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49"/>
        <w:ind w:right="130" w:left="-5" w:hanging="1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nemá podmienený majetok, ani podmienené záväzky. Nemá finan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povinnosti nevykázané v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ých výkazoch. </w:t>
      </w:r>
    </w:p>
    <w:p>
      <w:pPr>
        <w:spacing w:before="0" w:after="5" w:line="249"/>
        <w:ind w:right="130" w:left="-5" w:hanging="1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á jednotka nevedie podsúvahové ú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čty. </w:t>
      </w:r>
    </w:p>
    <w:p>
      <w:pPr>
        <w:spacing w:before="0" w:after="0" w:line="259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375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" w:line="260"/>
        <w:ind w:right="1390" w:left="1772" w:hanging="1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ánok VI 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b/>
          <w:color w:val="000000"/>
          <w:spacing w:val="0"/>
          <w:position w:val="0"/>
          <w:sz w:val="22"/>
          <w:shd w:fill="auto" w:val="clear"/>
        </w:rPr>
        <w:t xml:space="preserve"> UDALOSTI, KTORÉ NASTALI PO ZÁVIERKOVOM DNI (Následné udalosti)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11" w:line="259"/>
        <w:ind w:right="0" w:left="384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5" w:line="249"/>
        <w:ind w:right="130" w:left="-5" w:hanging="10"/>
        <w:jc w:val="both"/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Po uzávierkovom dni nenastali 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žiadne relevantn</w:t>
      </w:r>
      <w:r>
        <w:rPr>
          <w:rFonts w:ascii="Arial" w:hAnsi="Arial" w:cs="Arial" w:eastAsia="Arial"/>
          <w:color w:val="000000"/>
          <w:spacing w:val="0"/>
          <w:position w:val="0"/>
          <w:sz w:val="22"/>
          <w:shd w:fill="auto" w:val="clear"/>
        </w:rPr>
        <w:t xml:space="preserve">é udalosti.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num w:numId="6">
    <w:abstractNumId w:val="72"/>
  </w:num>
  <w:num w:numId="60">
    <w:abstractNumId w:val="66"/>
  </w:num>
  <w:num w:numId="62">
    <w:abstractNumId w:val="60"/>
  </w:num>
  <w:num w:numId="64">
    <w:abstractNumId w:val="54"/>
  </w:num>
  <w:num w:numId="66">
    <w:abstractNumId w:val="48"/>
  </w:num>
  <w:num w:numId="111">
    <w:abstractNumId w:val="42"/>
  </w:num>
  <w:num w:numId="113">
    <w:abstractNumId w:val="36"/>
  </w:num>
  <w:num w:numId="115">
    <w:abstractNumId w:val="30"/>
  </w:num>
  <w:num w:numId="120">
    <w:abstractNumId w:val="24"/>
  </w:num>
  <w:num w:numId="209">
    <w:abstractNumId w:val="18"/>
  </w:num>
  <w:num w:numId="211">
    <w:abstractNumId w:val="12"/>
  </w:num>
  <w:num w:numId="229">
    <w:abstractNumId w:val="6"/>
  </w:num>
  <w:num w:numId="23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