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 MÚJ 3 - 01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ČO:34109781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Č:2020400008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čtovné obdobie: 1.1.2021-31.12.2021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I. VŠEOBECNÉ  ÚDAJE</w:t>
      </w:r>
    </w:p>
    <w:p>
      <w:pPr>
        <w:numPr>
          <w:ilvl w:val="0"/>
          <w:numId w:val="6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Názov a sídlo právnickej osoby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ab/>
        <w:t xml:space="preserve">VIZA spol. s r. o., Dlhá 34, 94504 Komárno-Nová Stráž</w:t>
      </w:r>
    </w:p>
    <w:p>
      <w:pPr>
        <w:numPr>
          <w:ilvl w:val="0"/>
          <w:numId w:val="8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konsolidovanom celku</w:t>
      </w:r>
    </w:p>
    <w:p>
      <w:pPr>
        <w:numPr>
          <w:ilvl w:val="0"/>
          <w:numId w:val="8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Názov a sídlo konsolidovanej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jednotky, ktorá zostavuje konsolidovanú účtovnú závierku za tú skupinu účtovných jednotiek konsolidovaného celu, ktorého súčasťou je aj účtovná jednotka; uvádza sa aj obchodné meno a sídlo účtovnej jednotky, ktorá je bezprostredne konsolidujúcou účtovnou jednotkou, </w:t>
      </w:r>
    </w:p>
    <w:p>
      <w:pPr>
        <w:numPr>
          <w:ilvl w:val="0"/>
          <w:numId w:val="8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údaj,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 účtovná jednotka je materskou účtovnou jednotkou a údaj, či je oslobodená od povinnosti zostaviť konsolidovanú účtovnú závierku a konsolidovanú výročnú správu podľa § 22 zákona, pričom sa uvádzajú  </w:t>
      </w:r>
    </w:p>
    <w:p>
      <w:pPr>
        <w:numPr>
          <w:ilvl w:val="0"/>
          <w:numId w:val="8"/>
        </w:numPr>
        <w:spacing w:before="0" w:after="200" w:line="276"/>
        <w:ind w:right="0" w:left="144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pri oslobodení pod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 § 22 ods. 8 zákona obchodné meno a sídlo materskej účtovnej jednotky zostavujúcej konsolidovanú účtovnú závierku podľa osobitných predpisov,4) </w:t>
      </w:r>
    </w:p>
    <w:p>
      <w:pPr>
        <w:numPr>
          <w:ilvl w:val="0"/>
          <w:numId w:val="8"/>
        </w:numPr>
        <w:spacing w:before="0" w:after="200" w:line="276"/>
        <w:ind w:right="0" w:left="144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pri oslobodení pod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 § 22 ods. 12 zákona obchodné meno a sídlo dcérskych účtovných jednotiek. 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        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čtovná jednotka  nie je členom konsolidovaného celku.</w:t>
      </w:r>
    </w:p>
    <w:p>
      <w:pPr>
        <w:spacing w:before="0" w:after="200" w:line="276"/>
        <w:ind w:right="0" w:left="426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3.  Priemerný prepo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čítaný počet zamestnancov.</w:t>
      </w:r>
    </w:p>
    <w:p>
      <w:pPr>
        <w:spacing w:before="0" w:after="200" w:line="276"/>
        <w:ind w:right="0" w:left="426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Priemerný prepo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čítaný počet zamestnancov účtovnej jednotky je: 1</w:t>
      </w:r>
    </w:p>
    <w:p>
      <w:pPr>
        <w:spacing w:before="0" w:after="200" w:line="276"/>
        <w:ind w:right="0" w:left="426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426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II.  INFORMÁCIE O PRIJATÝCH  POSTUPOCH</w:t>
      </w:r>
    </w:p>
    <w:p>
      <w:pPr>
        <w:numPr>
          <w:ilvl w:val="0"/>
          <w:numId w:val="14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Informácia,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 je účtovná závierka zostavená za splnenia predpokladu, že účtovná jednotka bude nepretržite pokračovať vo svojej činnosti. 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závierka je zostavená za predpokladu, že bude nepretržite pokračovať vo svojej činnosti.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ňovania jednotlivých položiek majetku a záväzkov, a to </w:t>
      </w:r>
    </w:p>
    <w:p>
      <w:pPr>
        <w:numPr>
          <w:ilvl w:val="0"/>
          <w:numId w:val="16"/>
        </w:numPr>
        <w:spacing w:before="0" w:after="27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dlhodobého nehmotného majetku, dlhodobého hmotného majetku a dlhodobého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čného majetku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čtovné jednotka dlhodobý nehmotný majetok nemá.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dlhodobý hmotný majetok oceňuje v zmysle §21 postupov účtovníctva v podvojnom účtovníctve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finančný majetok nemá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.</w:t>
      </w:r>
    </w:p>
    <w:p>
      <w:pPr>
        <w:numPr>
          <w:ilvl w:val="0"/>
          <w:numId w:val="19"/>
        </w:numPr>
        <w:spacing w:before="0" w:after="27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zásob obstaraných kúpou, zásob vytvorených vlastnou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činnosťou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zásoby obstarané kúpou oceňuje v zmysle § 22 a 23 postupov účtovania v podvojnom účtovníctve.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zásoby vytvorené vlastnou činnosťou nemá.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1"/>
        </w:numPr>
        <w:spacing w:before="0" w:after="27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oceňuje pohľadávky ich nominálnou hodnotou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.</w:t>
      </w:r>
    </w:p>
    <w:p>
      <w:pPr>
        <w:numPr>
          <w:ilvl w:val="0"/>
          <w:numId w:val="23"/>
        </w:numPr>
        <w:spacing w:before="0" w:after="27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krátkodobého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čného majetku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krátkodobý finančný majetok oceňuje ich nominálnou hodnotou.</w:t>
      </w:r>
    </w:p>
    <w:p>
      <w:pPr>
        <w:numPr>
          <w:ilvl w:val="0"/>
          <w:numId w:val="25"/>
        </w:numPr>
        <w:spacing w:before="0" w:after="27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záväzkov vrátane rezerv, dlhopisov, pôži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čiek a úverov</w:t>
      </w:r>
    </w:p>
    <w:p>
      <w:pPr>
        <w:spacing w:before="0" w:after="27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záväzky oceňuje ich nominálnou hodnotou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.</w:t>
      </w:r>
    </w:p>
    <w:p>
      <w:pPr>
        <w:numPr>
          <w:ilvl w:val="0"/>
          <w:numId w:val="27"/>
        </w:numPr>
        <w:spacing w:before="0" w:after="0" w:line="240"/>
        <w:ind w:right="0" w:left="1069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derivátových operácií</w:t>
      </w:r>
    </w:p>
    <w:p>
      <w:pPr>
        <w:spacing w:before="0" w:after="0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derivátové operácie nemá.</w:t>
      </w:r>
    </w:p>
    <w:p>
      <w:pPr>
        <w:spacing w:before="0" w:after="0" w:line="240"/>
        <w:ind w:right="0" w:left="1069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9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Spôsob zostavenia odpisového plánu pre jednotlivé druhy dlhodobého hmotného majetku  a dlhodobého nehmotného majetku, pri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čom sa uvádza doba odpisovania, použité sadzby odpisov a odpisové metódy pri určení odpisov.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pre dlhodobý nehmotný majetok odpisový plán nezostavuje, pretože nemá nehmotný majetok.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zostavuje odpisový plán pre jednotlivé druhy hmotného majetku tak, že účtovné odpisy sa rovnajú daňovým odpisom, t.j. používajú sa odpisové skupiny a sadzby v zmysle zákona o dani z príjmov. Používa sa metóda rovnomerného odpisovania.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1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Zmeny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Nenastali žiadne zmeny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čtovných zásad a ani zmeny účtovných metód.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3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Informácie o dotáciách a ich oce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ňovanie v účtovníctve. 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nemá žiadne dotácie.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</w:p>
    <w:p>
      <w:pPr>
        <w:numPr>
          <w:ilvl w:val="0"/>
          <w:numId w:val="35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Informácie o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nevykonala žiadne významné, ani nevýznamné opravy minulých účtovných období.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851" w:hanging="425"/>
        <w:jc w:val="center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ČL. III.  INFORMÁCIE  KTORÉ  VYSVETĽUJÚ  A DOPĹŇAJÚ  SÚVAHU  A VÝKAZ  ZISKOV  A STRÁT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9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Informácia o sume a dôvodoch vzniku jednotlivých položiek nákladov alebo výnosov, ktoré majú výnimo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čný rozsah alebo výskyt, napríklad výnosy z predaja podniku alebo časti podniku, náklady z dôvodu predaja podniku alebo časti podniku, škody z dôvodu živelných pohrôm. 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V 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čtovnej jednotke nevznikli žiadne položky nákladov a alebo výnosov, ktoré majú výnimočný rozsah alebo výskyt.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Informácie o záväzkoch, a to </w:t>
      </w:r>
    </w:p>
    <w:p>
      <w:pPr>
        <w:numPr>
          <w:ilvl w:val="0"/>
          <w:numId w:val="41"/>
        </w:numPr>
        <w:spacing w:before="0" w:after="27" w:line="240"/>
        <w:ind w:right="0" w:left="1104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celkovej sume záväzkov so zostatkovou dobou splatnosti dlhšou ako pä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ť rokov, </w:t>
      </w:r>
    </w:p>
    <w:p>
      <w:pPr>
        <w:spacing w:before="0" w:after="27" w:line="240"/>
        <w:ind w:right="0" w:left="1104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nemá záväzky s dobou splatnosti dlhšou ako päť rokov.</w:t>
      </w:r>
    </w:p>
    <w:p>
      <w:pPr>
        <w:numPr>
          <w:ilvl w:val="0"/>
          <w:numId w:val="44"/>
        </w:numPr>
        <w:spacing w:before="0" w:after="0" w:line="240"/>
        <w:ind w:right="0" w:left="1104" w:hanging="36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celkovej sume zabezpe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čených záväzkov, opis a spôsoby zabezpečenia záväzkov. </w:t>
      </w:r>
    </w:p>
    <w:p>
      <w:pPr>
        <w:spacing w:before="0" w:after="0" w:line="240"/>
        <w:ind w:right="0" w:left="1104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nemá zabezpečené záväzky.</w:t>
      </w:r>
    </w:p>
    <w:p>
      <w:pPr>
        <w:spacing w:before="0" w:after="0" w:line="240"/>
        <w:ind w:right="0" w:left="1104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284" w:leader="none"/>
        </w:tabs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3.    Informácie o vlastných akciách, a to </w:t>
      </w:r>
    </w:p>
    <w:p>
      <w:pPr>
        <w:spacing w:before="0" w:after="28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a) dôvode nadobudnutia vlastných akcií 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čas účtovného obdobia, </w:t>
      </w:r>
    </w:p>
    <w:p>
      <w:pPr>
        <w:spacing w:before="0" w:after="28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b) informáciách, ktorými sú </w:t>
      </w:r>
    </w:p>
    <w:p>
      <w:pPr>
        <w:spacing w:before="0" w:after="28" w:line="240"/>
        <w:ind w:right="0" w:left="1276" w:hanging="566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3.1. 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čet a menovitá hodnota nadobudnutých vlastných akcií počas účtovného obdobia   a   počet a menovitá hodnota prevedených vlastných akcií počas účtovného obdobia, pričom sa uvádza percentuálna hodnota týchto vlastných akcií na upísanom základnom imaní, </w:t>
      </w:r>
    </w:p>
    <w:p>
      <w:pPr>
        <w:tabs>
          <w:tab w:val="left" w:pos="709" w:leader="none"/>
        </w:tabs>
        <w:spacing w:before="0" w:after="28" w:line="240"/>
        <w:ind w:right="0" w:left="1276" w:hanging="85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3.2. 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čet a hodnota, za ktorú sa vlastné akcie počas účtovného obdobia nadobudli a počet a hodnota, za ktorú sa vlastné akcie počas účtovného obdobia previedli na inú osobu, 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c) 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nemá vlastné akcie.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0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4.   Informácie o orgánoch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čtovnej jednotky, a to </w:t>
      </w:r>
    </w:p>
    <w:p>
      <w:pPr>
        <w:spacing w:before="0" w:after="27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a) výške jednotlivých druhov záruk alebo iných zabezpe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čení poskytnutých pre členov štatutárneho orgánu, dozorného orgánu a iného orgánu účtovnej jednotky, a to v členení za jednotlivé orgány, </w:t>
      </w:r>
    </w:p>
    <w:p>
      <w:pPr>
        <w:tabs>
          <w:tab w:val="left" w:pos="851" w:leader="none"/>
        </w:tabs>
        <w:spacing w:before="0" w:after="27" w:line="240"/>
        <w:ind w:right="0" w:left="993" w:hanging="425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b) pôži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čkách poskytnutých členom štatutárneho orgánu, dozorného orgánu a iného orgánu účtovnej jednotky a to </w:t>
      </w:r>
    </w:p>
    <w:p>
      <w:pPr>
        <w:tabs>
          <w:tab w:val="left" w:pos="851" w:leader="none"/>
          <w:tab w:val="left" w:pos="993" w:leader="none"/>
          <w:tab w:val="left" w:pos="1276" w:leader="none"/>
        </w:tabs>
        <w:spacing w:before="0" w:after="27" w:line="240"/>
        <w:ind w:right="0" w:left="1418" w:hanging="992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   1.  celková suma poskytnutých pôži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čiek k poslednému dňu účtovného obdobia v   členení za jednotlivé orgány, </w:t>
      </w:r>
    </w:p>
    <w:p>
      <w:pPr>
        <w:spacing w:before="0" w:after="0" w:line="240"/>
        <w:ind w:right="0" w:left="1418" w:hanging="425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2.    celková suma splatených pôži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čiek k poslednému dňu účtovného obdobia v členení za jednotlivé orgány, </w:t>
      </w:r>
    </w:p>
    <w:p>
      <w:pPr>
        <w:spacing w:before="0" w:after="27" w:line="240"/>
        <w:ind w:right="0" w:left="1418" w:hanging="1418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            3.  celková suma odpustených pôži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čiek a odpísaných pôžičiek k poslednému dňu účtovného obdobia v členení za jednotlivé orgány, </w:t>
      </w:r>
    </w:p>
    <w:p>
      <w:pPr>
        <w:spacing w:before="0" w:after="27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c) hlavných podmienkach, na základe ktorých im boli záruky alebo iné zabezpe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čenie a  pôžičky poskytnuté; pri pôžičkách sa uvádzajú úrokové sadzby, 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d) celkovej sume použitých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čných prostriedkov alebo iného plnenia na súkromné účely členmi štatutárneho orgánu, dozorného orgánu a iného orgánu účtovnej jednotky, ktoré je potrebné vyúčtovať. </w:t>
      </w:r>
    </w:p>
    <w:p>
      <w:pPr>
        <w:spacing w:before="0" w:after="0" w:line="240"/>
        <w:ind w:right="0" w:left="993" w:hanging="567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neposkytla žiadne záruky a zabezpečenia pre členov štatutárnych orgánov, dozorného orgánu a iného orgánu účtovnej jednotky. Účtovná jednotka neposkytla pôžičky členom štatutárneho orgánu, dozorného orgánu a iného orgánu účtovnej jednoty.</w:t>
      </w:r>
    </w:p>
    <w:p>
      <w:pPr>
        <w:spacing w:before="0" w:after="0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5.  Informácie o povinnostiach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čtovnej jednotky, a to </w:t>
      </w:r>
    </w:p>
    <w:p>
      <w:pPr>
        <w:spacing w:before="0" w:after="27" w:line="240"/>
        <w:ind w:right="0" w:left="993" w:hanging="284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a) celkovej sume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>
      <w:pPr>
        <w:spacing w:before="0" w:after="27" w:line="240"/>
        <w:ind w:right="0" w:left="993" w:hanging="284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b) celkovej sume významných podmienených záväzkov, ktorými sa rozumie </w:t>
      </w:r>
    </w:p>
    <w:p>
      <w:pPr>
        <w:spacing w:before="0" w:after="27" w:line="240"/>
        <w:ind w:right="0" w:left="1134" w:hanging="708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1. možná povinnos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spacing w:before="0" w:after="27" w:line="240"/>
        <w:ind w:right="0" w:left="1134" w:hanging="708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2. existujúca povinnos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ť, ktorá vznikla ako dôsledok minulej udalosti, ale ktorá sa nevykazuje v súvahe, pretože </w:t>
      </w:r>
    </w:p>
    <w:p>
      <w:pPr>
        <w:tabs>
          <w:tab w:val="left" w:pos="1418" w:leader="none"/>
        </w:tabs>
        <w:spacing w:before="0" w:after="27" w:line="240"/>
        <w:ind w:right="0" w:left="1134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2a. nie je pravdepodobné, že na splnenie tejto povinnosti bude potrebný úbytok  ekonomických úžitkov, alebo </w:t>
      </w:r>
    </w:p>
    <w:p>
      <w:pPr>
        <w:spacing w:before="0" w:after="27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    2b. výška tejto povinnosti sa nedá spo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ľahlivo oceniť, </w:t>
      </w:r>
    </w:p>
    <w:p>
      <w:pPr>
        <w:spacing w:before="0" w:after="27" w:line="240"/>
        <w:ind w:right="0" w:left="709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c)   opise významných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čných povinností a významných podmienených záväzkov, </w:t>
      </w:r>
    </w:p>
    <w:p>
      <w:pPr>
        <w:spacing w:before="0" w:after="27" w:line="240"/>
        <w:ind w:right="0" w:left="993" w:hanging="28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d) celkovej sume významných finan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čných povinností a významných podmienených záväzkoch voči dcérskej účtovnej jednotke a účtovnej jednotke s podstatným vplyvom, </w:t>
      </w:r>
    </w:p>
    <w:p>
      <w:pPr>
        <w:spacing w:before="0" w:after="0" w:line="240"/>
        <w:ind w:right="0" w:left="993" w:hanging="993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        e) opise významných povinností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čtovnej jednotky vyplývajúcich z dôchodkových  programov pre zamestnancov. </w:t>
      </w:r>
    </w:p>
    <w:p>
      <w:pPr>
        <w:spacing w:before="0" w:after="0" w:line="240"/>
        <w:ind w:right="0" w:left="851" w:hanging="425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</w:t>
      </w:r>
    </w:p>
    <w:p>
      <w:pPr>
        <w:spacing w:before="0" w:after="0" w:line="240"/>
        <w:ind w:right="0" w:left="851" w:hanging="425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Žiadne uvedené povinnosti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čtovná jednotka nevykazuje.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426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108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num w:numId="6">
    <w:abstractNumId w:val="90"/>
  </w:num>
  <w:num w:numId="8">
    <w:abstractNumId w:val="84"/>
  </w:num>
  <w:num w:numId="14">
    <w:abstractNumId w:val="78"/>
  </w:num>
  <w:num w:numId="16">
    <w:abstractNumId w:val="72"/>
  </w:num>
  <w:num w:numId="19">
    <w:abstractNumId w:val="66"/>
  </w:num>
  <w:num w:numId="21">
    <w:abstractNumId w:val="60"/>
  </w:num>
  <w:num w:numId="23">
    <w:abstractNumId w:val="54"/>
  </w:num>
  <w:num w:numId="25">
    <w:abstractNumId w:val="48"/>
  </w:num>
  <w:num w:numId="27">
    <w:abstractNumId w:val="42"/>
  </w:num>
  <w:num w:numId="29">
    <w:abstractNumId w:val="36"/>
  </w:num>
  <w:num w:numId="31">
    <w:abstractNumId w:val="30"/>
  </w:num>
  <w:num w:numId="33">
    <w:abstractNumId w:val="24"/>
  </w:num>
  <w:num w:numId="35">
    <w:abstractNumId w:val="18"/>
  </w:num>
  <w:num w:numId="39">
    <w:abstractNumId w:val="12"/>
  </w:num>
  <w:num w:numId="41">
    <w:abstractNumId w:val="6"/>
  </w:num>
  <w:num w:numId="4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