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84"/>
        <w:gridCol w:w="2593"/>
        <w:gridCol w:w="336"/>
        <w:gridCol w:w="341"/>
        <w:gridCol w:w="336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38"/>
      </w:tblGrid>
      <w:tr>
        <w:trPr/>
        <w:tc>
          <w:tcPr>
            <w:tcW w:w="2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11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ul. 1. mája 15, 901 01 Malacky</w:t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Marta Prochyrová, štatutárna zástupkyňa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Jozef Bulla, predseda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Gajdár, člen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Anna Trnková,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Mgr.Peter Štaffen, členk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Bc. Elena Límová,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Eva Krššáková,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Jozef Jančí, člen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Vlasta Točeková, členka dozornej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Kristína Lončeková, členka dozornej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Martina Vaseková, členka dozornej rady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0"/>
        <w:gridCol w:w="6971"/>
      </w:tblGrid>
      <w:tr>
        <w:trPr>
          <w:trHeight w:val="284" w:hRule="atLeast"/>
        </w:trPr>
        <w:tc>
          <w:tcPr>
            <w:tcW w:w="28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služby: Poskytovanie sociálnej pomoci a humanitárnej starostlivosti. </w:t>
            </w:r>
          </w:p>
        </w:tc>
      </w:tr>
      <w:tr>
        <w:trPr>
          <w:trHeight w:val="284" w:hRule="atLeast"/>
        </w:trPr>
        <w:tc>
          <w:tcPr>
            <w:tcW w:w="28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>
        <w:trPr>
          <w:trHeight w:val="284" w:hRule="atLeast"/>
        </w:trPr>
        <w:tc>
          <w:tcPr>
            <w:tcW w:w="2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11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2"/>
        <w:gridCol w:w="2611"/>
        <w:gridCol w:w="2635"/>
      </w:tblGrid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</w:t>
      </w:r>
    </w:p>
    <w:p>
      <w:pPr>
        <w:pStyle w:val="Normal"/>
        <w:spacing w:lineRule="auto" w:line="240" w:before="120" w:after="0"/>
        <w:rPr/>
      </w:pPr>
      <w:r>
        <w:rPr>
          <w:sz w:val="18"/>
          <w:szCs w:val="18"/>
        </w:rPr>
        <w:t xml:space="preserve">V prvých mesiacoch roku 2020 sa vírus COVID-19, ktorý sa objavil koncom roku 2019 v Číne, rozšíril do celého sveta a negatívne ovplyvnil mnoho krajín a ich hospodárske a obchodné prostredie. Tento trend a jeho dopady kulminovali koncom kalendárneho roka 2020. Samozrejme tieto globálne dopady sa zákonite prejavili aj na neziskovú sféru na Slovensku. Najzásadnejším faktorom je nepredvídateľnosť, ktorá pretrváva, či už ide o parameter času alebo dopadov aj v r. 2021. Organizácia nezaznamenala z dôvodu celosvetovej pandémie pokles tržieb, resp. významne menší objem dotácií a príspevkov na činnosť neziskovej organizácie. </w:t>
      </w:r>
    </w:p>
    <w:p>
      <w:pPr>
        <w:pStyle w:val="Normal"/>
        <w:spacing w:lineRule="auto" w:line="240" w:before="120" w:after="0"/>
        <w:rPr>
          <w:sz w:val="18"/>
          <w:szCs w:val="18"/>
        </w:rPr>
      </w:pPr>
      <w:r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spacing w:lineRule="auto" w:line="240" w:before="12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vykazovala v roku 2016 daňovú pohľadávku za zamestnaneckú prémiu z rokov 2013 a 2014 voči daňovému úradu na riadku 046  Súvahy, v roku 2017, 2018 a 2019 vykazuje túto pohľadávku na riadku 050 z dôvodu tvorby opravnej položky k tejto pohľadávke. Organizácia v roku 2020 túto pohľadávku v celkovej výške 1 012,57 EUR odpísala.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6"/>
        <w:gridCol w:w="3486"/>
      </w:tblGrid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jc w:val="left"/>
        <w:tblInd w:w="11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265"/>
        <w:gridCol w:w="2478"/>
        <w:gridCol w:w="2465"/>
        <w:gridCol w:w="2469"/>
      </w:tblGrid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Budova – technické zhodnotenie</w:t>
            </w:r>
          </w:p>
        </w:tc>
        <w:tc>
          <w:tcPr>
            <w:tcW w:w="2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20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1/20</w:t>
            </w:r>
          </w:p>
        </w:tc>
        <w:tc>
          <w:tcPr>
            <w:tcW w:w="24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</w:t>
            </w:r>
          </w:p>
        </w:tc>
        <w:tc>
          <w:tcPr>
            <w:tcW w:w="24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/>
      </w:pPr>
      <w:r>
        <w:rPr>
          <w:sz w:val="18"/>
          <w:szCs w:val="18"/>
        </w:rPr>
        <w:t xml:space="preserve">Zásady pre zohľadnenie zníženia hodnoty majetku –neuplatňuje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jc w:val="left"/>
        <w:tblInd w:w="-9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86"/>
        <w:gridCol w:w="709"/>
        <w:gridCol w:w="850"/>
        <w:gridCol w:w="855"/>
        <w:gridCol w:w="850"/>
        <w:gridCol w:w="992"/>
        <w:gridCol w:w="709"/>
        <w:gridCol w:w="855"/>
        <w:gridCol w:w="850"/>
        <w:gridCol w:w="709"/>
        <w:gridCol w:w="142"/>
        <w:gridCol w:w="570"/>
        <w:gridCol w:w="867"/>
      </w:tblGrid>
      <w:tr>
        <w:trPr>
          <w:trHeight w:val="1020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62 299,49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3 100,00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25 565,68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113 297,19</w:t>
            </w:r>
          </w:p>
        </w:tc>
      </w:tr>
      <w:tr>
        <w:trPr>
          <w:trHeight w:val="28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62 299,49 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  <w:lang w:eastAsia="sk-SK"/>
              </w:rPr>
              <w:t>2 332,02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3 100,00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113 297,19</w:t>
            </w:r>
          </w:p>
        </w:tc>
      </w:tr>
      <w:tr>
        <w:trPr>
          <w:trHeight w:val="40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62 299,49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2 002,00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112 199,19 </w:t>
            </w:r>
          </w:p>
        </w:tc>
      </w:tr>
      <w:tr>
        <w:trPr>
          <w:trHeight w:val="28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775,00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775,00</w:t>
            </w:r>
          </w:p>
        </w:tc>
      </w:tr>
      <w:tr>
        <w:trPr>
          <w:trHeight w:val="28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62 299,49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2 777,00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25 565,68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112 974,19</w:t>
            </w:r>
          </w:p>
        </w:tc>
      </w:tr>
      <w:tr>
        <w:trPr>
          <w:trHeight w:val="40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1 098,00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1 098,00</w:t>
            </w:r>
          </w:p>
        </w:tc>
      </w:tr>
      <w:tr>
        <w:trPr>
          <w:trHeight w:val="40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</w:tr>
      <w:tr>
        <w:trPr>
          <w:trHeight w:val="288" w:hRule="atLeast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Poistenie jednotlivých zložiek majetku organizácia nemá uzatvorené.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50"/>
        <w:gridCol w:w="3475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23,01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234,60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174,12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35 243,86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37 377,46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35 501,47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37 571,58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54"/>
        <w:gridCol w:w="2160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</w:t>
            </w:r>
          </w:p>
        </w:tc>
        <w:tc>
          <w:tcPr>
            <w:tcW w:w="46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 – podnikateľská činnosť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36 689,60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</w:t>
            </w:r>
          </w:p>
        </w:tc>
        <w:tc>
          <w:tcPr>
            <w:tcW w:w="46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Dočasné pridelenie zamestnancov – hlavná činnosť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31 670,62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68 360,22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58"/>
        <w:gridCol w:w="1488"/>
        <w:gridCol w:w="1487"/>
        <w:gridCol w:w="1480"/>
        <w:gridCol w:w="1488"/>
        <w:gridCol w:w="1676"/>
      </w:tblGrid>
      <w:tr>
        <w:trPr>
          <w:trHeight w:val="608" w:hRule="atLeast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260,00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260,00</w:t>
            </w:r>
          </w:p>
        </w:tc>
      </w:tr>
      <w:tr>
        <w:trPr>
          <w:trHeight w:val="284" w:hRule="atLeast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 – daňový úrad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260,00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260,00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29"/>
        <w:gridCol w:w="3139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6 319,99</w:t>
            </w:r>
          </w:p>
        </w:tc>
        <w:tc>
          <w:tcPr>
            <w:tcW w:w="3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535,67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260,00</w:t>
            </w:r>
          </w:p>
        </w:tc>
        <w:tc>
          <w:tcPr>
            <w:tcW w:w="3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6 579,99</w:t>
            </w:r>
          </w:p>
        </w:tc>
        <w:tc>
          <w:tcPr>
            <w:tcW w:w="3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535,67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9"/>
        <w:gridCol w:w="4889"/>
        <w:gridCol w:w="2160"/>
      </w:tblGrid>
      <w:tr>
        <w:trPr>
          <w:trHeight w:val="284" w:hRule="atLeast"/>
        </w:trPr>
        <w:tc>
          <w:tcPr>
            <w:tcW w:w="2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Doména, poistenie motorového vozidla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253,89</w:t>
            </w:r>
          </w:p>
        </w:tc>
      </w:tr>
      <w:tr>
        <w:trPr>
          <w:trHeight w:val="284" w:hRule="atLeast"/>
        </w:trPr>
        <w:tc>
          <w:tcPr>
            <w:tcW w:w="2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príjmov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Dotácia, práce za mesiac december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3 238,49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č.OVVS-1929/204/2006-NO peňažným vkladom vo výške 33,19 EUR a následne sa v priebehu činnosti účtovnej jednotky navyšovalo základné imanie vkladmi zakladateľa.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neúčtovala o opravách významných chýb v priebehu účtovného obdobia 2021. 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7"/>
        <w:gridCol w:w="1140"/>
        <w:gridCol w:w="1137"/>
        <w:gridCol w:w="1142"/>
        <w:gridCol w:w="1139"/>
        <w:gridCol w:w="1222"/>
      </w:tblGrid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-44 260,52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6 800,84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-37 459,68</w:t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6 800,84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1 515,47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-6 800,84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1 515,47</w:t>
            </w:r>
          </w:p>
        </w:tc>
      </w:tr>
      <w:tr>
        <w:trPr>
          <w:trHeight w:val="210" w:hRule="atLeast"/>
        </w:trPr>
        <w:tc>
          <w:tcPr>
            <w:tcW w:w="3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21 266,62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1 515,47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22 782,09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4"/>
        <w:gridCol w:w="2248"/>
      </w:tblGrid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6 800,84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účtovného zisku</w:t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color w:val="000000"/>
                <w:sz w:val="16"/>
                <w:szCs w:val="16"/>
              </w:rPr>
              <w:t>6 800,84</w:t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57"/>
        <w:gridCol w:w="1080"/>
        <w:gridCol w:w="1413"/>
        <w:gridCol w:w="1413"/>
        <w:gridCol w:w="1409"/>
        <w:gridCol w:w="1405"/>
      </w:tblGrid>
      <w:tr>
        <w:trPr>
          <w:trHeight w:val="284" w:hRule="atLeast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6 148,76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2 376,56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6 148,76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2 376,56</w:t>
            </w:r>
          </w:p>
        </w:tc>
      </w:tr>
      <w:tr>
        <w:trPr>
          <w:trHeight w:val="284" w:hRule="atLeast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720,00</w:t>
            </w:r>
          </w:p>
        </w:tc>
      </w:tr>
      <w:tr>
        <w:trPr>
          <w:trHeight w:val="284" w:hRule="atLeast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vypracovanie daňového priznania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100,00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100,00</w:t>
            </w:r>
          </w:p>
        </w:tc>
      </w:tr>
      <w:tr>
        <w:trPr>
          <w:trHeight w:val="284" w:hRule="atLeast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6 248,76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3 196,56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6 248,76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3 196,56</w:t>
            </w:r>
          </w:p>
        </w:tc>
      </w:tr>
      <w:tr>
        <w:trPr>
          <w:trHeight w:val="284" w:hRule="atLeast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6 248,76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3 196,56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6 248,76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3 196,56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1"/>
        <w:gridCol w:w="2837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14 015,33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12 823,23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78,40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14 093,73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12 823,23</w:t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79"/>
        <w:gridCol w:w="2499"/>
        <w:gridCol w:w="2500"/>
      </w:tblGrid>
      <w:tr>
        <w:trPr>
          <w:trHeight w:val="284" w:hRule="atLeast"/>
        </w:trPr>
        <w:tc>
          <w:tcPr>
            <w:tcW w:w="49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14 093,73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12 370,99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14 093,73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12 370,99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452,24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452,24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14 093,73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12 823,23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4"/>
        <w:gridCol w:w="3147"/>
        <w:gridCol w:w="3107"/>
      </w:tblGrid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452,24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329,90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602,45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518,87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1 054,69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396,53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452,24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5"/>
        <w:gridCol w:w="1550"/>
        <w:gridCol w:w="1550"/>
        <w:gridCol w:w="1550"/>
        <w:gridCol w:w="1557"/>
      </w:tblGrid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5 564,46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5 564,46</w:t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4"/>
        <w:gridCol w:w="2971"/>
        <w:gridCol w:w="2983"/>
      </w:tblGrid>
      <w:tr>
        <w:trPr>
          <w:trHeight w:val="284" w:hRule="atLeast"/>
        </w:trPr>
        <w:tc>
          <w:tcPr>
            <w:tcW w:w="4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68 360,22</w:t>
            </w:r>
          </w:p>
        </w:tc>
        <w:tc>
          <w:tcPr>
            <w:tcW w:w="29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31 670,62</w:t>
            </w:r>
          </w:p>
        </w:tc>
        <w:tc>
          <w:tcPr>
            <w:tcW w:w="29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36 689,60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13 253,50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2 500,00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13 144,77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75 278,72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20 400,00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materiálu pre chránenú dielňu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11 040,67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354,16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649,61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2 369,55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14 413,99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plynu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4 572,92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elektriny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946,79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Stočné, vodné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103,28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5 622,99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Ekonomické služby – účtovníctvo a audit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6 076,00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Nájomné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  <w:highlight w:val="yellow"/>
              </w:rPr>
            </w:pPr>
            <w:r>
              <w:rPr>
                <w:i/>
                <w:sz w:val="16"/>
                <w:szCs w:val="16"/>
              </w:rPr>
              <w:t>1 992,00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1 400,87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821,75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254,20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Odvoz odpadu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383,90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529,62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11 458,34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254,86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Poistenie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103,43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62,19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420,48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4"/>
        <w:gridCol w:w="2728"/>
        <w:gridCol w:w="1"/>
        <w:gridCol w:w="2245"/>
      </w:tblGrid>
      <w:tr>
        <w:trPr>
          <w:trHeight w:val="284" w:hRule="atLeast"/>
        </w:trPr>
        <w:tc>
          <w:tcPr>
            <w:tcW w:w="4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Materiál pre chránenú dielňu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Služby pre chránenú dielňu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5 564,46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6"/>
        <w:gridCol w:w="3171"/>
      </w:tblGrid>
      <w:tr>
        <w:trPr>
          <w:trHeight w:val="284" w:hRule="atLeast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</w:tr>
      <w:tr>
        <w:trPr>
          <w:trHeight w:val="284" w:hRule="atLeast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600,00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* hodnota neobsahuje zákonnú DPH vo výške 120 EUR.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Nezisková organizácia má v prenájme nehnuteľnosť Jakubove 79,  900 63 Jakubov. Tieto priestory využíva na prevádzku chránenej dielne, rehabilitačné aktivity a iné činnosti spojené s verejnoprospešnou činnosťou. Ročné náklady na prenájom sú 1 992 EUR. Zmluva s prenajímateľom je uzatvorená na dobu neurčitú.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významné skutočnosti, ktoré by mali významný vplyv na údaje vykázané v účtovnej závierke.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sz w:val="18"/>
      <w:szCs w:val="16"/>
    </w:rPr>
  </w:style>
  <w:style w:type="character" w:styleId="ListLabel102" w:customStyle="1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 w:customStyle="1">
    <w:name w:val="ListLabel 103"/>
    <w:qFormat/>
    <w:rPr>
      <w:rFonts w:cs="Times New Roman"/>
    </w:rPr>
  </w:style>
  <w:style w:type="character" w:styleId="ListLabel104" w:customStyle="1">
    <w:name w:val="ListLabel 104"/>
    <w:qFormat/>
    <w:rPr>
      <w:rFonts w:cs="Times New Roman"/>
    </w:rPr>
  </w:style>
  <w:style w:type="character" w:styleId="ListLabel105" w:customStyle="1">
    <w:name w:val="ListLabel 105"/>
    <w:qFormat/>
    <w:rPr>
      <w:rFonts w:cs="Times New Roman"/>
    </w:rPr>
  </w:style>
  <w:style w:type="character" w:styleId="ListLabel106" w:customStyle="1">
    <w:name w:val="ListLabel 106"/>
    <w:qFormat/>
    <w:rPr>
      <w:rFonts w:cs="Times New Roman"/>
    </w:rPr>
  </w:style>
  <w:style w:type="character" w:styleId="ListLabel107" w:customStyle="1">
    <w:name w:val="ListLabel 107"/>
    <w:qFormat/>
    <w:rPr>
      <w:rFonts w:cs="Times New Roman"/>
    </w:rPr>
  </w:style>
  <w:style w:type="character" w:styleId="ListLabel108" w:customStyle="1">
    <w:name w:val="ListLabel 108"/>
    <w:qFormat/>
    <w:rPr>
      <w:rFonts w:cs="Times New Roman"/>
    </w:rPr>
  </w:style>
  <w:style w:type="character" w:styleId="ListLabel109" w:customStyle="1">
    <w:name w:val="ListLabel 109"/>
    <w:qFormat/>
    <w:rPr>
      <w:rFonts w:cs="Times New Roman"/>
    </w:rPr>
  </w:style>
  <w:style w:type="character" w:styleId="ListLabel110" w:customStyle="1">
    <w:name w:val="ListLabel 110"/>
    <w:qFormat/>
    <w:rPr>
      <w:rFonts w:cs="Times New Roman"/>
    </w:rPr>
  </w:style>
  <w:style w:type="character" w:styleId="ListLabel111" w:customStyle="1">
    <w:name w:val="ListLabel 111"/>
    <w:qFormat/>
    <w:rPr>
      <w:rFonts w:cs="Arial"/>
      <w:b/>
      <w:bCs/>
      <w:i w:val="false"/>
      <w:iCs w:val="false"/>
      <w:sz w:val="24"/>
      <w:szCs w:val="24"/>
    </w:rPr>
  </w:style>
  <w:style w:type="character" w:styleId="ListLabel112" w:customStyle="1">
    <w:name w:val="ListLabel 112"/>
    <w:qFormat/>
    <w:rPr>
      <w:b/>
      <w:bCs/>
      <w:i w:val="false"/>
      <w:iCs w:val="false"/>
    </w:rPr>
  </w:style>
  <w:style w:type="character" w:styleId="ListLabel113" w:customStyle="1">
    <w:name w:val="ListLabel 113"/>
    <w:qFormat/>
    <w:rPr>
      <w:b w:val="false"/>
      <w:bCs w:val="false"/>
      <w:i w:val="false"/>
      <w:iCs w:val="false"/>
      <w:sz w:val="16"/>
    </w:rPr>
  </w:style>
  <w:style w:type="character" w:styleId="ListLabel114" w:customStyle="1">
    <w:name w:val="ListLabel 114"/>
    <w:qFormat/>
    <w:rPr>
      <w:b w:val="false"/>
      <w:bCs w:val="false"/>
      <w:i w:val="false"/>
      <w:iCs w:val="false"/>
      <w:sz w:val="18"/>
    </w:rPr>
  </w:style>
  <w:style w:type="character" w:styleId="ListLabel115" w:customStyle="1">
    <w:name w:val="ListLabel 115"/>
    <w:qFormat/>
    <w:rPr>
      <w:rFonts w:cs="Symbol"/>
      <w:sz w:val="16"/>
    </w:rPr>
  </w:style>
  <w:style w:type="character" w:styleId="ListLabel116" w:customStyle="1">
    <w:name w:val="ListLabel 116"/>
    <w:qFormat/>
    <w:rPr>
      <w:rFonts w:cs="Courier New"/>
    </w:rPr>
  </w:style>
  <w:style w:type="character" w:styleId="ListLabel117" w:customStyle="1">
    <w:name w:val="ListLabel 117"/>
    <w:qFormat/>
    <w:rPr>
      <w:rFonts w:cs="Wingdings"/>
    </w:rPr>
  </w:style>
  <w:style w:type="character" w:styleId="ListLabel118" w:customStyle="1">
    <w:name w:val="ListLabel 118"/>
    <w:qFormat/>
    <w:rPr>
      <w:rFonts w:cs="Symbol"/>
    </w:rPr>
  </w:style>
  <w:style w:type="character" w:styleId="ListLabel119" w:customStyle="1">
    <w:name w:val="ListLabel 119"/>
    <w:qFormat/>
    <w:rPr>
      <w:rFonts w:cs="Courier New"/>
    </w:rPr>
  </w:style>
  <w:style w:type="character" w:styleId="ListLabel120" w:customStyle="1">
    <w:name w:val="ListLabel 120"/>
    <w:qFormat/>
    <w:rPr>
      <w:rFonts w:cs="Wingdings"/>
    </w:rPr>
  </w:style>
  <w:style w:type="character" w:styleId="ListLabel121" w:customStyle="1">
    <w:name w:val="ListLabel 121"/>
    <w:qFormat/>
    <w:rPr>
      <w:rFonts w:cs="Symbol"/>
    </w:rPr>
  </w:style>
  <w:style w:type="character" w:styleId="ListLabel122" w:customStyle="1">
    <w:name w:val="ListLabel 122"/>
    <w:qFormat/>
    <w:rPr>
      <w:rFonts w:cs="Courier New"/>
    </w:rPr>
  </w:style>
  <w:style w:type="character" w:styleId="ListLabel123" w:customStyle="1">
    <w:name w:val="ListLabel 123"/>
    <w:qFormat/>
    <w:rPr>
      <w:rFonts w:cs="Wingdings"/>
    </w:rPr>
  </w:style>
  <w:style w:type="character" w:styleId="ListLabel124" w:customStyle="1">
    <w:name w:val="ListLabel 124"/>
    <w:qFormat/>
    <w:rPr>
      <w:sz w:val="18"/>
      <w:szCs w:val="16"/>
    </w:rPr>
  </w:style>
  <w:style w:type="character" w:styleId="ListLabel125" w:customStyle="1">
    <w:name w:val="ListLabel 125"/>
    <w:qFormat/>
    <w:rPr>
      <w:rFonts w:cs="Arial"/>
      <w:b/>
      <w:bCs/>
      <w:i w:val="false"/>
      <w:iCs w:val="false"/>
      <w:sz w:val="24"/>
      <w:szCs w:val="24"/>
    </w:rPr>
  </w:style>
  <w:style w:type="character" w:styleId="ListLabel126" w:customStyle="1">
    <w:name w:val="ListLabel 126"/>
    <w:qFormat/>
    <w:rPr>
      <w:b/>
      <w:bCs/>
      <w:i w:val="false"/>
      <w:iCs w:val="false"/>
    </w:rPr>
  </w:style>
  <w:style w:type="character" w:styleId="ListLabel127" w:customStyle="1">
    <w:name w:val="ListLabel 127"/>
    <w:qFormat/>
    <w:rPr>
      <w:b w:val="false"/>
      <w:bCs w:val="false"/>
      <w:i w:val="false"/>
      <w:iCs w:val="false"/>
      <w:sz w:val="16"/>
    </w:rPr>
  </w:style>
  <w:style w:type="character" w:styleId="ListLabel128" w:customStyle="1">
    <w:name w:val="ListLabel 128"/>
    <w:qFormat/>
    <w:rPr>
      <w:b w:val="false"/>
      <w:bCs w:val="false"/>
      <w:i w:val="false"/>
      <w:iCs w:val="false"/>
      <w:sz w:val="18"/>
    </w:rPr>
  </w:style>
  <w:style w:type="character" w:styleId="ListLabel129" w:customStyle="1">
    <w:name w:val="ListLabel 129"/>
    <w:qFormat/>
    <w:rPr>
      <w:rFonts w:cs="Symbol"/>
      <w:sz w:val="16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cs="Symbol"/>
    </w:rPr>
  </w:style>
  <w:style w:type="character" w:styleId="ListLabel133" w:customStyle="1">
    <w:name w:val="ListLabel 133"/>
    <w:qFormat/>
    <w:rPr>
      <w:rFonts w:cs="Courier New"/>
    </w:rPr>
  </w:style>
  <w:style w:type="character" w:styleId="ListLabel134" w:customStyle="1">
    <w:name w:val="ListLabel 134"/>
    <w:qFormat/>
    <w:rPr>
      <w:rFonts w:cs="Wingdings"/>
    </w:rPr>
  </w:style>
  <w:style w:type="character" w:styleId="ListLabel135" w:customStyle="1">
    <w:name w:val="ListLabel 135"/>
    <w:qFormat/>
    <w:rPr>
      <w:rFonts w:cs="Symbol"/>
    </w:rPr>
  </w:style>
  <w:style w:type="character" w:styleId="ListLabel136" w:customStyle="1">
    <w:name w:val="ListLabel 136"/>
    <w:qFormat/>
    <w:rPr>
      <w:rFonts w:cs="Courier New"/>
    </w:rPr>
  </w:style>
  <w:style w:type="character" w:styleId="ListLabel137" w:customStyle="1">
    <w:name w:val="ListLabel 137"/>
    <w:qFormat/>
    <w:rPr>
      <w:rFonts w:cs="Wingdings"/>
    </w:rPr>
  </w:style>
  <w:style w:type="character" w:styleId="ListLabel138" w:customStyle="1">
    <w:name w:val="ListLabel 138"/>
    <w:qFormat/>
    <w:rPr>
      <w:sz w:val="18"/>
      <w:szCs w:val="16"/>
    </w:rPr>
  </w:style>
  <w:style w:type="character" w:styleId="ListLabel139">
    <w:name w:val="ListLabel 139"/>
    <w:qFormat/>
    <w:rPr>
      <w:rFonts w:cs="Arial"/>
      <w:b/>
      <w:bCs/>
      <w:i w:val="false"/>
      <w:iCs w:val="false"/>
      <w:sz w:val="24"/>
      <w:szCs w:val="24"/>
    </w:rPr>
  </w:style>
  <w:style w:type="character" w:styleId="ListLabel140">
    <w:name w:val="ListLabel 140"/>
    <w:qFormat/>
    <w:rPr>
      <w:b/>
      <w:bCs/>
      <w:i w:val="false"/>
      <w:iCs w:val="false"/>
    </w:rPr>
  </w:style>
  <w:style w:type="character" w:styleId="ListLabel141">
    <w:name w:val="ListLabel 141"/>
    <w:qFormat/>
    <w:rPr>
      <w:b w:val="false"/>
      <w:bCs w:val="false"/>
      <w:i w:val="false"/>
      <w:iCs w:val="false"/>
      <w:sz w:val="16"/>
    </w:rPr>
  </w:style>
  <w:style w:type="character" w:styleId="ListLabel142">
    <w:name w:val="ListLabel 142"/>
    <w:qFormat/>
    <w:rPr>
      <w:b w:val="false"/>
      <w:bCs w:val="false"/>
      <w:i w:val="false"/>
      <w:iCs w:val="false"/>
      <w:sz w:val="18"/>
    </w:rPr>
  </w:style>
  <w:style w:type="character" w:styleId="ListLabel143">
    <w:name w:val="ListLabel 143"/>
    <w:qFormat/>
    <w:rPr>
      <w:rFonts w:cs="Symbol"/>
      <w:sz w:val="16"/>
    </w:rPr>
  </w:style>
  <w:style w:type="character" w:styleId="ListLabel144">
    <w:name w:val="ListLabel 144"/>
    <w:qFormat/>
    <w:rPr>
      <w:rFonts w:cs="Courier New"/>
    </w:rPr>
  </w:style>
  <w:style w:type="character" w:styleId="ListLabel145">
    <w:name w:val="ListLabel 145"/>
    <w:qFormat/>
    <w:rPr>
      <w:rFonts w:cs="Wingdings"/>
    </w:rPr>
  </w:style>
  <w:style w:type="character" w:styleId="ListLabel146">
    <w:name w:val="ListLabel 146"/>
    <w:qFormat/>
    <w:rPr>
      <w:rFonts w:cs="Symbol"/>
    </w:rPr>
  </w:style>
  <w:style w:type="character" w:styleId="ListLabel147">
    <w:name w:val="ListLabel 147"/>
    <w:qFormat/>
    <w:rPr>
      <w:rFonts w:cs="Courier New"/>
    </w:rPr>
  </w:style>
  <w:style w:type="character" w:styleId="ListLabel148">
    <w:name w:val="ListLabel 148"/>
    <w:qFormat/>
    <w:rPr>
      <w:rFonts w:cs="Wingdings"/>
    </w:rPr>
  </w:style>
  <w:style w:type="character" w:styleId="ListLabel149">
    <w:name w:val="ListLabel 149"/>
    <w:qFormat/>
    <w:rPr>
      <w:rFonts w:cs="Symbol"/>
    </w:rPr>
  </w:style>
  <w:style w:type="character" w:styleId="ListLabel150">
    <w:name w:val="ListLabel 150"/>
    <w:qFormat/>
    <w:rPr>
      <w:rFonts w:cs="Courier New"/>
    </w:rPr>
  </w:style>
  <w:style w:type="character" w:styleId="ListLabel151">
    <w:name w:val="ListLabel 151"/>
    <w:qFormat/>
    <w:rPr>
      <w:rFonts w:cs="Wingdings"/>
    </w:rPr>
  </w:style>
  <w:style w:type="character" w:styleId="ListLabel152">
    <w:name w:val="ListLabel 152"/>
    <w:qFormat/>
    <w:rPr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Application>LibreOffice/5.3.3.2$Windows_X86_64 LibreOffice_project/3d9a8b4b4e538a85e0782bd6c2d430bafe583448</Application>
  <Pages>23</Pages>
  <Words>3594</Words>
  <Characters>21616</Characters>
  <CharactersWithSpaces>24665</CharactersWithSpaces>
  <Paragraphs>699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>Milan Drenina</cp:lastModifiedBy>
  <cp:lastPrinted>2014-01-20T21:18:00Z</cp:lastPrinted>
  <dcterms:modified xsi:type="dcterms:W3CDTF">2022-03-18T08:11:00Z</dcterms:modified>
  <cp:revision>331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